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Georgia" w:cs="Georgia" w:eastAsia="Georgia" w:hAnsi="Georgia"/>
          <w:b/>
          <w:bCs/>
          <w:i w:val="false"/>
          <w:iCs w:val="false"/>
          <w:sz w:val="34"/>
          <w:szCs w:val="34"/>
        </w:rPr>
        <w:t xml:space="preserve">A QUBO Formulation for Quantum-Assisted Multi-Agent</w:t>
      </w:r>
    </w:p>
    <w:p>
      <w:pPr>
        <w:spacing w:after="80"/>
        <w:jc w:val="center"/>
      </w:pPr>
      <w:r>
        <w:rPr>
          <w:rFonts w:ascii="Georgia" w:cs="Georgia" w:eastAsia="Georgia" w:hAnsi="Georgia"/>
          <w:b/>
          <w:bCs/>
          <w:i w:val="false"/>
          <w:iCs w:val="false"/>
          <w:sz w:val="34"/>
          <w:szCs w:val="34"/>
        </w:rPr>
        <w:t xml:space="preserve">AI Workforce Orchestration:</w:t>
      </w:r>
    </w:p>
    <w:p>
      <w:pPr>
        <w:spacing w:after="700"/>
        <w:jc w:val="center"/>
      </w:pPr>
      <w:r>
        <w:rPr>
          <w:rFonts w:ascii="Georgia" w:cs="Georgia" w:eastAsia="Georgia" w:hAnsi="Georgia"/>
          <w:b/>
          <w:bCs/>
          <w:i w:val="false"/>
          <w:iCs w:val="false"/>
          <w:sz w:val="28"/>
          <w:szCs w:val="28"/>
        </w:rPr>
        <w:t xml:space="preserve">Design, Implementation, and Evaluation Using IBM Quantum Hardware</w:t>
      </w:r>
    </w:p>
    <w:p>
      <w:pPr>
        <w:spacing w:after="120"/>
        <w:jc w:val="center"/>
      </w:pPr>
      <w:r>
        <w:rPr>
          <w:rFonts w:ascii="Georgia" w:cs="Georgia" w:eastAsia="Georgia" w:hAnsi="Georgia"/>
          <w:b w:val="false"/>
          <w:bCs w:val="false"/>
          <w:i w:val="false"/>
          <w:iCs w:val="false"/>
          <w:sz w:val="28"/>
          <w:szCs w:val="28"/>
        </w:rPr>
        <w:t xml:space="preserve">Wilcox Kim</w:t>
      </w:r>
    </w:p>
    <w:p>
      <w:pPr>
        <w:spacing w:after="60"/>
        <w:jc w:val="center"/>
      </w:pPr>
      <w:r>
        <w:rPr>
          <w:rFonts w:ascii="Georgia" w:cs="Georgia" w:eastAsia="Georgia" w:hAnsi="Georgia"/>
          <w:b w:val="false"/>
          <w:bCs w:val="false"/>
          <w:i/>
          <w:iCs/>
          <w:sz w:val="22"/>
          <w:szCs w:val="22"/>
        </w:rPr>
        <w:t xml:space="preserve">A thesis submitted in partial fulfilment of the requirements for the degree of</w:t>
      </w:r>
    </w:p>
    <w:p>
      <w:pPr>
        <w:spacing w:after="600"/>
        <w:jc w:val="center"/>
      </w:pPr>
      <w:r>
        <w:rPr>
          <w:rFonts w:ascii="Georgia" w:cs="Georgia" w:eastAsia="Georgia" w:hAnsi="Georgia"/>
          <w:b w:val="false"/>
          <w:bCs w:val="false"/>
          <w:i w:val="false"/>
          <w:iCs w:val="false"/>
          <w:sz w:val="24"/>
          <w:szCs w:val="24"/>
        </w:rPr>
        <w:t xml:space="preserve">Master of Science in Quantum Computing</w:t>
      </w:r>
    </w:p>
    <w:p>
      <w:pPr>
        <w:spacing w:after="60"/>
        <w:jc w:val="center"/>
      </w:pPr>
      <w:r>
        <w:rPr>
          <w:rFonts w:ascii="Georgia" w:cs="Georgia" w:eastAsia="Georgia" w:hAnsi="Georgia"/>
          <w:b w:val="false"/>
          <w:bCs w:val="false"/>
          <w:i w:val="false"/>
          <w:iCs w:val="false"/>
          <w:sz w:val="22"/>
          <w:szCs w:val="22"/>
        </w:rPr>
        <w:t xml:space="preserve">Department of Computer Science</w:t>
      </w:r>
    </w:p>
    <w:p>
      <w:pPr>
        <w:spacing w:after="60"/>
        <w:jc w:val="center"/>
      </w:pPr>
      <w:r>
        <w:rPr>
          <w:rFonts w:ascii="Georgia" w:cs="Georgia" w:eastAsia="Georgia" w:hAnsi="Georgia"/>
          <w:b w:val="false"/>
          <w:bCs w:val="false"/>
          <w:i w:val="false"/>
          <w:iCs w:val="false"/>
          <w:sz w:val="22"/>
          <w:szCs w:val="22"/>
        </w:rPr>
        <w:t xml:space="preserve">[University Name]</w:t>
      </w:r>
    </w:p>
    <w:p>
      <w:pPr>
        <w:spacing w:after="400"/>
        <w:jc w:val="center"/>
      </w:pPr>
      <w:r>
        <w:rPr>
          <w:rFonts w:ascii="Georgia" w:cs="Georgia" w:eastAsia="Georgia" w:hAnsi="Georgia"/>
          <w:b w:val="false"/>
          <w:bCs w:val="false"/>
          <w:i w:val="false"/>
          <w:iCs w:val="false"/>
          <w:sz w:val="22"/>
          <w:szCs w:val="22"/>
        </w:rPr>
        <w:t xml:space="preserve">June 2026</w:t>
      </w:r>
    </w:p>
    <w:p>
      <w:pPr>
        <w:spacing w:after="200"/>
        <w:jc w:val="center"/>
      </w:pPr>
      <w:r>
        <w:rPr>
          <w:rFonts w:ascii="Georgia" w:cs="Georgia" w:eastAsia="Georgia" w:hAnsi="Georgia"/>
          <w:b w:val="false"/>
          <w:bCs w:val="false"/>
          <w:i/>
          <w:iCs/>
          <w:sz w:val="20"/>
          <w:szCs w:val="20"/>
        </w:rPr>
        <w:t xml:space="preserve">Supervisor: [Supervisor Name]    ·    Second Reader: [Name]</w:t>
      </w:r>
    </w:p>
    <w:p>
      <w:r>
        <w:br w:type="page"/>
      </w:r>
    </w:p>
    <w:p>
      <w:pPr>
        <w:pStyle w:val="Heading1"/>
        <w:spacing w:after="240" w:before="240"/>
      </w:pPr>
      <w:r>
        <w:rPr>
          <w:rFonts w:ascii="Georgia" w:cs="Georgia" w:eastAsia="Georgia" w:hAnsi="Georgia"/>
          <w:b/>
          <w:bCs/>
          <w:color w:val="1A1A1A"/>
          <w:sz w:val="34"/>
          <w:szCs w:val="34"/>
        </w:rPr>
        <w:t xml:space="preserve">Declaration</w:t>
      </w:r>
    </w:p>
    <w:p>
      <w:pPr>
        <w:spacing w:after="160" w:line="336"/>
        <w:jc w:val="both"/>
      </w:pPr>
      <w:r>
        <w:rPr>
          <w:rFonts w:ascii="Georgia" w:cs="Georgia" w:eastAsia="Georgia" w:hAnsi="Georgia"/>
          <w:sz w:val="22"/>
          <w:szCs w:val="22"/>
        </w:rPr>
        <w:t xml:space="preserve">I declare that this thesis is my own work, that all sources are acknowledged, and that the experimental artifacts described herein are available in the accompanying repository. Where AI tools were used in the preparation of this document, their use is disclosed in accordance with the University's academic integrity policy. [Author: complete this section per your institution's requirements — most now require an explicit AI-use statement.]</w:t>
      </w:r>
    </w:p>
    <w:p>
      <w:pPr>
        <w:pStyle w:val="Heading1"/>
        <w:pageBreakBefore/>
        <w:spacing w:after="240" w:before="240"/>
      </w:pPr>
      <w:r>
        <w:rPr>
          <w:rFonts w:ascii="Georgia" w:cs="Georgia" w:eastAsia="Georgia" w:hAnsi="Georgia"/>
          <w:b/>
          <w:bCs/>
          <w:color w:val="1A1A1A"/>
          <w:sz w:val="34"/>
          <w:szCs w:val="34"/>
        </w:rPr>
        <w:t xml:space="preserve">Abstract</w:t>
      </w:r>
    </w:p>
    <w:p>
      <w:pPr>
        <w:spacing w:after="160" w:line="336"/>
        <w:jc w:val="both"/>
      </w:pPr>
      <w:r>
        <w:rPr>
          <w:rFonts w:ascii="Georgia" w:cs="Georgia" w:eastAsia="Georgia" w:hAnsi="Georgia"/>
          <w:sz w:val="22"/>
          <w:szCs w:val="22"/>
        </w:rPr>
        <w:t xml:space="preserve">Organisations increasingly run fleets of AI agents — language-model workers wrapped in tool-using harnesses — against shared task backlogs, and the question of which agent should take which task has quietly become an operations-research problem that current frameworks answer greedily. This thesis formulates multi-agent AI workforce orchestration as a Quadratic Unconstrained Binary Optimization (QUBO) problem and evaluates it end-to-end on IBM Quantum hardware inside a working agent stack.</w:t>
      </w:r>
    </w:p>
    <w:p>
      <w:pPr>
        <w:spacing w:after="160" w:line="336"/>
        <w:jc w:val="both"/>
      </w:pPr>
      <w:r>
        <w:rPr>
          <w:rFonts w:ascii="Georgia" w:cs="Georgia" w:eastAsia="Georgia" w:hAnsi="Georgia"/>
          <w:sz w:val="22"/>
          <w:szCs w:val="22"/>
        </w:rPr>
        <w:t xml:space="preserve">The formulation unifies task coverage, agent capacity (encoded with binary slack expansion), skill-weighted utility, context-affinity bonuses, and anti-affinity exclusions in one quadratic objective, with penalty weights set by derived bounds rather than folklore. Its coefficients are not posited but produced: worker agents built on the open-weight Hermes model family run inside engineered harnesses whose telemetry yields utilities, costs, and capacities, while an Obsidian knowledge vault — the fleet's shared 'brain' — supplies task structure and, through backlink overlap, the affinity coefficients themselves. All components communicate over the Model Context Protocol, so the optimizer is an ordinary, replaceable tool.</w:t>
      </w:r>
    </w:p>
    <w:p>
      <w:pPr>
        <w:spacing w:after="160" w:line="336"/>
        <w:jc w:val="both"/>
      </w:pPr>
      <w:r>
        <w:rPr>
          <w:rFonts w:ascii="Georgia" w:cs="Georgia" w:eastAsia="Georgia" w:hAnsi="Georgia"/>
          <w:sz w:val="22"/>
          <w:szCs w:val="22"/>
        </w:rPr>
        <w:t xml:space="preserve">Empirically, the QUBO is solved with QAOA (depths 1–3) on simulators and on IBM Quantum Heron processors at 14–40 qubits, against exact branch-and-bound, simulated annealing, and greedy baselines, over sixty generated instances and a fourteen-day live deployment. The findings are reported without varnish: classical solvers remain decisively faster at today's sizes; simulated annealing is a formidable baseline; yet hardware samples show clear enhancement of optimal structure at small scale, greedy repair recovers feasibility cheaply, and the optimized assignments — from any backend — beat greedy dispatch on realised utility and prompt-token cost in live operation. The primary contribution is the formulation and the reproducible pipeline around it: a problem class from the agent era, encoded in the lingua franca of quantum optimization, ready for annealing and adiabatic backends without change.</w:t>
      </w:r>
    </w:p>
    <w:p>
      <w:pPr>
        <w:spacing w:after="160" w:line="336"/>
        <w:jc w:val="both"/>
      </w:pPr>
      <w:r>
        <w:rPr>
          <w:rFonts w:ascii="Georgia" w:cs="Georgia" w:eastAsia="Georgia" w:hAnsi="Georgia"/>
          <w:b/>
          <w:bCs/>
          <w:i w:val="false"/>
          <w:iCs w:val="false"/>
          <w:sz w:val="22"/>
          <w:szCs w:val="22"/>
        </w:rPr>
        <w:t xml:space="preserve">Keywords: </w:t>
      </w:r>
      <w:r>
        <w:rPr>
          <w:rFonts w:ascii="Georgia" w:cs="Georgia" w:eastAsia="Georgia" w:hAnsi="Georgia"/>
          <w:b w:val="false"/>
          <w:bCs w:val="false"/>
          <w:i/>
          <w:iCs/>
          <w:sz w:val="22"/>
          <w:szCs w:val="22"/>
        </w:rPr>
        <w:t xml:space="preserve">QUBO, QAOA, IBM Quantum, multi-agent systems, AI agents, orchestration, Model Context Protocol, harness engineering, Obsidian, generalised assignment problem</w:t>
      </w:r>
    </w:p>
    <w:p>
      <w:pPr>
        <w:pStyle w:val="Heading1"/>
        <w:pageBreakBefore/>
        <w:spacing w:after="240" w:before="240"/>
      </w:pPr>
      <w:r>
        <w:rPr>
          <w:rFonts w:ascii="Georgia" w:cs="Georgia" w:eastAsia="Georgia" w:hAnsi="Georgia"/>
          <w:b/>
          <w:bCs/>
          <w:color w:val="1A1A1A"/>
          <w:sz w:val="34"/>
          <w:szCs w:val="34"/>
        </w:rPr>
        <w:t xml:space="preserve">Acknowledgements</w:t>
      </w:r>
    </w:p>
    <w:p>
      <w:pPr>
        <w:spacing w:after="160" w:line="336"/>
        <w:jc w:val="both"/>
      </w:pPr>
      <w:r>
        <w:rPr>
          <w:rFonts w:ascii="Georgia" w:cs="Georgia" w:eastAsia="Georgia" w:hAnsi="Georgia"/>
          <w:sz w:val="22"/>
          <w:szCs w:val="22"/>
        </w:rPr>
        <w:t xml:space="preserve">My thanks to my supervisor, [Name], who asked in our second meeting the question that reshaped this project — 'what would make this thesis worth reading if quantum computers never got better?' — and then had the patience to watch me spend a month discovering the answer the hard way. Thanks to the IBM Quantum open plan, whose queue times taught me more about experimental discipline than any methods course; to the maintainers of Qiskit, PuLP, and Obsidian; to Nous Research for keeping serious models open; and to the lab-mates who reviewed drafts and broke my MCP server in instructive ways. Errors that remain are mine, and given the pace of this field, a few statements will be stale by the time this is bound. Such is the cost of writing about a moving target; I would not have chosen a stationary one.</w:t>
      </w:r>
    </w:p>
    <w:p>
      <w:pPr>
        <w:pStyle w:val="Heading1"/>
        <w:pageBreakBefore/>
        <w:spacing w:after="240" w:before="240"/>
      </w:pPr>
      <w:r>
        <w:rPr>
          <w:rFonts w:ascii="Georgia" w:cs="Georgia" w:eastAsia="Georgia" w:hAnsi="Georgia"/>
          <w:b/>
          <w:bCs/>
          <w:color w:val="1A1A1A"/>
          <w:sz w:val="34"/>
          <w:szCs w:val="34"/>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Abbreviation</w:t>
            </w:r>
          </w:p>
        </w:tc>
        <w:tc>
          <w:tcPr>
            <w:tcW w:type="dxa" w:w="696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Meaning</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CBC</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COIN-OR Branch and Cut (open-source MILP solver)</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GAP</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Generalised Assignment Problem</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MCP</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Model Context Protocol</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MILP</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Mixed-Integer Linear Programming</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QAOA</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Quantum Approximate Optimization Algorithm</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QUBO</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Quadratic Unconstrained Binary Optimization</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SA</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Simulated Annealing</w:t>
            </w:r>
          </w:p>
        </w:tc>
      </w:tr>
      <w:tr>
        <w:trPr>
          <w:cantSplit/>
          <w:tblHeader w:val="false"/>
        </w:trPr>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TTS</w:t>
            </w:r>
          </w:p>
        </w:tc>
        <w:tc>
          <w:tcPr>
            <w:tcW w:type="dxa" w:w="69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Time to Solution</w:t>
            </w:r>
          </w:p>
        </w:tc>
      </w:tr>
    </w:tbl>
    <w:p>
      <w:pPr>
        <w:pStyle w:val="Heading1"/>
        <w:pageBreakBefore/>
        <w:spacing w:after="240" w:before="240"/>
      </w:pPr>
      <w:r>
        <w:rPr>
          <w:rFonts w:ascii="Georgia" w:cs="Georgia" w:eastAsia="Georgia" w:hAnsi="Georgia"/>
          <w:b/>
          <w:bCs/>
          <w:color w:val="1A1A1A"/>
          <w:sz w:val="34"/>
          <w:szCs w:val="34"/>
        </w:rPr>
        <w:t xml:space="preserve">Table of Contents</w:t>
      </w:r>
    </w:p>
    <w:p>
      <w:pPr>
        <w:spacing w:after="200"/>
      </w:pPr>
      <w:r>
        <w:rPr>
          <w:rFonts w:ascii="Georgia" w:cs="Georgia" w:eastAsia="Georgia" w:hAnsi="Georgia"/>
          <w:i/>
          <w:iCs/>
          <w:color w:val="888888"/>
          <w:sz w:val="18"/>
          <w:szCs w:val="18"/>
        </w:rPr>
        <w:t xml:space="preserve">(If this table appears empty, update fields: in Word select all and press F9; in LibreOffice use Tools → Update → Indexes and Tables.)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620" w:header="708" w:footer="708" w:gutter="0"/>
          <w:pgNumType/>
          <w:docGrid w:linePitch="360"/>
        </w:sectPr>
      </w:pPr>
    </w:p>
    <w:p>
      <w:pPr>
        <w:pStyle w:val="Heading1"/>
        <w:pageBreakBefore/>
        <w:spacing w:after="240" w:before="240"/>
      </w:pPr>
      <w:r>
        <w:rPr>
          <w:rFonts w:ascii="Georgia" w:cs="Georgia" w:eastAsia="Georgia" w:hAnsi="Georgia"/>
          <w:b/>
          <w:bCs/>
          <w:color w:val="1A1A1A"/>
          <w:sz w:val="34"/>
          <w:szCs w:val="34"/>
        </w:rPr>
        <w:t xml:space="preserve">Chapter 1 — Introduction</w:t>
      </w:r>
    </w:p>
    <w:p>
      <w:pPr>
        <w:pStyle w:val="Heading2"/>
        <w:spacing w:after="160" w:before="300"/>
      </w:pPr>
      <w:r>
        <w:rPr>
          <w:rFonts w:ascii="Georgia" w:cs="Georgia" w:eastAsia="Georgia" w:hAnsi="Georgia"/>
          <w:b/>
          <w:bCs/>
          <w:color w:val="1A1A1A"/>
          <w:sz w:val="27"/>
          <w:szCs w:val="27"/>
        </w:rPr>
        <w:t xml:space="preserve">1.1  Motivation</w:t>
      </w:r>
    </w:p>
    <w:p>
      <w:pPr>
        <w:spacing w:after="160" w:line="336"/>
        <w:jc w:val="both"/>
      </w:pPr>
      <w:r>
        <w:rPr>
          <w:rFonts w:ascii="Georgia" w:cs="Georgia" w:eastAsia="Georgia" w:hAnsi="Georgia"/>
          <w:sz w:val="22"/>
          <w:szCs w:val="22"/>
        </w:rPr>
        <w:t xml:space="preserve">Sometime in late 2024 the conversation around large language models shifted. It stopped being about single models answering single prompts and became about agents: model instances wrapped in tooling, given memory, given goals, and left to run for minutes or hours at a time. By 2025 it was normal to see a software team run half a dozen coding agents in parallel, or a research group maintain a small fleet of retrieval and drafting agents that share a common knowledge base. The industry started calling these arrangements agent workforces, and the name is apt, because the problems they create are workforce problems. Who does what? Who is overloaded? Which two jobs should sit with the same worker because they share context, and which two should be kept apart because they will trample each other's files?</w:t>
      </w:r>
    </w:p>
    <w:p>
      <w:pPr>
        <w:spacing w:after="160" w:line="336"/>
        <w:jc w:val="both"/>
      </w:pPr>
      <w:r>
        <w:rPr>
          <w:rFonts w:ascii="Georgia" w:cs="Georgia" w:eastAsia="Georgia" w:hAnsi="Georgia"/>
          <w:sz w:val="22"/>
          <w:szCs w:val="22"/>
        </w:rPr>
        <w:t xml:space="preserve">In classical operations research these are assignment and scheduling questions, and they have been studied for the better part of a century. What makes the agent setting interesting is that the problem recurs constantly and at awkward scales. A human staffing plan is drawn up quarterly; an agent orchestrator may need to re-solve its assignment problem every few minutes as tasks arrive, agents fail, and context windows fill. The instances are small enough that exact solvers usually cope, but the combinatorial structure — quadratic affinity terms, capacity limits, anti-affinity constraints — is exactly the structure that becomes painful as fleets grow. It is also, not coincidentally, exactly the structure that maps naturally onto Quadratic Unconstrained Binary Optimization (QUBO), the input format shared by quantum annealers and by gate-model algorithms such as the Quantum Approximate Optimization Algorithm (QAOA).</w:t>
      </w:r>
    </w:p>
    <w:p>
      <w:pPr>
        <w:spacing w:after="160" w:line="336"/>
        <w:jc w:val="both"/>
      </w:pPr>
      <w:r>
        <w:rPr>
          <w:rFonts w:ascii="Georgia" w:cs="Georgia" w:eastAsia="Georgia" w:hAnsi="Georgia"/>
          <w:sz w:val="22"/>
          <w:szCs w:val="22"/>
        </w:rPr>
        <w:t xml:space="preserve">That coincidence is the seed of this thesis. I do not claim that today's quantum computers solve agent orchestration better than a laptop running a branch-and-bound solver; the evaluation in Chapter 5 shows plainly that they do not. What I claim, and what I think the results support, is narrower and more useful: the orchestration problem admits a clean, extensible QUBO formulation; that formulation can be solved end-to-end on real IBM Quantum hardware inside a working agent stack; and building the pipeline now — while instances are small — leaves the door open for the day the hardware crosses over. The optimization model is the contribution. The quantum algorithm is the vehicle I use to evaluate it.</w:t>
      </w:r>
    </w:p>
    <w:p>
      <w:pPr>
        <w:pStyle w:val="Heading2"/>
        <w:spacing w:after="160" w:before="300"/>
      </w:pPr>
      <w:r>
        <w:rPr>
          <w:rFonts w:ascii="Georgia" w:cs="Georgia" w:eastAsia="Georgia" w:hAnsi="Georgia"/>
          <w:b/>
          <w:bCs/>
          <w:color w:val="1A1A1A"/>
          <w:sz w:val="27"/>
          <w:szCs w:val="27"/>
        </w:rPr>
        <w:t xml:space="preserve">1.2  The Concrete System</w:t>
      </w:r>
    </w:p>
    <w:p>
      <w:pPr>
        <w:spacing w:after="160" w:line="336"/>
        <w:jc w:val="both"/>
      </w:pPr>
      <w:r>
        <w:rPr>
          <w:rFonts w:ascii="Georgia" w:cs="Georgia" w:eastAsia="Georgia" w:hAnsi="Georgia"/>
          <w:sz w:val="22"/>
          <w:szCs w:val="22"/>
        </w:rPr>
        <w:t xml:space="preserve">Abstract orchestration models are cheap; ones grounded in a running system are not. So the thesis is built around a concrete stack that I assembled and ran throughout the project:</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Hermes agents. </w:t>
      </w:r>
      <w:r>
        <w:rPr>
          <w:rFonts w:ascii="Georgia" w:cs="Georgia" w:eastAsia="Georgia" w:hAnsi="Georgia"/>
          <w:b w:val="false"/>
          <w:bCs w:val="false"/>
          <w:i w:val="false"/>
          <w:iCs w:val="false"/>
          <w:sz w:val="22"/>
          <w:szCs w:val="22"/>
        </w:rPr>
        <w:t xml:space="preserve">The workers are agents built on the open-weight Hermes model family from Nous Research, chosen for its strong function-calling behaviour and because open weights let me instrument the agents freely and pin versions for reproducibility.</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An Obsidian vault as the AI brain. </w:t>
      </w:r>
      <w:r>
        <w:rPr>
          <w:rFonts w:ascii="Georgia" w:cs="Georgia" w:eastAsia="Georgia" w:hAnsi="Georgia"/>
          <w:b w:val="false"/>
          <w:bCs w:val="false"/>
          <w:i w:val="false"/>
          <w:iCs w:val="false"/>
          <w:sz w:val="22"/>
          <w:szCs w:val="22"/>
        </w:rPr>
        <w:t xml:space="preserve">All shared knowledge — task cards, agent capability profiles, run logs, decision records — lives in a plain-Markdown Obsidian vault. Backlinks and structured front-matter turn the vault into a queryable substrate that both humans and agents read and write.</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An engineered harness. </w:t>
      </w:r>
      <w:r>
        <w:rPr>
          <w:rFonts w:ascii="Georgia" w:cs="Georgia" w:eastAsia="Georgia" w:hAnsi="Georgia"/>
          <w:b w:val="false"/>
          <w:bCs w:val="false"/>
          <w:i w:val="false"/>
          <w:iCs w:val="false"/>
          <w:sz w:val="22"/>
          <w:szCs w:val="22"/>
        </w:rPr>
        <w:t xml:space="preserve">Each agent runs inside a harness that owns the tool loop, context budget, retries, and telemetry. I treat harness engineering as a first-class discipline: the harness is where an agent's cost and capability numbers — the coefficients of my optimization model — actually come from.</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MCP as the connective tissue. </w:t>
      </w:r>
      <w:r>
        <w:rPr>
          <w:rFonts w:ascii="Georgia" w:cs="Georgia" w:eastAsia="Georgia" w:hAnsi="Georgia"/>
          <w:b w:val="false"/>
          <w:bCs w:val="false"/>
          <w:i w:val="false"/>
          <w:iCs w:val="false"/>
          <w:sz w:val="22"/>
          <w:szCs w:val="22"/>
        </w:rPr>
        <w:t xml:space="preserve">Agents reach the vault, the task queue, and the optimizer through Model Context Protocol (MCP) servers, so the orchestrator is a tool like any other and the whole system stays loosely coupled.</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A quantum-assisted optimizer. </w:t>
      </w:r>
      <w:r>
        <w:rPr>
          <w:rFonts w:ascii="Georgia" w:cs="Georgia" w:eastAsia="Georgia" w:hAnsi="Georgia"/>
          <w:b w:val="false"/>
          <w:bCs w:val="false"/>
          <w:i w:val="false"/>
          <w:iCs w:val="false"/>
          <w:sz w:val="22"/>
          <w:szCs w:val="22"/>
        </w:rPr>
        <w:t xml:space="preserve">Assignment decisions are produced by minimizing a QUBO, solved with QAOA on IBM Quantum hardware and simulators, with classical solvers run side-by-side as baselines and as the production fallback.</w:t>
      </w:r>
    </w:p>
    <w:p>
      <w:pPr>
        <w:spacing w:after="160" w:line="336"/>
        <w:jc w:val="both"/>
      </w:pPr>
      <w:r>
        <w:rPr>
          <w:rFonts w:ascii="Georgia" w:cs="Georgia" w:eastAsia="Georgia" w:hAnsi="Georgia"/>
          <w:sz w:val="22"/>
          <w:szCs w:val="22"/>
        </w:rPr>
        <w:t xml:space="preserve">The stack matters because it disciplines the model. Every coefficient in the QUBO of Chapter 3 corresponds to something the harness actually measures: token cost, historical success rate on a task category, context overlap between task cards in the vault. When a formulation is fed by real telemetry, its weaknesses surface quickly, and several of the design choices I describe later exist only because an earlier, tidier version failed in practice.</w:t>
      </w:r>
    </w:p>
    <w:p>
      <w:pPr>
        <w:pStyle w:val="Heading2"/>
        <w:spacing w:after="160" w:before="300"/>
      </w:pPr>
      <w:r>
        <w:rPr>
          <w:rFonts w:ascii="Georgia" w:cs="Georgia" w:eastAsia="Georgia" w:hAnsi="Georgia"/>
          <w:b/>
          <w:bCs/>
          <w:color w:val="1A1A1A"/>
          <w:sz w:val="27"/>
          <w:szCs w:val="27"/>
        </w:rPr>
        <w:t xml:space="preserve">1.3  Research Questions</w:t>
      </w:r>
    </w:p>
    <w:p>
      <w:pPr>
        <w:spacing w:after="160" w:line="336"/>
        <w:jc w:val="both"/>
      </w:pPr>
      <w:r>
        <w:rPr>
          <w:rFonts w:ascii="Georgia" w:cs="Georgia" w:eastAsia="Georgia" w:hAnsi="Georgia"/>
          <w:sz w:val="22"/>
          <w:szCs w:val="22"/>
        </w:rPr>
        <w:t xml:space="preserve">The thesis is organised around four questions.</w:t>
      </w:r>
    </w:p>
    <w:p>
      <w:pPr>
        <w:pStyle w:val="ListParagraph"/>
        <w:numPr>
          <w:ilvl w:val="0"/>
          <w:numId w:val="3"/>
        </w:numPr>
        <w:spacing w:after="100" w:line="336"/>
        <w:jc w:val="both"/>
      </w:pPr>
      <w:r>
        <w:rPr>
          <w:rFonts w:ascii="Georgia" w:cs="Georgia" w:eastAsia="Georgia" w:hAnsi="Georgia"/>
          <w:b/>
          <w:bCs/>
          <w:i w:val="false"/>
          <w:iCs w:val="false"/>
          <w:sz w:val="22"/>
          <w:szCs w:val="22"/>
        </w:rPr>
        <w:t xml:space="preserve">RQ1. </w:t>
      </w:r>
      <w:r>
        <w:rPr>
          <w:rFonts w:ascii="Georgia" w:cs="Georgia" w:eastAsia="Georgia" w:hAnsi="Georgia"/>
          <w:b w:val="false"/>
          <w:bCs w:val="false"/>
          <w:i w:val="false"/>
          <w:iCs w:val="false"/>
          <w:sz w:val="22"/>
          <w:szCs w:val="22"/>
        </w:rPr>
        <w:t xml:space="preserve">Can multi-agent AI workforce orchestration — assignment of heterogeneous tasks to heterogeneous agents under capacity, affinity, and exclusivity constraints — be expressed as a single QUBO whose coefficients are obtainable from harness telemetry?</w:t>
      </w:r>
    </w:p>
    <w:p>
      <w:pPr>
        <w:pStyle w:val="ListParagraph"/>
        <w:numPr>
          <w:ilvl w:val="0"/>
          <w:numId w:val="3"/>
        </w:numPr>
        <w:spacing w:after="100" w:line="336"/>
        <w:jc w:val="both"/>
      </w:pPr>
      <w:r>
        <w:rPr>
          <w:rFonts w:ascii="Georgia" w:cs="Georgia" w:eastAsia="Georgia" w:hAnsi="Georgia"/>
          <w:b/>
          <w:bCs/>
          <w:i w:val="false"/>
          <w:iCs w:val="false"/>
          <w:sz w:val="22"/>
          <w:szCs w:val="22"/>
        </w:rPr>
        <w:t xml:space="preserve">RQ2. </w:t>
      </w:r>
      <w:r>
        <w:rPr>
          <w:rFonts w:ascii="Georgia" w:cs="Georgia" w:eastAsia="Georgia" w:hAnsi="Georgia"/>
          <w:b w:val="false"/>
          <w:bCs w:val="false"/>
          <w:i w:val="false"/>
          <w:iCs w:val="false"/>
          <w:sz w:val="22"/>
          <w:szCs w:val="22"/>
        </w:rPr>
        <w:t xml:space="preserve">How does problem size scale with fleet size and task count under this encoding, and where does it collide with the limits of current IBM Quantum devices?</w:t>
      </w:r>
    </w:p>
    <w:p>
      <w:pPr>
        <w:pStyle w:val="ListParagraph"/>
        <w:numPr>
          <w:ilvl w:val="0"/>
          <w:numId w:val="3"/>
        </w:numPr>
        <w:spacing w:after="100" w:line="336"/>
        <w:jc w:val="both"/>
      </w:pPr>
      <w:r>
        <w:rPr>
          <w:rFonts w:ascii="Georgia" w:cs="Georgia" w:eastAsia="Georgia" w:hAnsi="Georgia"/>
          <w:b/>
          <w:bCs/>
          <w:i w:val="false"/>
          <w:iCs w:val="false"/>
          <w:sz w:val="22"/>
          <w:szCs w:val="22"/>
        </w:rPr>
        <w:t xml:space="preserve">RQ3. </w:t>
      </w:r>
      <w:r>
        <w:rPr>
          <w:rFonts w:ascii="Georgia" w:cs="Georgia" w:eastAsia="Georgia" w:hAnsi="Georgia"/>
          <w:b w:val="false"/>
          <w:bCs w:val="false"/>
          <w:i w:val="false"/>
          <w:iCs w:val="false"/>
          <w:sz w:val="22"/>
          <w:szCs w:val="22"/>
        </w:rPr>
        <w:t xml:space="preserve">What solution quality does QAOA achieve on these instances — on noiseless simulators and on IBM Quantum hardware — relative to exact classical solvers, simulated annealing, and a greedy dispatcher?</w:t>
      </w:r>
    </w:p>
    <w:p>
      <w:pPr>
        <w:pStyle w:val="ListParagraph"/>
        <w:numPr>
          <w:ilvl w:val="0"/>
          <w:numId w:val="3"/>
        </w:numPr>
        <w:spacing w:after="100" w:line="336"/>
        <w:jc w:val="both"/>
      </w:pPr>
      <w:r>
        <w:rPr>
          <w:rFonts w:ascii="Georgia" w:cs="Georgia" w:eastAsia="Georgia" w:hAnsi="Georgia"/>
          <w:b/>
          <w:bCs/>
          <w:i w:val="false"/>
          <w:iCs w:val="false"/>
          <w:sz w:val="22"/>
          <w:szCs w:val="22"/>
        </w:rPr>
        <w:t xml:space="preserve">RQ4. </w:t>
      </w:r>
      <w:r>
        <w:rPr>
          <w:rFonts w:ascii="Georgia" w:cs="Georgia" w:eastAsia="Georgia" w:hAnsi="Georgia"/>
          <w:b w:val="false"/>
          <w:bCs w:val="false"/>
          <w:i w:val="false"/>
          <w:iCs w:val="false"/>
          <w:sz w:val="22"/>
          <w:szCs w:val="22"/>
        </w:rPr>
        <w:t xml:space="preserve">What does it take, in systems terms, to make a quantum solver a drop-in participant in a live agent orchestration loop built from Hermes agents, Obsidian, and MCP?</w:t>
      </w:r>
    </w:p>
    <w:p>
      <w:pPr>
        <w:pStyle w:val="Heading2"/>
        <w:spacing w:after="160" w:before="300"/>
      </w:pPr>
      <w:r>
        <w:rPr>
          <w:rFonts w:ascii="Georgia" w:cs="Georgia" w:eastAsia="Georgia" w:hAnsi="Georgia"/>
          <w:b/>
          <w:bCs/>
          <w:color w:val="1A1A1A"/>
          <w:sz w:val="27"/>
          <w:szCs w:val="27"/>
        </w:rPr>
        <w:t xml:space="preserve">1.4  Contributions</w:t>
      </w:r>
    </w:p>
    <w:p>
      <w:pPr>
        <w:pStyle w:val="ListParagraph"/>
        <w:numPr>
          <w:ilvl w:val="0"/>
          <w:numId w:val="4"/>
        </w:numPr>
        <w:spacing w:after="100" w:line="336"/>
        <w:jc w:val="both"/>
      </w:pPr>
      <w:r>
        <w:rPr>
          <w:rFonts w:ascii="Georgia" w:cs="Georgia" w:eastAsia="Georgia" w:hAnsi="Georgia"/>
          <w:sz w:val="22"/>
          <w:szCs w:val="22"/>
        </w:rPr>
        <w:t xml:space="preserve">A QUBO formulation of multi-agent workforce orchestration that unifies task coverage, agent capacity (via binary slack expansion), skill-weighted utility, context-affinity bonuses, and anti-affinity penalties in one quadratic objective, together with a principled recipe for setting penalty weights from instance data (Chapter 3).</w:t>
      </w:r>
    </w:p>
    <w:p>
      <w:pPr>
        <w:pStyle w:val="ListParagraph"/>
        <w:numPr>
          <w:ilvl w:val="0"/>
          <w:numId w:val="4"/>
        </w:numPr>
        <w:spacing w:after="100" w:line="336"/>
        <w:jc w:val="both"/>
      </w:pPr>
      <w:r>
        <w:rPr>
          <w:rFonts w:ascii="Georgia" w:cs="Georgia" w:eastAsia="Georgia" w:hAnsi="Georgia"/>
          <w:sz w:val="22"/>
          <w:szCs w:val="22"/>
        </w:rPr>
        <w:t xml:space="preserve">A reference implementation — released as an open repository — in which the optimizer sits behind an MCP server inside a working agent stack: Hermes-based agents, an Obsidian vault acting as shared memory, and an engineered harness that generates the model's coefficients from telemetry (Chapter 4).</w:t>
      </w:r>
    </w:p>
    <w:p>
      <w:pPr>
        <w:pStyle w:val="ListParagraph"/>
        <w:numPr>
          <w:ilvl w:val="0"/>
          <w:numId w:val="4"/>
        </w:numPr>
        <w:spacing w:after="100" w:line="336"/>
        <w:jc w:val="both"/>
      </w:pPr>
      <w:r>
        <w:rPr>
          <w:rFonts w:ascii="Georgia" w:cs="Georgia" w:eastAsia="Georgia" w:hAnsi="Georgia"/>
          <w:sz w:val="22"/>
          <w:szCs w:val="22"/>
        </w:rPr>
        <w:t xml:space="preserve">An empirical evaluation across 60 generated instances and a two-week live trace, comparing QAOA (simulator and IBM Quantum Heron hardware) against CP-SAT/CBC exact solves, simulated annealing, and greedy dispatch, with feasibility, approximation ratio, and wall-clock time reported honestly, including the cases where the quantum pipeline loses (Chapter 5).</w:t>
      </w:r>
    </w:p>
    <w:p>
      <w:pPr>
        <w:pStyle w:val="ListParagraph"/>
        <w:numPr>
          <w:ilvl w:val="0"/>
          <w:numId w:val="4"/>
        </w:numPr>
        <w:spacing w:after="100" w:line="336"/>
        <w:jc w:val="both"/>
      </w:pPr>
      <w:r>
        <w:rPr>
          <w:rFonts w:ascii="Georgia" w:cs="Georgia" w:eastAsia="Georgia" w:hAnsi="Georgia"/>
          <w:sz w:val="22"/>
          <w:szCs w:val="22"/>
        </w:rPr>
        <w:t xml:space="preserve">A design discussion of hybrid orchestration — when to call the quantum path, how to post-process infeasible samples, and how the same QUBO transfers unchanged to annealing hardware — intended to be directly useful to practitioners building agent platforms today (Chapters 6–7).</w:t>
      </w:r>
    </w:p>
    <w:p>
      <w:pPr>
        <w:pStyle w:val="Heading2"/>
        <w:spacing w:after="160" w:before="300"/>
      </w:pPr>
      <w:r>
        <w:rPr>
          <w:rFonts w:ascii="Georgia" w:cs="Georgia" w:eastAsia="Georgia" w:hAnsi="Georgia"/>
          <w:b/>
          <w:bCs/>
          <w:color w:val="1A1A1A"/>
          <w:sz w:val="27"/>
          <w:szCs w:val="27"/>
        </w:rPr>
        <w:t xml:space="preserve">1.5  Scope and Non-Goals</w:t>
      </w:r>
    </w:p>
    <w:p>
      <w:pPr>
        <w:spacing w:after="160" w:line="336"/>
        <w:jc w:val="both"/>
      </w:pPr>
      <w:r>
        <w:rPr>
          <w:rFonts w:ascii="Georgia" w:cs="Georgia" w:eastAsia="Georgia" w:hAnsi="Georgia"/>
          <w:sz w:val="22"/>
          <w:szCs w:val="22"/>
        </w:rPr>
        <w:t xml:space="preserve">Three boundaries are worth stating up front. First, I study static per-epoch assignment: the orchestrator re-solves a snapshot problem at each scheduling tick rather than solving a full temporal scheduling problem with precedence chains inside the QUBO. Dependencies are handled by the epoch mechanism (a task becomes eligible only when its parents complete), which keeps the encoding compact; the alternative time-indexed encoding is analysed but not implemented. Second, I do not claim quantum advantage, and the reader will find no such claim buried in the discussion. Third, agent alignment, security of tool use, and prompt-injection defence are acknowledged where they touch the design (particularly around MCP) but are not the subject of this thesis.</w:t>
      </w:r>
    </w:p>
    <w:p>
      <w:pPr>
        <w:pStyle w:val="Heading2"/>
        <w:spacing w:after="160" w:before="300"/>
      </w:pPr>
      <w:r>
        <w:rPr>
          <w:rFonts w:ascii="Georgia" w:cs="Georgia" w:eastAsia="Georgia" w:hAnsi="Georgia"/>
          <w:b/>
          <w:bCs/>
          <w:color w:val="1A1A1A"/>
          <w:sz w:val="27"/>
          <w:szCs w:val="27"/>
        </w:rPr>
        <w:t xml:space="preserve">1.6  Thesis Outline</w:t>
      </w:r>
    </w:p>
    <w:p>
      <w:pPr>
        <w:spacing w:after="160" w:line="336"/>
        <w:jc w:val="both"/>
      </w:pPr>
      <w:r>
        <w:rPr>
          <w:rFonts w:ascii="Georgia" w:cs="Georgia" w:eastAsia="Georgia" w:hAnsi="Georgia"/>
          <w:sz w:val="22"/>
          <w:szCs w:val="22"/>
        </w:rPr>
        <w:t xml:space="preserve">Chapter 2 reviews the two literatures this work sits between: agentic AI systems (agents, harnesses, MCP, knowledge substrates) and quantum combinatorial optimization (QUBO, Ising, QAOA, IBM's stack). Chapter 3 develops the orchestration model and its QUBO encoding, with a worked example small enough to check by hand. Chapter 4 describes the system: vault schema, harness design, MCP surface, and the Qiskit implementation of the solver. Chapter 5 presents the evaluation. Chapter 6 discusses what the results do and do not mean, along with limitations and threats to validity. Chapter 7 concludes and sketches the annealing and adiabatic follow-on work that the formulation was deliberately designed to permit.</w:t>
      </w:r>
    </w:p>
    <w:p>
      <w:pPr>
        <w:pStyle w:val="Heading1"/>
        <w:pageBreakBefore/>
        <w:spacing w:after="240" w:before="240"/>
      </w:pPr>
      <w:r>
        <w:rPr>
          <w:rFonts w:ascii="Georgia" w:cs="Georgia" w:eastAsia="Georgia" w:hAnsi="Georgia"/>
          <w:b/>
          <w:bCs/>
          <w:color w:val="1A1A1A"/>
          <w:sz w:val="34"/>
          <w:szCs w:val="34"/>
        </w:rPr>
        <w:t xml:space="preserve">Chapter 2 — Background and Related Work</w:t>
      </w:r>
    </w:p>
    <w:p>
      <w:pPr>
        <w:spacing w:after="160" w:line="336"/>
        <w:jc w:val="both"/>
      </w:pPr>
      <w:r>
        <w:rPr>
          <w:rFonts w:ascii="Georgia" w:cs="Georgia" w:eastAsia="Georgia" w:hAnsi="Georgia"/>
          <w:sz w:val="22"/>
          <w:szCs w:val="22"/>
        </w:rPr>
        <w:t xml:space="preserve">This chapter has to serve two audiences. A reader from quantum computing may never have configured an agent harness; a reader from the agents world may never have written down an Ising Hamiltonian. I have tried to give each side enough of the other's vocabulary to follow Chapters 3–5, and to keep the survey honest about how young some of this material is — several of the systems I describe did not exist when I started the degree.</w:t>
      </w:r>
    </w:p>
    <w:p>
      <w:pPr>
        <w:pStyle w:val="Heading2"/>
        <w:spacing w:after="160" w:before="300"/>
      </w:pPr>
      <w:r>
        <w:rPr>
          <w:rFonts w:ascii="Georgia" w:cs="Georgia" w:eastAsia="Georgia" w:hAnsi="Georgia"/>
          <w:b/>
          <w:bCs/>
          <w:color w:val="1A1A1A"/>
          <w:sz w:val="27"/>
          <w:szCs w:val="27"/>
        </w:rPr>
        <w:t xml:space="preserve">2.1  AI Agents and the Workforce Framing</w:t>
      </w:r>
    </w:p>
    <w:p>
      <w:pPr>
        <w:spacing w:after="160" w:line="336"/>
        <w:jc w:val="both"/>
      </w:pPr>
      <w:r>
        <w:rPr>
          <w:rFonts w:ascii="Georgia" w:cs="Georgia" w:eastAsia="Georgia" w:hAnsi="Georgia"/>
          <w:sz w:val="22"/>
          <w:szCs w:val="22"/>
        </w:rPr>
        <w:t xml:space="preserve">An agent, for this thesis, is a large language model instance embedded in a control loop that lets it perceive (read files, query APIs), act (call tools, write artifacts), and persist (carry state across steps). The definition is deliberately unromantic. What separates an agent from a chat session is not intelligence but plumbing: the loop, the tools, the memory. When an organisation runs many such loops against a shared backlog, the natural questions are staffing questions, and the literature has begun to treat them that way — routing, load balancing, and skill matching across heterogeneous model workers, where a large frontier model and a small local model have genuinely different cost and capability profiles.</w:t>
      </w:r>
    </w:p>
    <w:p>
      <w:pPr>
        <w:spacing w:after="160" w:line="336"/>
        <w:jc w:val="both"/>
      </w:pPr>
      <w:r>
        <w:rPr>
          <w:rFonts w:ascii="Georgia" w:cs="Georgia" w:eastAsia="Georgia" w:hAnsi="Georgia"/>
          <w:sz w:val="22"/>
          <w:szCs w:val="22"/>
        </w:rPr>
        <w:t xml:space="preserve">The orchestration problem I formalise in Chapter 3 abstracts this as follows: a set of agents with capacity budgets and per-category competence scores; a batch of eligible tasks with effort estimates and category labels; pairwise relationships between tasks (they share context, or they must not share a worker); and a scheduler that must produce an assignment each epoch. The abstraction is standard; what is new is grounding every coefficient in telemetry from a specific, reproducible stack, which is why the next three subsections describe that stack rather than a generic one.</w:t>
      </w:r>
    </w:p>
    <w:p>
      <w:pPr>
        <w:pStyle w:val="Heading3"/>
        <w:spacing w:after="120" w:before="240"/>
      </w:pPr>
      <w:r>
        <w:rPr>
          <w:rFonts w:ascii="Georgia" w:cs="Georgia" w:eastAsia="Georgia" w:hAnsi="Georgia"/>
          <w:b/>
          <w:bCs/>
          <w:color w:val="333333"/>
          <w:sz w:val="23"/>
          <w:szCs w:val="23"/>
        </w:rPr>
        <w:t xml:space="preserve">2.1.1  Hermes Agents</w:t>
      </w:r>
    </w:p>
    <w:p>
      <w:pPr>
        <w:spacing w:after="160" w:line="336"/>
        <w:jc w:val="both"/>
      </w:pPr>
      <w:r>
        <w:rPr>
          <w:rFonts w:ascii="Georgia" w:cs="Georgia" w:eastAsia="Georgia" w:hAnsi="Georgia"/>
          <w:sz w:val="22"/>
          <w:szCs w:val="22"/>
        </w:rPr>
        <w:t xml:space="preserve">The worker models in this project come from the Hermes family of open-weight, instruction-tuned models published by Nous Research. Two properties made Hermes the right choice. The first is practical: the family has consistently emphasised reliable structured output and function calling, which is the load-bearing capability for tool-using agents — an agent whose JSON tool calls parse on the first attempt is dramatically cheaper to harness than one that needs repair loops. The second is methodological: open weights mean I can pin an exact model artifact, run it on my own hardware, log every token, and be confident that the capability profile I measured in week one still holds in week ten. A thesis whose cost coefficients silently drift because a hosted model was updated mid-experiment would be difficult to defend.</w:t>
      </w:r>
    </w:p>
    <w:p>
      <w:pPr>
        <w:spacing w:after="160" w:line="336"/>
        <w:jc w:val="both"/>
      </w:pPr>
      <w:r>
        <w:rPr>
          <w:rFonts w:ascii="Georgia" w:cs="Georgia" w:eastAsia="Georgia" w:hAnsi="Georgia"/>
          <w:sz w:val="22"/>
          <w:szCs w:val="22"/>
        </w:rPr>
        <w:t xml:space="preserve">I ran Hermes at two sizes — a larger model for reasoning-heavy task categories and a smaller, cheaper one for mechanical categories such as extraction and formatting — which is precisely the heterogeneity that makes assignment non-trivial. If all workers were identical, the problem in Chapter 3 would collapse to load balancing. They are not, and it does not.</w:t>
      </w:r>
    </w:p>
    <w:p>
      <w:pPr>
        <w:pStyle w:val="Heading3"/>
        <w:spacing w:after="120" w:before="240"/>
      </w:pPr>
      <w:r>
        <w:rPr>
          <w:rFonts w:ascii="Georgia" w:cs="Georgia" w:eastAsia="Georgia" w:hAnsi="Georgia"/>
          <w:b/>
          <w:bCs/>
          <w:color w:val="333333"/>
          <w:sz w:val="23"/>
          <w:szCs w:val="23"/>
        </w:rPr>
        <w:t xml:space="preserve">2.1.2  Obsidian as the AI Brain</w:t>
      </w:r>
    </w:p>
    <w:p>
      <w:pPr>
        <w:spacing w:after="160" w:line="336"/>
        <w:jc w:val="both"/>
      </w:pPr>
      <w:r>
        <w:rPr>
          <w:rFonts w:ascii="Georgia" w:cs="Georgia" w:eastAsia="Georgia" w:hAnsi="Georgia"/>
          <w:sz w:val="22"/>
          <w:szCs w:val="22"/>
        </w:rPr>
        <w:t xml:space="preserve">Every multi-agent system needs a shared memory, and there is a spectrum of options from vector databases to bespoke SQL schemas. I chose an Obsidian vault: a directory of plain Markdown files with YAML front-matter, wiki-style backlinks, and a graph view, editable by humans in the Obsidian application and by agents through an MCP file server. The choice looks low-tech and that is the point. Three properties earned it the role of the system's brain:</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Inspectability. </w:t>
      </w:r>
      <w:r>
        <w:rPr>
          <w:rFonts w:ascii="Georgia" w:cs="Georgia" w:eastAsia="Georgia" w:hAnsi="Georgia"/>
          <w:b w:val="false"/>
          <w:bCs w:val="false"/>
          <w:i w:val="false"/>
          <w:iCs w:val="false"/>
          <w:sz w:val="22"/>
          <w:szCs w:val="22"/>
        </w:rPr>
        <w:t xml:space="preserve">Every task card, capability profile, and decision record is a human-readable file. When an assignment looked wrong, I could open the vault and see exactly what the optimizer saw. Debugging a black-box store is nothing like this.</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Structure without a schema police. </w:t>
      </w:r>
      <w:r>
        <w:rPr>
          <w:rFonts w:ascii="Georgia" w:cs="Georgia" w:eastAsia="Georgia" w:hAnsi="Georgia"/>
          <w:b w:val="false"/>
          <w:bCs w:val="false"/>
          <w:i w:val="false"/>
          <w:iCs w:val="false"/>
          <w:sz w:val="22"/>
          <w:szCs w:val="22"/>
        </w:rPr>
        <w:t xml:space="preserve">YAML front-matter gives typed fields (effort, category, depends_on, affinity_group) that the orchestrator parses mechanically, while the Markdown body carries the unstructured context the agents actually read. The two layers age at different speeds, and Markdown tolerates that.</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Links as data. </w:t>
      </w:r>
      <w:r>
        <w:rPr>
          <w:rFonts w:ascii="Georgia" w:cs="Georgia" w:eastAsia="Georgia" w:hAnsi="Georgia"/>
          <w:b w:val="false"/>
          <w:bCs w:val="false"/>
          <w:i w:val="false"/>
          <w:iCs w:val="false"/>
          <w:sz w:val="22"/>
          <w:szCs w:val="22"/>
        </w:rPr>
        <w:t xml:space="preserve">Backlinks between task cards are how context affinity enters the model: two tasks that cite the same design note probably belong with the same agent, whose context window already contains that note. Section 3.3 turns link overlap into the quadratic bonus terms of the QUBO — the vault's graph structure literally becomes off-diagonal entries in the Q matrix.</w:t>
      </w:r>
    </w:p>
    <w:p>
      <w:pPr>
        <w:spacing w:after="160" w:line="336"/>
        <w:jc w:val="both"/>
      </w:pPr>
      <w:r>
        <w:rPr>
          <w:rFonts w:ascii="Georgia" w:cs="Georgia" w:eastAsia="Georgia" w:hAnsi="Georgia"/>
          <w:sz w:val="22"/>
          <w:szCs w:val="22"/>
        </w:rPr>
        <w:t xml:space="preserve">The 'second brain' framing popular in personal knowledge management transfers to agent fleets more literally than I expected: the vault is where the fleet's institutional memory accumulates, and agents that write good notes make future assignments better, because the affinity signal sharpens.</w:t>
      </w:r>
    </w:p>
    <w:p>
      <w:pPr>
        <w:pStyle w:val="Heading3"/>
        <w:spacing w:after="120" w:before="240"/>
      </w:pPr>
      <w:r>
        <w:rPr>
          <w:rFonts w:ascii="Georgia" w:cs="Georgia" w:eastAsia="Georgia" w:hAnsi="Georgia"/>
          <w:b/>
          <w:bCs/>
          <w:color w:val="333333"/>
          <w:sz w:val="23"/>
          <w:szCs w:val="23"/>
        </w:rPr>
        <w:t xml:space="preserve">2.1.3  Harness Engineering</w:t>
      </w:r>
    </w:p>
    <w:p>
      <w:pPr>
        <w:spacing w:after="160" w:line="336"/>
        <w:jc w:val="both"/>
      </w:pPr>
      <w:r>
        <w:rPr>
          <w:rFonts w:ascii="Georgia" w:cs="Georgia" w:eastAsia="Georgia" w:hAnsi="Georgia"/>
          <w:sz w:val="22"/>
          <w:szCs w:val="22"/>
        </w:rPr>
        <w:t xml:space="preserve">A model is not an agent; a model plus a harness is. The harness is the software that owns the loop: it assembles context under a token budget, presents tools, validates and executes tool calls, retries on transient failures, enforces step and cost ceilings, and emits telemetry. The agents community began using the phrase harness engineering around 2024–2025 to name the observation that most of an agent system's reliability lives here, not in the model. My experience supports that. The same Hermes checkpoint, wrapped in a harness with schema-validated tool calls and bounded retries, completed roughly a third more tasks in my pilot runs than it did under a naive loop — with no change to the model at all.</w:t>
      </w:r>
    </w:p>
    <w:p>
      <w:pPr>
        <w:spacing w:after="160" w:line="336"/>
        <w:jc w:val="both"/>
      </w:pPr>
      <w:r>
        <w:rPr>
          <w:rFonts w:ascii="Georgia" w:cs="Georgia" w:eastAsia="Georgia" w:hAnsi="Georgia"/>
          <w:sz w:val="22"/>
          <w:szCs w:val="22"/>
        </w:rPr>
        <w:t xml:space="preserve">For this thesis the harness plays a second role that I have not seen emphasised elsewhere: it is the measurement instrument for the optimization model. The success probabilities, token-cost estimates, and duration distributions that populate the QUBO coefficients are all harness telemetry, aggregated per (agent, task-category) pair with exponential decay so that recent behaviour dominates. Section 4.3 details the schema. The methodological point deserves a sentence of its own: an optimization model is only as honest as its coefficients, and in agent systems the harness is the only component positioned to produce honest coefficients.</w:t>
      </w:r>
    </w:p>
    <w:p>
      <w:pPr>
        <w:pStyle w:val="Heading3"/>
        <w:spacing w:after="120" w:before="240"/>
      </w:pPr>
      <w:r>
        <w:rPr>
          <w:rFonts w:ascii="Georgia" w:cs="Georgia" w:eastAsia="Georgia" w:hAnsi="Georgia"/>
          <w:b/>
          <w:bCs/>
          <w:color w:val="333333"/>
          <w:sz w:val="23"/>
          <w:szCs w:val="23"/>
        </w:rPr>
        <w:t xml:space="preserve">2.1.4  The Model Context Protocol</w:t>
      </w:r>
    </w:p>
    <w:p>
      <w:pPr>
        <w:spacing w:after="160" w:line="336"/>
        <w:jc w:val="both"/>
      </w:pPr>
      <w:r>
        <w:rPr>
          <w:rFonts w:ascii="Georgia" w:cs="Georgia" w:eastAsia="Georgia" w:hAnsi="Georgia"/>
          <w:sz w:val="22"/>
          <w:szCs w:val="22"/>
        </w:rPr>
        <w:t xml:space="preserve">The Model Context Protocol (MCP), introduced by Anthropic in November 2024 and adopted broadly across the industry during 2025, is an open, JSON-RPC-based standard through which model applications discover and invoke external capabilities. A server exposes tools (callable functions), resources (readable data), and prompts; a client — typically an agent harness — connects, lists capabilities, and calls them. The protocol's value for this thesis is architectural. Because the vault, the task queue, and the optimizer are each behind an MCP server, the orchestrator is not a privileged god-object wired into every agent; it is one tool among several, callable by anything that speaks the protocol. Swapping the QAOA backend for the classical fallback, or later for a quantum annealer, changes nothing on the client side.</w:t>
      </w:r>
    </w:p>
    <w:p>
      <w:pPr>
        <w:spacing w:after="160" w:line="336"/>
        <w:jc w:val="both"/>
      </w:pPr>
      <w:r>
        <w:rPr>
          <w:rFonts w:ascii="Georgia" w:cs="Georgia" w:eastAsia="Georgia" w:hAnsi="Georgia"/>
          <w:sz w:val="22"/>
          <w:szCs w:val="22"/>
        </w:rPr>
        <w:t xml:space="preserve">MCP also imports a real security surface — tool descriptions and resource contents are model-visible text and therefore prompt-injection vectors, a risk documented repeatedly in 2025 — and Section 4.6 describes the containment measures I adopted (read-only vault mounts for worker agents, an allow-listed tool registry, and human confirmation on destructive operations). I flag this here because any thesis that proposes wiring an optimizer into a fleet of autonomous agents owes the reader at least an acknowledgement that autonomy has teeth.</w:t>
      </w:r>
    </w:p>
    <w:p>
      <w:pPr>
        <w:pStyle w:val="Heading2"/>
        <w:spacing w:after="160" w:before="300"/>
      </w:pPr>
      <w:r>
        <w:rPr>
          <w:rFonts w:ascii="Georgia" w:cs="Georgia" w:eastAsia="Georgia" w:hAnsi="Georgia"/>
          <w:b/>
          <w:bCs/>
          <w:color w:val="1A1A1A"/>
          <w:sz w:val="27"/>
          <w:szCs w:val="27"/>
        </w:rPr>
        <w:t xml:space="preserve">2.2  Combinatorial Optimization Background</w:t>
      </w:r>
    </w:p>
    <w:p>
      <w:pPr>
        <w:pStyle w:val="Heading3"/>
        <w:spacing w:after="120" w:before="240"/>
      </w:pPr>
      <w:r>
        <w:rPr>
          <w:rFonts w:ascii="Georgia" w:cs="Georgia" w:eastAsia="Georgia" w:hAnsi="Georgia"/>
          <w:b/>
          <w:bCs/>
          <w:color w:val="333333"/>
          <w:sz w:val="23"/>
          <w:szCs w:val="23"/>
        </w:rPr>
        <w:t xml:space="preserve">2.2.1  Assignment and Generalised Assignment</w:t>
      </w:r>
    </w:p>
    <w:p>
      <w:pPr>
        <w:spacing w:after="160" w:line="336"/>
        <w:jc w:val="both"/>
      </w:pPr>
      <w:r>
        <w:rPr>
          <w:rFonts w:ascii="Georgia" w:cs="Georgia" w:eastAsia="Georgia" w:hAnsi="Georgia"/>
          <w:sz w:val="22"/>
          <w:szCs w:val="22"/>
        </w:rPr>
        <w:t xml:space="preserve">The linear assignment problem — n workers, n jobs, one job each, minimise total cost — is famously easy: the Hungarian algorithm solves it in polynomial time. The realistic version of my problem is the Generalised Assignment Problem (GAP): agents have capacities, tasks have sizes, each task goes to exactly one agent, and the objective rewards good matches. GAP is NP-hard, and adding quadratic interaction terms between assignments — the affinity and anti-affinity structure central to agent orchestration — pushes it toward quadratic assignment territory, which is among the most stubborn classes in combinatorial optimization. This is worth stating precisely because my instances are small: the claim is not that current instances are hard in practice (they are not; CBC solves them in milliseconds), but that the problem family scales badly, which is the standing invitation to heuristic and quantum methods.</w:t>
      </w:r>
    </w:p>
    <w:p>
      <w:pPr>
        <w:pStyle w:val="Heading3"/>
        <w:spacing w:after="120" w:before="240"/>
      </w:pPr>
      <w:r>
        <w:rPr>
          <w:rFonts w:ascii="Georgia" w:cs="Georgia" w:eastAsia="Georgia" w:hAnsi="Georgia"/>
          <w:b/>
          <w:bCs/>
          <w:color w:val="333333"/>
          <w:sz w:val="23"/>
          <w:szCs w:val="23"/>
        </w:rPr>
        <w:t xml:space="preserve">2.2.2  QUBO and the Ising Model</w:t>
      </w:r>
    </w:p>
    <w:p>
      <w:pPr>
        <w:spacing w:after="160" w:line="336"/>
        <w:jc w:val="both"/>
      </w:pPr>
      <w:r>
        <w:rPr>
          <w:rFonts w:ascii="Georgia" w:cs="Georgia" w:eastAsia="Georgia" w:hAnsi="Georgia"/>
          <w:sz w:val="22"/>
          <w:szCs w:val="22"/>
        </w:rPr>
        <w:t xml:space="preserve">A QUBO asks for a binary vector minimising a quadratic form:</w:t>
      </w:r>
    </w:p>
    <w:p>
      <w:pPr>
        <w:tabs>
          <w:tab w:val="right" w:pos="9360"/>
        </w:tabs>
        <w:spacing w:after="160" w:before="120"/>
        <w:jc w:val="center"/>
      </w:pPr>
      <w:r>
        <w:rPr>
          <w:rFonts w:ascii="Cambria Math" w:cs="Cambria Math" w:eastAsia="Cambria Math" w:hAnsi="Cambria Math"/>
          <w:b w:val="false"/>
          <w:bCs w:val="false"/>
          <w:i/>
          <w:iCs/>
          <w:sz w:val="22"/>
          <w:szCs w:val="22"/>
        </w:rPr>
        <w:t xml:space="preserve">minimise   f(x) = x</w:t>
      </w:r>
      <w:r>
        <w:rPr>
          <w:rFonts w:ascii="Cambria Math" w:cs="Cambria Math" w:eastAsia="Cambria Math" w:hAnsi="Cambria Math"/>
          <w:b w:val="false"/>
          <w:bCs w:val="false"/>
          <w:i/>
          <w:iCs/>
          <w:sz w:val="22"/>
          <w:szCs w:val="22"/>
          <w:vertAlign w:val="superscript"/>
        </w:rPr>
        <w:t xml:space="preserve">T</w:t>
      </w:r>
      <w:r>
        <w:rPr>
          <w:rFonts w:ascii="Cambria Math" w:cs="Cambria Math" w:eastAsia="Cambria Math" w:hAnsi="Cambria Math"/>
          <w:b w:val="false"/>
          <w:bCs w:val="false"/>
          <w:i/>
          <w:iCs/>
          <w:sz w:val="22"/>
          <w:szCs w:val="22"/>
        </w:rPr>
        <w:t xml:space="preserve">Q x = Σ</w:t>
      </w:r>
      <w:r>
        <w:rPr>
          <w:rFonts w:ascii="Cambria Math" w:cs="Cambria Math" w:eastAsia="Cambria Math" w:hAnsi="Cambria Math"/>
          <w:b w:val="false"/>
          <w:bCs w:val="false"/>
          <w:i/>
          <w:iCs/>
          <w:sz w:val="22"/>
          <w:szCs w:val="22"/>
          <w:vertAlign w:val="subscript"/>
        </w:rPr>
        <w:t xml:space="preserve">i</w:t>
      </w:r>
      <w:r>
        <w:rPr>
          <w:rFonts w:ascii="Cambria Math" w:cs="Cambria Math" w:eastAsia="Cambria Math" w:hAnsi="Cambria Math"/>
          <w:b w:val="false"/>
          <w:bCs w:val="false"/>
          <w:i/>
          <w:iCs/>
          <w:sz w:val="22"/>
          <w:szCs w:val="22"/>
        </w:rPr>
        <w:t xml:space="preserve"> Q</w:t>
      </w:r>
      <w:r>
        <w:rPr>
          <w:rFonts w:ascii="Cambria Math" w:cs="Cambria Math" w:eastAsia="Cambria Math" w:hAnsi="Cambria Math"/>
          <w:b w:val="false"/>
          <w:bCs w:val="false"/>
          <w:i/>
          <w:iCs/>
          <w:sz w:val="22"/>
          <w:szCs w:val="22"/>
          <w:vertAlign w:val="subscript"/>
        </w:rPr>
        <w:t xml:space="preserve">ii</w:t>
      </w:r>
      <w:r>
        <w:rPr>
          <w:rFonts w:ascii="Cambria Math" w:cs="Cambria Math" w:eastAsia="Cambria Math" w:hAnsi="Cambria Math"/>
          <w:b w:val="false"/>
          <w:bCs w:val="false"/>
          <w:i/>
          <w:iCs/>
          <w:sz w:val="22"/>
          <w:szCs w:val="22"/>
        </w:rPr>
        <w:t xml:space="preserve"> x</w:t>
      </w:r>
      <w:r>
        <w:rPr>
          <w:rFonts w:ascii="Cambria Math" w:cs="Cambria Math" w:eastAsia="Cambria Math" w:hAnsi="Cambria Math"/>
          <w:b w:val="false"/>
          <w:bCs w:val="false"/>
          <w:i/>
          <w:iCs/>
          <w:sz w:val="22"/>
          <w:szCs w:val="22"/>
          <w:vertAlign w:val="subscript"/>
        </w:rPr>
        <w:t xml:space="preserve">i</w:t>
      </w:r>
      <w:r>
        <w:rPr>
          <w:rFonts w:ascii="Cambria Math" w:cs="Cambria Math" w:eastAsia="Cambria Math" w:hAnsi="Cambria Math"/>
          <w:b w:val="false"/>
          <w:bCs w:val="false"/>
          <w:i/>
          <w:iCs/>
          <w:sz w:val="22"/>
          <w:szCs w:val="22"/>
        </w:rPr>
        <w:t xml:space="preserve"> + Σ</w:t>
      </w:r>
      <w:r>
        <w:rPr>
          <w:rFonts w:ascii="Cambria Math" w:cs="Cambria Math" w:eastAsia="Cambria Math" w:hAnsi="Cambria Math"/>
          <w:b w:val="false"/>
          <w:bCs w:val="false"/>
          <w:i/>
          <w:iCs/>
          <w:sz w:val="22"/>
          <w:szCs w:val="22"/>
          <w:vertAlign w:val="subscript"/>
        </w:rPr>
        <w:t xml:space="preserve">i&lt;j</w:t>
      </w:r>
      <w:r>
        <w:rPr>
          <w:rFonts w:ascii="Cambria Math" w:cs="Cambria Math" w:eastAsia="Cambria Math" w:hAnsi="Cambria Math"/>
          <w:b w:val="false"/>
          <w:bCs w:val="false"/>
          <w:i/>
          <w:iCs/>
          <w:sz w:val="22"/>
          <w:szCs w:val="22"/>
        </w:rPr>
        <w:t xml:space="preserve"> Q</w:t>
      </w:r>
      <w:r>
        <w:rPr>
          <w:rFonts w:ascii="Cambria Math" w:cs="Cambria Math" w:eastAsia="Cambria Math" w:hAnsi="Cambria Math"/>
          <w:b w:val="false"/>
          <w:bCs w:val="false"/>
          <w:i/>
          <w:iCs/>
          <w:sz w:val="22"/>
          <w:szCs w:val="22"/>
          <w:vertAlign w:val="subscript"/>
        </w:rPr>
        <w:t xml:space="preserve">ij</w:t>
      </w:r>
      <w:r>
        <w:rPr>
          <w:rFonts w:ascii="Cambria Math" w:cs="Cambria Math" w:eastAsia="Cambria Math" w:hAnsi="Cambria Math"/>
          <w:b w:val="false"/>
          <w:bCs w:val="false"/>
          <w:i/>
          <w:iCs/>
          <w:sz w:val="22"/>
          <w:szCs w:val="22"/>
        </w:rPr>
        <w:t xml:space="preserve"> x</w:t>
      </w:r>
      <w:r>
        <w:rPr>
          <w:rFonts w:ascii="Cambria Math" w:cs="Cambria Math" w:eastAsia="Cambria Math" w:hAnsi="Cambria Math"/>
          <w:b w:val="false"/>
          <w:bCs w:val="false"/>
          <w:i/>
          <w:iCs/>
          <w:sz w:val="22"/>
          <w:szCs w:val="22"/>
          <w:vertAlign w:val="subscript"/>
        </w:rPr>
        <w:t xml:space="preserve">i</w:t>
      </w:r>
      <w:r>
        <w:rPr>
          <w:rFonts w:ascii="Cambria Math" w:cs="Cambria Math" w:eastAsia="Cambria Math" w:hAnsi="Cambria Math"/>
          <w:b w:val="false"/>
          <w:bCs w:val="false"/>
          <w:i/>
          <w:iCs/>
          <w:sz w:val="22"/>
          <w:szCs w:val="22"/>
        </w:rPr>
        <w:t xml:space="preserve"> x</w:t>
      </w:r>
      <w:r>
        <w:rPr>
          <w:rFonts w:ascii="Cambria Math" w:cs="Cambria Math" w:eastAsia="Cambria Math" w:hAnsi="Cambria Math"/>
          <w:b w:val="false"/>
          <w:bCs w:val="false"/>
          <w:i/>
          <w:iCs/>
          <w:sz w:val="22"/>
          <w:szCs w:val="22"/>
          <w:vertAlign w:val="subscript"/>
        </w:rPr>
        <w:t xml:space="preserve">j</w:t>
      </w:r>
      <w:r>
        <w:rPr>
          <w:rFonts w:ascii="Cambria Math" w:cs="Cambria Math" w:eastAsia="Cambria Math" w:hAnsi="Cambria Math"/>
          <w:b w:val="false"/>
          <w:bCs w:val="false"/>
          <w:i/>
          <w:iCs/>
          <w:sz w:val="22"/>
          <w:szCs w:val="22"/>
        </w:rPr>
        <w:t xml:space="preserve">,   x ∈ {0,1}</w:t>
      </w:r>
      <w:r>
        <w:rPr>
          <w:rFonts w:ascii="Cambria Math" w:cs="Cambria Math" w:eastAsia="Cambria Math" w:hAnsi="Cambria Math"/>
          <w:b w:val="false"/>
          <w:bCs w:val="false"/>
          <w:i/>
          <w:iCs/>
          <w:sz w:val="22"/>
          <w:szCs w:val="22"/>
          <w:vertAlign w:val="superscript"/>
        </w:rPr>
        <w:t xml:space="preserve">n</w:t>
      </w:r>
      <w:r>
        <w:rPr>
          <w:rFonts w:ascii="Georgia" w:cs="Georgia" w:eastAsia="Georgia" w:hAnsi="Georgia"/>
          <w:sz w:val="22"/>
          <w:szCs w:val="22"/>
        </w:rPr>
        <w:t xml:space="preserve">	(2.1)</w:t>
      </w:r>
    </w:p>
    <w:p>
      <w:pPr>
        <w:spacing w:after="160" w:line="336"/>
        <w:jc w:val="both"/>
      </w:pPr>
      <w:r>
        <w:rPr>
          <w:rFonts w:ascii="Georgia" w:cs="Georgia" w:eastAsia="Georgia" w:hAnsi="Georgia"/>
          <w:sz w:val="22"/>
          <w:szCs w:val="22"/>
        </w:rPr>
        <w:t xml:space="preserve">Its expressive power comes from a folk theorem of the field: essentially any constrained binary optimization problem can be rewritten as a QUBO by moving constraints into the objective as squared penalty terms — Lucas's 2014 catalogue of Ising formulations for NP problems is the standard reference, and Glover, Kochenberger and Du's tutorial is the gentler on-ramp. The substitution x = (1 − s)/2 maps a QUBO to an Ising Hamiltonian over spins s ∈ {−1, +1}:</w:t>
      </w:r>
    </w:p>
    <w:p>
      <w:pPr>
        <w:tabs>
          <w:tab w:val="right" w:pos="9360"/>
        </w:tabs>
        <w:spacing w:after="160" w:before="120"/>
        <w:jc w:val="center"/>
      </w:pPr>
      <w:r>
        <w:rPr>
          <w:rFonts w:ascii="Cambria Math" w:cs="Cambria Math" w:eastAsia="Cambria Math" w:hAnsi="Cambria Math"/>
          <w:b w:val="false"/>
          <w:bCs w:val="false"/>
          <w:i/>
          <w:iCs/>
          <w:sz w:val="22"/>
          <w:szCs w:val="22"/>
        </w:rPr>
        <w:t xml:space="preserve">H(s) = Σ</w:t>
      </w:r>
      <w:r>
        <w:rPr>
          <w:rFonts w:ascii="Cambria Math" w:cs="Cambria Math" w:eastAsia="Cambria Math" w:hAnsi="Cambria Math"/>
          <w:b w:val="false"/>
          <w:bCs w:val="false"/>
          <w:i/>
          <w:iCs/>
          <w:sz w:val="22"/>
          <w:szCs w:val="22"/>
          <w:vertAlign w:val="subscript"/>
        </w:rPr>
        <w:t xml:space="preserve">i</w:t>
      </w:r>
      <w:r>
        <w:rPr>
          <w:rFonts w:ascii="Cambria Math" w:cs="Cambria Math" w:eastAsia="Cambria Math" w:hAnsi="Cambria Math"/>
          <w:b w:val="false"/>
          <w:bCs w:val="false"/>
          <w:i/>
          <w:iCs/>
          <w:sz w:val="22"/>
          <w:szCs w:val="22"/>
        </w:rPr>
        <w:t xml:space="preserve"> h</w:t>
      </w:r>
      <w:r>
        <w:rPr>
          <w:rFonts w:ascii="Cambria Math" w:cs="Cambria Math" w:eastAsia="Cambria Math" w:hAnsi="Cambria Math"/>
          <w:b w:val="false"/>
          <w:bCs w:val="false"/>
          <w:i/>
          <w:iCs/>
          <w:sz w:val="22"/>
          <w:szCs w:val="22"/>
          <w:vertAlign w:val="subscript"/>
        </w:rPr>
        <w:t xml:space="preserve">i</w:t>
      </w:r>
      <w:r>
        <w:rPr>
          <w:rFonts w:ascii="Cambria Math" w:cs="Cambria Math" w:eastAsia="Cambria Math" w:hAnsi="Cambria Math"/>
          <w:b w:val="false"/>
          <w:bCs w:val="false"/>
          <w:i/>
          <w:iCs/>
          <w:sz w:val="22"/>
          <w:szCs w:val="22"/>
        </w:rPr>
        <w:t xml:space="preserve"> s</w:t>
      </w:r>
      <w:r>
        <w:rPr>
          <w:rFonts w:ascii="Cambria Math" w:cs="Cambria Math" w:eastAsia="Cambria Math" w:hAnsi="Cambria Math"/>
          <w:b w:val="false"/>
          <w:bCs w:val="false"/>
          <w:i/>
          <w:iCs/>
          <w:sz w:val="22"/>
          <w:szCs w:val="22"/>
          <w:vertAlign w:val="subscript"/>
        </w:rPr>
        <w:t xml:space="preserve">i</w:t>
      </w:r>
      <w:r>
        <w:rPr>
          <w:rFonts w:ascii="Cambria Math" w:cs="Cambria Math" w:eastAsia="Cambria Math" w:hAnsi="Cambria Math"/>
          <w:b w:val="false"/>
          <w:bCs w:val="false"/>
          <w:i/>
          <w:iCs/>
          <w:sz w:val="22"/>
          <w:szCs w:val="22"/>
        </w:rPr>
        <w:t xml:space="preserve"> + Σ</w:t>
      </w:r>
      <w:r>
        <w:rPr>
          <w:rFonts w:ascii="Cambria Math" w:cs="Cambria Math" w:eastAsia="Cambria Math" w:hAnsi="Cambria Math"/>
          <w:b w:val="false"/>
          <w:bCs w:val="false"/>
          <w:i/>
          <w:iCs/>
          <w:sz w:val="22"/>
          <w:szCs w:val="22"/>
          <w:vertAlign w:val="subscript"/>
        </w:rPr>
        <w:t xml:space="preserve">i&lt;j</w:t>
      </w:r>
      <w:r>
        <w:rPr>
          <w:rFonts w:ascii="Cambria Math" w:cs="Cambria Math" w:eastAsia="Cambria Math" w:hAnsi="Cambria Math"/>
          <w:b w:val="false"/>
          <w:bCs w:val="false"/>
          <w:i/>
          <w:iCs/>
          <w:sz w:val="22"/>
          <w:szCs w:val="22"/>
        </w:rPr>
        <w:t xml:space="preserve"> J</w:t>
      </w:r>
      <w:r>
        <w:rPr>
          <w:rFonts w:ascii="Cambria Math" w:cs="Cambria Math" w:eastAsia="Cambria Math" w:hAnsi="Cambria Math"/>
          <w:b w:val="false"/>
          <w:bCs w:val="false"/>
          <w:i/>
          <w:iCs/>
          <w:sz w:val="22"/>
          <w:szCs w:val="22"/>
          <w:vertAlign w:val="subscript"/>
        </w:rPr>
        <w:t xml:space="preserve">ij</w:t>
      </w:r>
      <w:r>
        <w:rPr>
          <w:rFonts w:ascii="Cambria Math" w:cs="Cambria Math" w:eastAsia="Cambria Math" w:hAnsi="Cambria Math"/>
          <w:b w:val="false"/>
          <w:bCs w:val="false"/>
          <w:i/>
          <w:iCs/>
          <w:sz w:val="22"/>
          <w:szCs w:val="22"/>
        </w:rPr>
        <w:t xml:space="preserve"> s</w:t>
      </w:r>
      <w:r>
        <w:rPr>
          <w:rFonts w:ascii="Cambria Math" w:cs="Cambria Math" w:eastAsia="Cambria Math" w:hAnsi="Cambria Math"/>
          <w:b w:val="false"/>
          <w:bCs w:val="false"/>
          <w:i/>
          <w:iCs/>
          <w:sz w:val="22"/>
          <w:szCs w:val="22"/>
          <w:vertAlign w:val="subscript"/>
        </w:rPr>
        <w:t xml:space="preserve">i</w:t>
      </w:r>
      <w:r>
        <w:rPr>
          <w:rFonts w:ascii="Cambria Math" w:cs="Cambria Math" w:eastAsia="Cambria Math" w:hAnsi="Cambria Math"/>
          <w:b w:val="false"/>
          <w:bCs w:val="false"/>
          <w:i/>
          <w:iCs/>
          <w:sz w:val="22"/>
          <w:szCs w:val="22"/>
        </w:rPr>
        <w:t xml:space="preserve"> s</w:t>
      </w:r>
      <w:r>
        <w:rPr>
          <w:rFonts w:ascii="Cambria Math" w:cs="Cambria Math" w:eastAsia="Cambria Math" w:hAnsi="Cambria Math"/>
          <w:b w:val="false"/>
          <w:bCs w:val="false"/>
          <w:i/>
          <w:iCs/>
          <w:sz w:val="22"/>
          <w:szCs w:val="22"/>
          <w:vertAlign w:val="subscript"/>
        </w:rPr>
        <w:t xml:space="preserve">j</w:t>
      </w:r>
      <w:r>
        <w:rPr>
          <w:rFonts w:ascii="Cambria Math" w:cs="Cambria Math" w:eastAsia="Cambria Math" w:hAnsi="Cambria Math"/>
          <w:b w:val="false"/>
          <w:bCs w:val="false"/>
          <w:i/>
          <w:iCs/>
          <w:sz w:val="22"/>
          <w:szCs w:val="22"/>
        </w:rPr>
        <w:t xml:space="preserve"> + const.</w:t>
      </w:r>
      <w:r>
        <w:rPr>
          <w:rFonts w:ascii="Georgia" w:cs="Georgia" w:eastAsia="Georgia" w:hAnsi="Georgia"/>
          <w:sz w:val="22"/>
          <w:szCs w:val="22"/>
        </w:rPr>
        <w:t xml:space="preserve">	(2.2)</w:t>
      </w:r>
    </w:p>
    <w:p>
      <w:pPr>
        <w:spacing w:after="160" w:line="336"/>
        <w:jc w:val="both"/>
      </w:pPr>
      <w:r>
        <w:rPr>
          <w:rFonts w:ascii="Georgia" w:cs="Georgia" w:eastAsia="Georgia" w:hAnsi="Georgia"/>
          <w:sz w:val="22"/>
          <w:szCs w:val="22"/>
        </w:rPr>
        <w:t xml:space="preserve">which is the form quantum hardware natively minimises: annealers by evolving a transverse-field Hamiltonian toward H, gate-model devices by algorithms such as QAOA that use H as a phase operator. The QUBO is thus a genuine lingua franca — one artifact, three solver families (classical heuristics, annealing, gate-model) — and this portability is the strategic reason the thesis makes the formulation, not the algorithm, its primary contribution.</w:t>
      </w:r>
    </w:p>
    <w:p>
      <w:pPr>
        <w:spacing w:after="160" w:line="336"/>
        <w:jc w:val="both"/>
      </w:pPr>
      <w:r>
        <w:rPr>
          <w:rFonts w:ascii="Georgia" w:cs="Georgia" w:eastAsia="Georgia" w:hAnsi="Georgia"/>
          <w:sz w:val="22"/>
          <w:szCs w:val="22"/>
        </w:rPr>
        <w:t xml:space="preserve">The standard tax on this convenience is penalty weight selection. Squared-penalty constraints are soft: choose weights too small and the minimiser violates constraints; too large and the energy landscape becomes a cliff face that drowns the objective signal and stalls samplers. Section 3.5 gives the bounds I derived for this model and the empirical sweep that located the workable band.</w:t>
      </w:r>
    </w:p>
    <w:p>
      <w:pPr>
        <w:pStyle w:val="Heading3"/>
        <w:spacing w:after="120" w:before="240"/>
      </w:pPr>
      <w:r>
        <w:rPr>
          <w:rFonts w:ascii="Georgia" w:cs="Georgia" w:eastAsia="Georgia" w:hAnsi="Georgia"/>
          <w:b/>
          <w:bCs/>
          <w:color w:val="333333"/>
          <w:sz w:val="23"/>
          <w:szCs w:val="23"/>
        </w:rPr>
        <w:t xml:space="preserve">2.2.3  QAOA</w:t>
      </w:r>
    </w:p>
    <w:p>
      <w:pPr>
        <w:spacing w:after="160" w:line="336"/>
        <w:jc w:val="both"/>
      </w:pPr>
      <w:r>
        <w:rPr>
          <w:rFonts w:ascii="Georgia" w:cs="Georgia" w:eastAsia="Georgia" w:hAnsi="Georgia"/>
          <w:sz w:val="22"/>
          <w:szCs w:val="22"/>
        </w:rPr>
        <w:t xml:space="preserve">The Quantum Approximate Optimization Algorithm (Farhi, Goldstone and Gutmann, 2014) prepares the state</w:t>
      </w:r>
    </w:p>
    <w:p>
      <w:pPr>
        <w:tabs>
          <w:tab w:val="right" w:pos="9360"/>
        </w:tabs>
        <w:spacing w:after="160" w:before="120"/>
        <w:jc w:val="center"/>
      </w:pPr>
      <w:r>
        <w:rPr>
          <w:rFonts w:ascii="Cambria Math" w:cs="Cambria Math" w:eastAsia="Cambria Math" w:hAnsi="Cambria Math"/>
          <w:b w:val="false"/>
          <w:bCs w:val="false"/>
          <w:i/>
          <w:iCs/>
          <w:sz w:val="22"/>
          <w:szCs w:val="22"/>
        </w:rPr>
        <w:t xml:space="preserve">|γ, β⟩ = e</w:t>
      </w:r>
      <w:r>
        <w:rPr>
          <w:rFonts w:ascii="Cambria Math" w:cs="Cambria Math" w:eastAsia="Cambria Math" w:hAnsi="Cambria Math"/>
          <w:b w:val="false"/>
          <w:bCs w:val="false"/>
          <w:i/>
          <w:iCs/>
          <w:sz w:val="22"/>
          <w:szCs w:val="22"/>
          <w:vertAlign w:val="superscript"/>
        </w:rPr>
        <w:t xml:space="preserve">−iβₚH_M</w:t>
      </w:r>
      <w:r>
        <w:rPr>
          <w:rFonts w:ascii="Cambria Math" w:cs="Cambria Math" w:eastAsia="Cambria Math" w:hAnsi="Cambria Math"/>
          <w:b w:val="false"/>
          <w:bCs w:val="false"/>
          <w:i/>
          <w:iCs/>
          <w:sz w:val="22"/>
          <w:szCs w:val="22"/>
        </w:rPr>
        <w:t xml:space="preserve"> e</w:t>
      </w:r>
      <w:r>
        <w:rPr>
          <w:rFonts w:ascii="Cambria Math" w:cs="Cambria Math" w:eastAsia="Cambria Math" w:hAnsi="Cambria Math"/>
          <w:b w:val="false"/>
          <w:bCs w:val="false"/>
          <w:i/>
          <w:iCs/>
          <w:sz w:val="22"/>
          <w:szCs w:val="22"/>
          <w:vertAlign w:val="superscript"/>
        </w:rPr>
        <w:t xml:space="preserve">−iγₚH_C</w:t>
      </w:r>
      <w:r>
        <w:rPr>
          <w:rFonts w:ascii="Cambria Math" w:cs="Cambria Math" w:eastAsia="Cambria Math" w:hAnsi="Cambria Math"/>
          <w:b w:val="false"/>
          <w:bCs w:val="false"/>
          <w:i/>
          <w:iCs/>
          <w:sz w:val="22"/>
          <w:szCs w:val="22"/>
        </w:rPr>
        <w:t xml:space="preserve"> ··· e</w:t>
      </w:r>
      <w:r>
        <w:rPr>
          <w:rFonts w:ascii="Cambria Math" w:cs="Cambria Math" w:eastAsia="Cambria Math" w:hAnsi="Cambria Math"/>
          <w:b w:val="false"/>
          <w:bCs w:val="false"/>
          <w:i/>
          <w:iCs/>
          <w:sz w:val="22"/>
          <w:szCs w:val="22"/>
          <w:vertAlign w:val="superscript"/>
        </w:rPr>
        <w:t xml:space="preserve">−iβ₁H_M</w:t>
      </w:r>
      <w:r>
        <w:rPr>
          <w:rFonts w:ascii="Cambria Math" w:cs="Cambria Math" w:eastAsia="Cambria Math" w:hAnsi="Cambria Math"/>
          <w:b w:val="false"/>
          <w:bCs w:val="false"/>
          <w:i/>
          <w:iCs/>
          <w:sz w:val="22"/>
          <w:szCs w:val="22"/>
        </w:rPr>
        <w:t xml:space="preserve"> e</w:t>
      </w:r>
      <w:r>
        <w:rPr>
          <w:rFonts w:ascii="Cambria Math" w:cs="Cambria Math" w:eastAsia="Cambria Math" w:hAnsi="Cambria Math"/>
          <w:b w:val="false"/>
          <w:bCs w:val="false"/>
          <w:i/>
          <w:iCs/>
          <w:sz w:val="22"/>
          <w:szCs w:val="22"/>
          <w:vertAlign w:val="superscript"/>
        </w:rPr>
        <w:t xml:space="preserve">−iγ₁H_C</w:t>
      </w:r>
      <w:r>
        <w:rPr>
          <w:rFonts w:ascii="Cambria Math" w:cs="Cambria Math" w:eastAsia="Cambria Math" w:hAnsi="Cambria Math"/>
          <w:b w:val="false"/>
          <w:bCs w:val="false"/>
          <w:i/>
          <w:iCs/>
          <w:sz w:val="22"/>
          <w:szCs w:val="22"/>
        </w:rPr>
        <w:t xml:space="preserve"> |+⟩</w:t>
      </w:r>
      <w:r>
        <w:rPr>
          <w:rFonts w:ascii="Cambria Math" w:cs="Cambria Math" w:eastAsia="Cambria Math" w:hAnsi="Cambria Math"/>
          <w:b w:val="false"/>
          <w:bCs w:val="false"/>
          <w:i/>
          <w:iCs/>
          <w:sz w:val="22"/>
          <w:szCs w:val="22"/>
          <w:vertAlign w:val="superscript"/>
        </w:rPr>
        <w:t xml:space="preserve">⊗n</w:t>
      </w:r>
      <w:r>
        <w:rPr>
          <w:rFonts w:ascii="Georgia" w:cs="Georgia" w:eastAsia="Georgia" w:hAnsi="Georgia"/>
          <w:sz w:val="22"/>
          <w:szCs w:val="22"/>
        </w:rPr>
        <w:t xml:space="preserve">	(2.3)</w:t>
      </w:r>
    </w:p>
    <w:p>
      <w:pPr>
        <w:spacing w:after="160" w:line="336"/>
        <w:jc w:val="both"/>
      </w:pPr>
      <w:r>
        <w:rPr>
          <w:rFonts w:ascii="Georgia" w:cs="Georgia" w:eastAsia="Georgia" w:hAnsi="Georgia"/>
          <w:sz w:val="22"/>
          <w:szCs w:val="22"/>
        </w:rPr>
        <w:t xml:space="preserve">alternating p layers of a cost unitary (generated by the Ising Hamiltonian H_C, implemented with RZ and RZZ gates) and a mixer (transverse-field rotations RX), then measures in the computational basis. A classical optimizer tunes the 2p angles (γ, β) to minimise the expected cost of the measured samples. In the p → ∞ limit QAOA recovers adiabatic evolution; at the small p accessible on noisy hardware it is best understood as a parameterised sampling heuristic whose samples are biased toward low-energy states. Two practical facts shape my methodology. First, every quadratic term in Q becomes a two-qubit interaction, so dense QUBOs on sparsely connected superconducting devices incur SWAP overhead during transpilation — circuit depth, not qubit count, is the binding constraint. Second, the angle-optimization loop multiplies hardware cost by its iteration count, which is why I optimise angles on a noiseless simulator and reserve hardware for sampling at fixed angles, a now-common protocol sometimes called warm angle transfer.</w:t>
      </w:r>
    </w:p>
    <w:p>
      <w:pPr>
        <w:pStyle w:val="Heading3"/>
        <w:spacing w:after="120" w:before="240"/>
      </w:pPr>
      <w:r>
        <w:rPr>
          <w:rFonts w:ascii="Georgia" w:cs="Georgia" w:eastAsia="Georgia" w:hAnsi="Georgia"/>
          <w:b/>
          <w:bCs/>
          <w:color w:val="333333"/>
          <w:sz w:val="23"/>
          <w:szCs w:val="23"/>
        </w:rPr>
        <w:t xml:space="preserve">2.2.4  The IBM Quantum Stack</w:t>
      </w:r>
    </w:p>
    <w:p>
      <w:pPr>
        <w:spacing w:after="160" w:line="336"/>
        <w:jc w:val="both"/>
      </w:pPr>
      <w:r>
        <w:rPr>
          <w:rFonts w:ascii="Georgia" w:cs="Georgia" w:eastAsia="Georgia" w:hAnsi="Georgia"/>
          <w:sz w:val="22"/>
          <w:szCs w:val="22"/>
        </w:rPr>
        <w:t xml:space="preserve">All quantum executions in this thesis run through Qiskit and the IBM Quantum Platform. The relevant pieces, as of the 2025–2026 systems I used: Heron-class superconducting processors (133–156 fixed-frequency transmon qubits on a heavy-hexagonal lattice, tunable couplers, two-qubit error rates in the low 10⁻³ range); the Qiskit Runtime primitives — SamplerV2 for measurement sampling and EstimatorV2 for expectation values — as the exclusive execution interface; session and batch execution modes that amortise queueing; and built-in error suppression (dynamical decoupling, Pauli twirling) plus measurement-error mitigation. Chapter 4 records the exact backends, transpilation settings, and mitigation configuration for every experiment, because hardware results that cannot be reproduced are anecdotes.</w:t>
      </w:r>
    </w:p>
    <w:p>
      <w:pPr>
        <w:pStyle w:val="Heading2"/>
        <w:spacing w:after="160" w:before="300"/>
      </w:pPr>
      <w:r>
        <w:rPr>
          <w:rFonts w:ascii="Georgia" w:cs="Georgia" w:eastAsia="Georgia" w:hAnsi="Georgia"/>
          <w:b/>
          <w:bCs/>
          <w:color w:val="1A1A1A"/>
          <w:sz w:val="27"/>
          <w:szCs w:val="27"/>
        </w:rPr>
        <w:t xml:space="preserve">2.3  Related Work</w:t>
      </w:r>
    </w:p>
    <w:p>
      <w:pPr>
        <w:pStyle w:val="Heading3"/>
        <w:spacing w:after="120" w:before="240"/>
      </w:pPr>
      <w:r>
        <w:rPr>
          <w:rFonts w:ascii="Georgia" w:cs="Georgia" w:eastAsia="Georgia" w:hAnsi="Georgia"/>
          <w:b/>
          <w:bCs/>
          <w:color w:val="333333"/>
          <w:sz w:val="23"/>
          <w:szCs w:val="23"/>
        </w:rPr>
        <w:t xml:space="preserve">2.3.1  Quantum Approaches to Scheduling and Workforce Problems</w:t>
      </w:r>
    </w:p>
    <w:p>
      <w:pPr>
        <w:spacing w:after="160" w:line="336"/>
        <w:jc w:val="both"/>
      </w:pPr>
      <w:r>
        <w:rPr>
          <w:rFonts w:ascii="Georgia" w:cs="Georgia" w:eastAsia="Georgia" w:hAnsi="Georgia"/>
          <w:sz w:val="22"/>
          <w:szCs w:val="22"/>
        </w:rPr>
        <w:t xml:space="preserve">QUBO encodings of scheduling problems predate the agent era by a decade. Venturelli, Marchand and Rojo's job-shop scheduling formulation for quantum annealers (2015) established the time-indexed template and its penalty structure; nurse rostering, satellite tasking, flight-gate assignment, and vehicle routing have all received annealing treatments, several as industrial case studies on D-Wave systems. On the gate-model side, QAOA has been benchmarked extensively on MaxCut and increasingly on constrained problems, where the recurring findings are the ones my results echo: penalty-based encodings waste probability mass on infeasible states; constraint-preserving mixers (Hadfield et al.'s Quantum Alternating Operator Ansatz) help but cost circuit depth; and post-selection plus greedy repair recovers much of the loss cheaply. What I take from this literature is a well-worn toolbox; what I did not find in it is any treatment of AI-agent workforces, whose distinguishing features — telemetry-derived coefficients that drift, epoch-based re-solving on a minutes cadence, affinity structure induced by a shared knowledge graph — are the gap this thesis occupies.</w:t>
      </w:r>
    </w:p>
    <w:p>
      <w:pPr>
        <w:pStyle w:val="Heading3"/>
        <w:spacing w:after="120" w:before="240"/>
      </w:pPr>
      <w:r>
        <w:rPr>
          <w:rFonts w:ascii="Georgia" w:cs="Georgia" w:eastAsia="Georgia" w:hAnsi="Georgia"/>
          <w:b/>
          <w:bCs/>
          <w:color w:val="333333"/>
          <w:sz w:val="23"/>
          <w:szCs w:val="23"/>
        </w:rPr>
        <w:t xml:space="preserve">2.3.2  Multi-Agent Orchestration Systems</w:t>
      </w:r>
    </w:p>
    <w:p>
      <w:pPr>
        <w:spacing w:after="160" w:line="336"/>
        <w:jc w:val="both"/>
      </w:pPr>
      <w:r>
        <w:rPr>
          <w:rFonts w:ascii="Georgia" w:cs="Georgia" w:eastAsia="Georgia" w:hAnsi="Georgia"/>
          <w:sz w:val="22"/>
          <w:szCs w:val="22"/>
        </w:rPr>
        <w:t xml:space="preserve">The agent-framework literature (and its faster-moving open-source counterpart) has produced a series of orchestration patterns: supervisor hierarchies, blackboard architectures, market-based task auctions, and graph-structured pipelines. Almost universally, the assignment decision inside these systems is made greedily — first idle agent wins, or an LLM 'router' picks by vibes — and the papers' evaluation sections concentrate on end-task quality rather than on the assignment decision itself. A few 2025 systems papers formulate agent routing as an optimization problem (typically linear, solved with off-the-shelf ILP), which is the nearest neighbour to my work. I extend that line in two directions: quadratic structure (affinity/anti-affinity, which linear formulations only reach by paying in auxiliary linearisation variables, but which QUBO expresses natively) and a solver abstraction that admits quantum backends. Conversely, I inherit the systems discipline of that literature: the optimizer must live behind a stable interface (here, MCP) and must never block the fleet — hence the fallback design of Section 4.5.</w:t>
      </w:r>
    </w:p>
    <w:p>
      <w:pPr>
        <w:pStyle w:val="Heading3"/>
        <w:spacing w:after="120" w:before="240"/>
      </w:pPr>
      <w:r>
        <w:rPr>
          <w:rFonts w:ascii="Georgia" w:cs="Georgia" w:eastAsia="Georgia" w:hAnsi="Georgia"/>
          <w:b/>
          <w:bCs/>
          <w:color w:val="333333"/>
          <w:sz w:val="23"/>
          <w:szCs w:val="23"/>
        </w:rPr>
        <w:t xml:space="preserve">2.3.3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100"/>
        <w:gridCol w:w="1060"/>
      </w:tblGrid>
      <w:tr>
        <w:trPr>
          <w:cantSplit/>
          <w:tblHeader/>
        </w:trPr>
        <w:tc>
          <w:tcPr>
            <w:tcW w:type="dxa" w:w="26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Work / family</w:t>
            </w:r>
          </w:p>
        </w:tc>
        <w:tc>
          <w:tcPr>
            <w:tcW w:type="dxa" w:w="24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Problem</w:t>
            </w:r>
          </w:p>
        </w:tc>
        <w:tc>
          <w:tcPr>
            <w:tcW w:type="dxa" w:w="22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Solver</w:t>
            </w:r>
          </w:p>
        </w:tc>
        <w:tc>
          <w:tcPr>
            <w:tcW w:type="dxa" w:w="11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Live system?</w:t>
            </w:r>
          </w:p>
        </w:tc>
        <w:tc>
          <w:tcPr>
            <w:tcW w:type="dxa" w:w="106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Agent workforce?</w:t>
            </w:r>
          </w:p>
        </w:tc>
      </w:tr>
      <w:tr>
        <w:trPr>
          <w:cantSplit/>
          <w:tblHeader w:val="false"/>
        </w:trPr>
        <w:tc>
          <w:tcPr>
            <w:tcW w:type="dxa" w:w="26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Venturelli et al. 2015</w:t>
            </w:r>
          </w:p>
        </w:tc>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Job-shop scheduling</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Quantum annealing</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No</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No</w:t>
            </w:r>
          </w:p>
        </w:tc>
      </w:tr>
      <w:tr>
        <w:trPr>
          <w:cantSplit/>
          <w:tblHeader w:val="false"/>
        </w:trPr>
        <w:tc>
          <w:tcPr>
            <w:tcW w:type="dxa" w:w="26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D-Wave industrial studies</w:t>
            </w:r>
          </w:p>
        </w:tc>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Rostering, logistics</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Hybrid annealing</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Partly</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No</w:t>
            </w:r>
          </w:p>
        </w:tc>
      </w:tr>
      <w:tr>
        <w:trPr>
          <w:cantSplit/>
          <w:tblHeader w:val="false"/>
        </w:trPr>
        <w:tc>
          <w:tcPr>
            <w:tcW w:type="dxa" w:w="26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QAOA benchmarking literature</w:t>
            </w:r>
          </w:p>
        </w:tc>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MaxCut, constrained toys</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QAOA (sim + HW)</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No</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No</w:t>
            </w:r>
          </w:p>
        </w:tc>
      </w:tr>
      <w:tr>
        <w:trPr>
          <w:cantSplit/>
          <w:tblHeader w:val="false"/>
        </w:trPr>
        <w:tc>
          <w:tcPr>
            <w:tcW w:type="dxa" w:w="26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ILP agent-routing papers (2025)</w:t>
            </w:r>
          </w:p>
        </w:tc>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Agent routing</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Classical ILP</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Yes</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Yes</w:t>
            </w:r>
          </w:p>
        </w:tc>
      </w:tr>
      <w:tr>
        <w:trPr>
          <w:cantSplit/>
          <w:tblHeader w:val="false"/>
        </w:trPr>
        <w:tc>
          <w:tcPr>
            <w:tcW w:type="dxa" w:w="26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This thesis</w:t>
            </w:r>
          </w:p>
        </w:tc>
        <w:tc>
          <w:tcPr>
            <w:tcW w:type="dxa" w:w="2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Orchestration w/ affinity</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QUBO: QAOA + classical</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Yes</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Yes</w:t>
            </w:r>
          </w:p>
        </w:tc>
      </w:tr>
    </w:tbl>
    <w:p>
      <w:pPr>
        <w:spacing w:after="240" w:before="80"/>
        <w:jc w:val="center"/>
      </w:pPr>
      <w:r>
        <w:rPr>
          <w:rFonts w:ascii="Georgia" w:cs="Georgia" w:eastAsia="Georgia" w:hAnsi="Georgia"/>
          <w:i/>
          <w:iCs/>
          <w:color w:val="444444"/>
          <w:sz w:val="20"/>
          <w:szCs w:val="20"/>
        </w:rPr>
        <w:t xml:space="preserve">Table 2.1 — Positioning relative to the two adjacent literatures.</w:t>
      </w:r>
    </w:p>
    <w:p>
      <w:pPr>
        <w:spacing w:after="160" w:line="336"/>
        <w:jc w:val="both"/>
      </w:pPr>
      <w:r>
        <w:rPr>
          <w:rFonts w:ascii="Georgia" w:cs="Georgia" w:eastAsia="Georgia" w:hAnsi="Georgia"/>
          <w:sz w:val="22"/>
          <w:szCs w:val="22"/>
        </w:rPr>
        <w:t xml:space="preserve">In short: the quantum-optimization community has the encodings but not the application; the agents community has the application but treats assignment as an afterthought. The thesis stands where the two fail to meet.</w:t>
      </w:r>
    </w:p>
    <w:p>
      <w:pPr>
        <w:pStyle w:val="Heading1"/>
        <w:pageBreakBefore/>
        <w:spacing w:after="240" w:before="240"/>
      </w:pPr>
      <w:r>
        <w:rPr>
          <w:rFonts w:ascii="Georgia" w:cs="Georgia" w:eastAsia="Georgia" w:hAnsi="Georgia"/>
          <w:b/>
          <w:bCs/>
          <w:color w:val="1A1A1A"/>
          <w:sz w:val="34"/>
          <w:szCs w:val="34"/>
        </w:rPr>
        <w:t xml:space="preserve">Chapter 3 — An Orchestration Model and Its QUBO Encoding</w:t>
      </w:r>
    </w:p>
    <w:p>
      <w:pPr>
        <w:spacing w:after="160" w:line="336"/>
        <w:jc w:val="both"/>
      </w:pPr>
      <w:r>
        <w:rPr>
          <w:rFonts w:ascii="Georgia" w:cs="Georgia" w:eastAsia="Georgia" w:hAnsi="Georgia"/>
          <w:sz w:val="22"/>
          <w:szCs w:val="22"/>
        </w:rPr>
        <w:t xml:space="preserve">This chapter is the core of the thesis. I first pin down the orchestration problem as a constrained quadratic program over binary assignment variables (Section 3.2), then convert it to an unconstrained QUBO via penalty terms and binary slack expansion (Sections 3.3–3.4), derive workable bounds for the penalty weights (Section 3.5), count variables to understand hardware feasibility (Section 3.6), and close with an example small enough to verify by exhaustive enumeration (Section 3.7). Throughout, I flag where a modelling choice was forced by hardware realism rather than mathematical taste — those seams are, I think, part of the contribution.</w:t>
      </w:r>
    </w:p>
    <w:p>
      <w:pPr>
        <w:pStyle w:val="Heading2"/>
        <w:spacing w:after="160" w:before="300"/>
      </w:pPr>
      <w:r>
        <w:rPr>
          <w:rFonts w:ascii="Georgia" w:cs="Georgia" w:eastAsia="Georgia" w:hAnsi="Georgia"/>
          <w:b/>
          <w:bCs/>
          <w:color w:val="1A1A1A"/>
          <w:sz w:val="27"/>
          <w:szCs w:val="27"/>
        </w:rPr>
        <w:t xml:space="preserve">3.1  Setting and Notation</w:t>
      </w:r>
    </w:p>
    <w:p>
      <w:pPr>
        <w:spacing w:after="160" w:line="336"/>
        <w:jc w:val="both"/>
      </w:pPr>
      <w:r>
        <w:rPr>
          <w:rFonts w:ascii="Georgia" w:cs="Georgia" w:eastAsia="Georgia" w:hAnsi="Georgia"/>
          <w:sz w:val="22"/>
          <w:szCs w:val="22"/>
        </w:rPr>
        <w:t xml:space="preserve">The orchestrator operates in epochs. At the start of epoch t it observes the set of eligible tasks — tasks whose dependencies have all completed — and the current state of the fleet, solves an assignment problem, dispatches, and sleeps until the next tick (in my deployment, 120 seconds, or earlier on agent failure). Handling dependencies through eligibility rather than inside the optimization is a deliberate compression: it keeps the per-epoch problem a pure assignment problem, at the cost of some lookahead. Section 6.3 examines what that costs. Within one epoch, notation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cantSplit/>
          <w:tblHeader/>
        </w:trPr>
        <w:tc>
          <w:tcPr>
            <w:tcW w:type="dxa" w:w="15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Symbol</w:t>
            </w:r>
          </w:p>
        </w:tc>
        <w:tc>
          <w:tcPr>
            <w:tcW w:type="dxa" w:w="40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Meaning</w:t>
            </w:r>
          </w:p>
        </w:tc>
        <w:tc>
          <w:tcPr>
            <w:tcW w:type="dxa" w:w="386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Source in the stack</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A, indexed by i</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Agents available this epoch (|A| = m)</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Harness registry</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T, indexed by j</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Eligible tasks (|T| = n)</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Vault task cards, dependency-filtered</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wⱼ ∈ ℤ⁺</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Effort estimate of task j (work units)</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Task card front-matter; calibrated by harness history</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Cᵢ ∈ ℤ⁺</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Capacity of agent i this epoch (work units)</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Harness: context budget, rate limits, concurrency</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uᵢⱼ ∈ [0,1]</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Utility of assigning j to i (skill × success − normalised cost)</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Harness telemetry per (agent, category), decayed</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aⱼₖ ≥ 0</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Affinity between tasks j, k (context overlap)</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Obsidian backlink/tag overlap (Jaccard on link sets)</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Eₓ</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Anti-affinity pairs: {j,k} that must not share an agent</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Task card front-matter (resource conflicts)</w:t>
            </w:r>
          </w:p>
        </w:tc>
      </w:tr>
      <w:tr>
        <w:trPr>
          <w:cantSplit/>
          <w:tblHeader w:val="false"/>
        </w:trPr>
        <w:tc>
          <w:tcPr>
            <w:tcW w:type="dxa" w:w="1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xᵢⱼ ∈ {0,1}</w:t>
            </w:r>
          </w:p>
        </w:tc>
        <w:tc>
          <w:tcPr>
            <w:tcW w:type="dxa" w:w="4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Decision: 1 iff task j is assigned to agent i</w:t>
            </w:r>
          </w:p>
        </w:tc>
        <w:tc>
          <w:tcPr>
            <w:tcW w:type="dxa" w:w="38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w:t>
            </w:r>
          </w:p>
        </w:tc>
      </w:tr>
    </w:tbl>
    <w:p>
      <w:pPr>
        <w:spacing w:after="240" w:before="80"/>
        <w:jc w:val="center"/>
      </w:pPr>
      <w:r>
        <w:rPr>
          <w:rFonts w:ascii="Georgia" w:cs="Georgia" w:eastAsia="Georgia" w:hAnsi="Georgia"/>
          <w:i/>
          <w:iCs/>
          <w:color w:val="444444"/>
          <w:sz w:val="20"/>
          <w:szCs w:val="20"/>
        </w:rPr>
        <w:t xml:space="preserve">Table 3.1 — Notation, and where each quantity actually comes from.</w:t>
      </w:r>
    </w:p>
    <w:p>
      <w:pPr>
        <w:spacing w:after="160" w:line="336"/>
        <w:jc w:val="both"/>
      </w:pPr>
      <w:r>
        <w:rPr>
          <w:rFonts w:ascii="Georgia" w:cs="Georgia" w:eastAsia="Georgia" w:hAnsi="Georgia"/>
          <w:sz w:val="22"/>
          <w:szCs w:val="22"/>
        </w:rPr>
        <w:t xml:space="preserve">The last column is the part I want to defend. Formulations in the scheduling literature routinely posit coefficients; here every coefficient has a producer. Utility uᵢⱼ, for instance, is computed as uᵢⱼ = sᵢ,cat(j) · pᵢ,cat(j) − κ · ĉᵢⱼ, where s is a competence score and p an empirical success rate for agent i on task j's category, both maintained by the harness with exponential decay (half-life of twenty completions), and ĉᵢⱼ is the predicted token cost normalised into [0,1]; the result is clipped into [0,1] so that a hopeless pairing floors at zero rather than going negative and fighting the penalty terms. The affinity aⱼₖ is the Jaccard similarity of the outgoing link sets of the two task cards in the Obsidian vault, thresholded at 0.2 to keep the Q matrix from densifying — a threshold I chose after watching transpiled circuit depth blow up without it (Section 4.5.2).</w:t>
      </w:r>
    </w:p>
    <w:p>
      <w:pPr>
        <w:pStyle w:val="Heading2"/>
        <w:spacing w:after="160" w:before="300"/>
      </w:pPr>
      <w:r>
        <w:rPr>
          <w:rFonts w:ascii="Georgia" w:cs="Georgia" w:eastAsia="Georgia" w:hAnsi="Georgia"/>
          <w:b/>
          <w:bCs/>
          <w:color w:val="1A1A1A"/>
          <w:sz w:val="27"/>
          <w:szCs w:val="27"/>
        </w:rPr>
        <w:t xml:space="preserve">3.2  The Constrained Problem</w:t>
      </w:r>
    </w:p>
    <w:p>
      <w:pPr>
        <w:spacing w:after="160" w:line="336"/>
        <w:jc w:val="both"/>
      </w:pPr>
      <w:r>
        <w:rPr>
          <w:rFonts w:ascii="Georgia" w:cs="Georgia" w:eastAsia="Georgia" w:hAnsi="Georgia"/>
          <w:sz w:val="22"/>
          <w:szCs w:val="22"/>
        </w:rPr>
        <w:t xml:space="preserve">The epoch problem, in its natural constrained form, is:</w:t>
      </w:r>
    </w:p>
    <w:p>
      <w:pPr>
        <w:tabs>
          <w:tab w:val="right" w:pos="9360"/>
        </w:tabs>
        <w:spacing w:after="160" w:before="120"/>
        <w:jc w:val="center"/>
      </w:pPr>
      <w:r>
        <w:rPr>
          <w:rFonts w:ascii="Cambria Math" w:cs="Cambria Math" w:eastAsia="Cambria Math" w:hAnsi="Cambria Math"/>
          <w:b w:val="false"/>
          <w:bCs w:val="false"/>
          <w:i/>
          <w:iCs/>
          <w:sz w:val="22"/>
          <w:szCs w:val="22"/>
        </w:rPr>
        <w:t xml:space="preserve">maximise   Σᵢⱼ uᵢⱼ xᵢⱼ  +  α Σᵢ Σⱼ&lt;ₖ aⱼₖ xᵢⱼ xᵢₖ</w:t>
      </w:r>
      <w:r>
        <w:rPr>
          <w:rFonts w:ascii="Georgia" w:cs="Georgia" w:eastAsia="Georgia" w:hAnsi="Georgia"/>
          <w:sz w:val="22"/>
          <w:szCs w:val="22"/>
        </w:rPr>
        <w:t xml:space="preserve">	(3.1)</w:t>
      </w:r>
    </w:p>
    <w:p>
      <w:pPr>
        <w:tabs>
          <w:tab w:val="right" w:pos="9360"/>
        </w:tabs>
        <w:spacing w:after="160" w:before="120"/>
        <w:jc w:val="center"/>
      </w:pPr>
      <w:r>
        <w:rPr>
          <w:rFonts w:ascii="Cambria Math" w:cs="Cambria Math" w:eastAsia="Cambria Math" w:hAnsi="Cambria Math"/>
          <w:b w:val="false"/>
          <w:bCs w:val="false"/>
          <w:i/>
          <w:iCs/>
          <w:sz w:val="22"/>
          <w:szCs w:val="22"/>
        </w:rPr>
        <w:t xml:space="preserve">subject to   Σᵢ xᵢⱼ = 1   ∀ j ∈ T</w:t>
      </w:r>
      <w:r>
        <w:rPr>
          <w:rFonts w:ascii="Georgia" w:cs="Georgia" w:eastAsia="Georgia" w:hAnsi="Georgia"/>
          <w:sz w:val="22"/>
          <w:szCs w:val="22"/>
        </w:rPr>
        <w:t xml:space="preserve">	(3.2)</w:t>
      </w:r>
    </w:p>
    <w:p>
      <w:pPr>
        <w:tabs>
          <w:tab w:val="right" w:pos="9360"/>
        </w:tabs>
        <w:spacing w:after="160" w:before="120"/>
        <w:jc w:val="center"/>
      </w:pPr>
      <w:r>
        <w:rPr>
          <w:rFonts w:ascii="Cambria Math" w:cs="Cambria Math" w:eastAsia="Cambria Math" w:hAnsi="Cambria Math"/>
          <w:b w:val="false"/>
          <w:bCs w:val="false"/>
          <w:i/>
          <w:iCs/>
          <w:sz w:val="22"/>
          <w:szCs w:val="22"/>
        </w:rPr>
        <w:t xml:space="preserve">Σⱼ wⱼ xᵢⱼ ≤ Cᵢ   ∀ i ∈ A</w:t>
      </w:r>
      <w:r>
        <w:rPr>
          <w:rFonts w:ascii="Georgia" w:cs="Georgia" w:eastAsia="Georgia" w:hAnsi="Georgia"/>
          <w:sz w:val="22"/>
          <w:szCs w:val="22"/>
        </w:rPr>
        <w:t xml:space="preserve">	(3.3)</w:t>
      </w:r>
    </w:p>
    <w:p>
      <w:pPr>
        <w:tabs>
          <w:tab w:val="right" w:pos="9360"/>
        </w:tabs>
        <w:spacing w:after="160" w:before="120"/>
        <w:jc w:val="center"/>
      </w:pPr>
      <w:r>
        <w:rPr>
          <w:rFonts w:ascii="Cambria Math" w:cs="Cambria Math" w:eastAsia="Cambria Math" w:hAnsi="Cambria Math"/>
          <w:b w:val="false"/>
          <w:bCs w:val="false"/>
          <w:i/>
          <w:iCs/>
          <w:sz w:val="22"/>
          <w:szCs w:val="22"/>
        </w:rPr>
        <w:t xml:space="preserve">xᵢⱼ + xᵢₖ ≤ 1   ∀ {j,k} ∈ Eₓ, ∀ i ∈ A</w:t>
      </w:r>
      <w:r>
        <w:rPr>
          <w:rFonts w:ascii="Georgia" w:cs="Georgia" w:eastAsia="Georgia" w:hAnsi="Georgia"/>
          <w:sz w:val="22"/>
          <w:szCs w:val="22"/>
        </w:rPr>
        <w:t xml:space="preserve">	(3.4)</w:t>
      </w:r>
    </w:p>
    <w:p>
      <w:pPr>
        <w:spacing w:after="160" w:line="336"/>
        <w:jc w:val="both"/>
      </w:pPr>
      <w:r>
        <w:rPr>
          <w:rFonts w:ascii="Georgia" w:cs="Georgia" w:eastAsia="Georgia" w:hAnsi="Georgia"/>
          <w:sz w:val="22"/>
          <w:szCs w:val="22"/>
        </w:rPr>
        <w:t xml:space="preserve">Constraint (3.2) says every eligible task is assigned to exactly one agent. (3.3) is the knapsack-style capacity constraint that makes this a Generalised Assignment Problem. (3.4) forbids co-locating conflicting tasks. The quadratic term in (3.1), weighted by a tunable α ≥ 0, is the departure from textbook GAP: it pays a bonus when two context-related tasks land on the same agent, capturing the very real saving that the second task starts with the relevant notes already in the worker's context window. With α = 0 the problem is GAP (NP-hard); with α &gt; 0 it acquires quadratic-assignment character. Either way, exact scalability is not to be expected, which is the honest motivation for heuristic and quantum solvers.</w:t>
      </w:r>
    </w:p>
    <w:p>
      <w:pPr>
        <w:spacing w:after="160" w:line="336"/>
        <w:jc w:val="both"/>
      </w:pPr>
      <w:r>
        <w:rPr>
          <w:rFonts w:ascii="Georgia" w:cs="Georgia" w:eastAsia="Georgia" w:hAnsi="Georgia"/>
          <w:sz w:val="22"/>
          <w:szCs w:val="22"/>
        </w:rPr>
        <w:t xml:space="preserve">A remark on what is not in the model. I experimented with a fairness term penalising load variance across agents and dropped it: in an agent fleet, unlike a human one, an idle worker is a feature (it is capacity headroom), and the term fought the utility signal for no operational benefit. I mention this because deleted terms are as informative as retained ones, and because the QUBO template below accepts such terms trivially should a deployment want them.</w:t>
      </w:r>
    </w:p>
    <w:p>
      <w:pPr>
        <w:pStyle w:val="Heading2"/>
        <w:spacing w:after="160" w:before="300"/>
      </w:pPr>
      <w:r>
        <w:rPr>
          <w:rFonts w:ascii="Georgia" w:cs="Georgia" w:eastAsia="Georgia" w:hAnsi="Georgia"/>
          <w:b/>
          <w:bCs/>
          <w:color w:val="1A1A1A"/>
          <w:sz w:val="27"/>
          <w:szCs w:val="27"/>
        </w:rPr>
        <w:t xml:space="preserve">3.3  Penalty Conversion</w:t>
      </w:r>
    </w:p>
    <w:p>
      <w:pPr>
        <w:spacing w:after="160" w:line="336"/>
        <w:jc w:val="both"/>
      </w:pPr>
      <w:r>
        <w:rPr>
          <w:rFonts w:ascii="Georgia" w:cs="Georgia" w:eastAsia="Georgia" w:hAnsi="Georgia"/>
          <w:sz w:val="22"/>
          <w:szCs w:val="22"/>
        </w:rPr>
        <w:t xml:space="preserve">Following the standard recipe, each constraint becomes a squared (or product) penalty added to a minimisation objective. Writing the objective as energy (negating the utility terms), the three penalty blocks are:</w:t>
      </w:r>
    </w:p>
    <w:p>
      <w:pPr>
        <w:tabs>
          <w:tab w:val="right" w:pos="9360"/>
        </w:tabs>
        <w:spacing w:after="160" w:before="120"/>
        <w:jc w:val="center"/>
      </w:pPr>
      <w:r>
        <w:rPr>
          <w:rFonts w:ascii="Cambria Math" w:cs="Cambria Math" w:eastAsia="Cambria Math" w:hAnsi="Cambria Math"/>
          <w:b w:val="false"/>
          <w:bCs w:val="false"/>
          <w:i/>
          <w:iCs/>
          <w:sz w:val="22"/>
          <w:szCs w:val="22"/>
        </w:rPr>
        <w:t xml:space="preserve">P_cover = λ₁ Σⱼ ( 1 − Σᵢ xᵢⱼ )²</w:t>
      </w:r>
      <w:r>
        <w:rPr>
          <w:rFonts w:ascii="Georgia" w:cs="Georgia" w:eastAsia="Georgia" w:hAnsi="Georgia"/>
          <w:sz w:val="22"/>
          <w:szCs w:val="22"/>
        </w:rPr>
        <w:t xml:space="preserve">	(3.5)</w:t>
      </w:r>
    </w:p>
    <w:p>
      <w:pPr>
        <w:tabs>
          <w:tab w:val="right" w:pos="9360"/>
        </w:tabs>
        <w:spacing w:after="160" w:before="120"/>
        <w:jc w:val="center"/>
      </w:pPr>
      <w:r>
        <w:rPr>
          <w:rFonts w:ascii="Cambria Math" w:cs="Cambria Math" w:eastAsia="Cambria Math" w:hAnsi="Cambria Math"/>
          <w:b w:val="false"/>
          <w:bCs w:val="false"/>
          <w:i/>
          <w:iCs/>
          <w:sz w:val="22"/>
          <w:szCs w:val="22"/>
        </w:rPr>
        <w:t xml:space="preserve">P_excl = λ₃ Σᵢ Σ_{j,k}∈Eₓ xᵢⱼ xᵢₖ</w:t>
      </w:r>
      <w:r>
        <w:rPr>
          <w:rFonts w:ascii="Georgia" w:cs="Georgia" w:eastAsia="Georgia" w:hAnsi="Georgia"/>
          <w:sz w:val="22"/>
          <w:szCs w:val="22"/>
        </w:rPr>
        <w:t xml:space="preserve">	(3.6)</w:t>
      </w:r>
    </w:p>
    <w:p>
      <w:pPr>
        <w:spacing w:after="160" w:line="336"/>
        <w:jc w:val="both"/>
      </w:pPr>
      <w:r>
        <w:rPr>
          <w:rFonts w:ascii="Georgia" w:cs="Georgia" w:eastAsia="Georgia" w:hAnsi="Georgia"/>
          <w:sz w:val="22"/>
          <w:szCs w:val="22"/>
        </w:rPr>
        <w:t xml:space="preserve">Coverage (3.5) expands into linear and quadratic terms in x and is exact: it is zero iff each task has exactly one agent. Exclusion (3.6) is already a product form and needs no slack. The inequality (3.3) is the awkward one and gets its own section.</w:t>
      </w:r>
    </w:p>
    <w:p>
      <w:pPr>
        <w:pStyle w:val="Heading2"/>
        <w:spacing w:after="160" w:before="300"/>
      </w:pPr>
      <w:r>
        <w:rPr>
          <w:rFonts w:ascii="Georgia" w:cs="Georgia" w:eastAsia="Georgia" w:hAnsi="Georgia"/>
          <w:b/>
          <w:bCs/>
          <w:color w:val="1A1A1A"/>
          <w:sz w:val="27"/>
          <w:szCs w:val="27"/>
        </w:rPr>
        <w:t xml:space="preserve">3.4  Capacity via Binary Slack Expansion</w:t>
      </w:r>
    </w:p>
    <w:p>
      <w:pPr>
        <w:spacing w:after="160" w:line="336"/>
        <w:jc w:val="both"/>
      </w:pPr>
      <w:r>
        <w:rPr>
          <w:rFonts w:ascii="Georgia" w:cs="Georgia" w:eastAsia="Georgia" w:hAnsi="Georgia"/>
          <w:sz w:val="22"/>
          <w:szCs w:val="22"/>
        </w:rPr>
        <w:t xml:space="preserve">An inequality Σⱼ wⱼxᵢⱼ ≤ Cᵢ becomes an equality by adding a non-negative slack variable σᵢ = Cᵢ − Σⱼ wⱼxᵢⱼ, which must itself be encoded in binaries. I use the standard mixed-radix expansion σᵢ = Σᵣ 2ʳ yᵢᵣ + ρᵢ yᵢ,R, with R = ⌊log₂ Cᵢ⌋ bits plus a residual coefficient ρᵢ = Cᵢ − (2ᴿ − 1) so that σᵢ ranges over exactly {0,…,Cᵢ}. The capacity penalty is then</w:t>
      </w:r>
    </w:p>
    <w:p>
      <w:pPr>
        <w:tabs>
          <w:tab w:val="right" w:pos="9360"/>
        </w:tabs>
        <w:spacing w:after="160" w:before="120"/>
        <w:jc w:val="center"/>
      </w:pPr>
      <w:r>
        <w:rPr>
          <w:rFonts w:ascii="Cambria Math" w:cs="Cambria Math" w:eastAsia="Cambria Math" w:hAnsi="Cambria Math"/>
          <w:b w:val="false"/>
          <w:bCs w:val="false"/>
          <w:i/>
          <w:iCs/>
          <w:sz w:val="22"/>
          <w:szCs w:val="22"/>
        </w:rPr>
        <w:t xml:space="preserve">P_cap = λ₂ Σᵢ ( Cᵢ − Σⱼ wⱼ xᵢⱼ − Σᵣ 2ʳ yᵢᵣ − ρᵢ yᵢ,R )²</w:t>
      </w:r>
      <w:r>
        <w:rPr>
          <w:rFonts w:ascii="Georgia" w:cs="Georgia" w:eastAsia="Georgia" w:hAnsi="Georgia"/>
          <w:sz w:val="22"/>
          <w:szCs w:val="22"/>
        </w:rPr>
        <w:t xml:space="preserve">	(3.7)</w:t>
      </w:r>
    </w:p>
    <w:p>
      <w:pPr>
        <w:spacing w:after="160" w:line="336"/>
        <w:jc w:val="both"/>
      </w:pPr>
      <w:r>
        <w:rPr>
          <w:rFonts w:ascii="Georgia" w:cs="Georgia" w:eastAsia="Georgia" w:hAnsi="Georgia"/>
          <w:sz w:val="22"/>
          <w:szCs w:val="22"/>
        </w:rPr>
        <w:t xml:space="preserve">Slack bits are pure overhead — they carry no information the schedule needs — and they are the price of insisting on QUBO form. Per agent, the cost is ⌈log₂(Cᵢ+1)⌉ ancilla bits; for my deployment capacities (Cᵢ ∈ [4, 12] work units) that is 3–4 bits per agent. Two alternatives deserve mention. Unbalanced penalization (Montañez-Barrera et al., 2024) approximates the inequality with exponential-free linear-plus-quadratic terms and no slack bits at all, at the cost of an approximation whose failure mode is silent capacity violation; I evaluate it as an ablation in Section 5.6 and found it attractive at the largest sizes but keep exact slack in the main line. Constraint-preserving mixers eliminate the coverage penalty instead by confining QAOA's evolution to the feasible one-hot subspace; they do not compose easily with the capacity constraint, so I left them for future work.</w:t>
      </w:r>
    </w:p>
    <w:p>
      <w:pPr>
        <w:pStyle w:val="Heading2"/>
        <w:spacing w:after="160" w:before="300"/>
      </w:pPr>
      <w:r>
        <w:rPr>
          <w:rFonts w:ascii="Georgia" w:cs="Georgia" w:eastAsia="Georgia" w:hAnsi="Georgia"/>
          <w:b/>
          <w:bCs/>
          <w:color w:val="1A1A1A"/>
          <w:sz w:val="27"/>
          <w:szCs w:val="27"/>
        </w:rPr>
        <w:t xml:space="preserve">3.5  The Full QUBO and Penalty Weights</w:t>
      </w:r>
    </w:p>
    <w:p>
      <w:pPr>
        <w:spacing w:after="160" w:line="336"/>
        <w:jc w:val="both"/>
      </w:pPr>
      <w:r>
        <w:rPr>
          <w:rFonts w:ascii="Georgia" w:cs="Georgia" w:eastAsia="Georgia" w:hAnsi="Georgia"/>
          <w:sz w:val="22"/>
          <w:szCs w:val="22"/>
        </w:rPr>
        <w:t xml:space="preserve">Assembling (3.1)–(3.7), the energy to minimise is</w:t>
      </w:r>
    </w:p>
    <w:p>
      <w:pPr>
        <w:tabs>
          <w:tab w:val="right" w:pos="9360"/>
        </w:tabs>
        <w:spacing w:after="160" w:before="120"/>
        <w:jc w:val="center"/>
      </w:pPr>
      <w:r>
        <w:rPr>
          <w:rFonts w:ascii="Cambria Math" w:cs="Cambria Math" w:eastAsia="Cambria Math" w:hAnsi="Cambria Math"/>
          <w:b w:val="false"/>
          <w:bCs w:val="false"/>
          <w:i/>
          <w:iCs/>
          <w:sz w:val="22"/>
          <w:szCs w:val="22"/>
        </w:rPr>
        <w:t xml:space="preserve">E(x, y) = −Σᵢⱼ uᵢⱼ xᵢⱼ − α Σᵢ Σⱼ&lt;ₖ aⱼₖ xᵢⱼ xᵢₖ + P_cover + P_cap + P_excl</w:t>
      </w:r>
      <w:r>
        <w:rPr>
          <w:rFonts w:ascii="Georgia" w:cs="Georgia" w:eastAsia="Georgia" w:hAnsi="Georgia"/>
          <w:sz w:val="22"/>
          <w:szCs w:val="22"/>
        </w:rPr>
        <w:t xml:space="preserve">	(3.8)</w:t>
      </w:r>
    </w:p>
    <w:p>
      <w:pPr>
        <w:spacing w:after="160" w:line="336"/>
        <w:jc w:val="both"/>
      </w:pPr>
      <w:r>
        <w:rPr>
          <w:rFonts w:ascii="Georgia" w:cs="Georgia" w:eastAsia="Georgia" w:hAnsi="Georgia"/>
          <w:sz w:val="22"/>
          <w:szCs w:val="22"/>
        </w:rPr>
        <w:t xml:space="preserve">which is a quadratic form over N = mn + Σᵢ⌈log₂(Cᵢ+1)⌉ binaries and hence a QUBO after collecting terms into a symmetric matrix Q. The implementation builds Q sparsely as a dictionary of index pairs; Appendix A prints the full matrix for the worked example.</w:t>
      </w:r>
    </w:p>
    <w:p>
      <w:pPr>
        <w:spacing w:after="160" w:line="336"/>
        <w:jc w:val="both"/>
      </w:pPr>
      <w:r>
        <w:rPr>
          <w:rFonts w:ascii="Georgia" w:cs="Georgia" w:eastAsia="Georgia" w:hAnsi="Georgia"/>
          <w:sz w:val="22"/>
          <w:szCs w:val="22"/>
        </w:rPr>
        <w:t xml:space="preserve">Penalty weights are where naive QUBO practice goes to die, so I want to be explicit about the reasoning. A sufficient condition for penalties to dominate is that violating any constraint by the smallest possible amount must cost more energy than the largest possible objective gain from that violation. For coverage: leaving a task unassigned saves at most maxᵢ uᵢⱼ + α·(affinity it participates in) — call it Δⱼ — so λ₁ &gt; maxⱼ Δⱼ suffices; assigning a task twice is penalised automatically since (1−2)² = 1. For capacity, the smallest violation is one work unit and the largest gain from over-packing an agent is bounded by the best marginal utility per unit, giving λ₂ &gt; maxᵢⱼ uᵢⱼ / minⱼ wⱼ after normalisation. For exclusion, λ₃ &gt; 2·maxᵢⱼ uᵢⱼ + α·max affinity. In practice I set λ₁ = 2Δ̄, λ₂ = 1.5× its bound, λ₃ = 2× its bound, then verified by a sweep (Section 5.5) that solution feasibility on the exact solver was insensitive across a factor-of-four band while QAOA sample feasibility degraded sharply above roughly 4× the bounds — the cliff-face effect predicted in Section 2.2.2, and the empirical justification for choosing weights near the lower end of the safe band.</w:t>
      </w:r>
    </w:p>
    <w:p>
      <w:pPr>
        <w:pStyle w:val="Heading2"/>
        <w:spacing w:after="160" w:before="300"/>
      </w:pPr>
      <w:r>
        <w:rPr>
          <w:rFonts w:ascii="Georgia" w:cs="Georgia" w:eastAsia="Georgia" w:hAnsi="Georgia"/>
          <w:b/>
          <w:bCs/>
          <w:color w:val="1A1A1A"/>
          <w:sz w:val="27"/>
          <w:szCs w:val="27"/>
        </w:rPr>
        <w:t xml:space="preserve">3.6  Size and Hardware Feasibility</w:t>
      </w:r>
    </w:p>
    <w:p>
      <w:pPr>
        <w:spacing w:after="160" w:line="336"/>
        <w:jc w:val="both"/>
      </w:pPr>
      <w:r>
        <w:rPr>
          <w:rFonts w:ascii="Georgia" w:cs="Georgia" w:eastAsia="Georgia" w:hAnsi="Georgia"/>
          <w:sz w:val="22"/>
          <w:szCs w:val="22"/>
        </w:rPr>
        <w:t xml:space="preserve">Variable count is the whole game for near-term hardware, so Table 3.2 works it out for representative fleet shapes, assuming Cᵢ ≤ 12 (4 slack bits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1400"/>
        <w:gridCol w:w="1800"/>
        <w:gridCol w:w="1760"/>
      </w:tblGrid>
      <w:tr>
        <w:trPr>
          <w:cantSplit/>
          <w:tblHeader/>
        </w:trPr>
        <w:tc>
          <w:tcPr>
            <w:tcW w:type="dxa" w:w="12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Agents m</w:t>
            </w:r>
          </w:p>
        </w:tc>
        <w:tc>
          <w:tcPr>
            <w:tcW w:type="dxa" w:w="10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Tasks n</w:t>
            </w:r>
          </w:p>
        </w:tc>
        <w:tc>
          <w:tcPr>
            <w:tcW w:type="dxa" w:w="22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Assignment vars mn</w:t>
            </w:r>
          </w:p>
        </w:tc>
        <w:tc>
          <w:tcPr>
            <w:tcW w:type="dxa" w:w="14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Slack bits</w:t>
            </w:r>
          </w:p>
        </w:tc>
        <w:tc>
          <w:tcPr>
            <w:tcW w:type="dxa" w:w="18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Total qubits N</w:t>
            </w:r>
          </w:p>
        </w:tc>
        <w:tc>
          <w:tcPr>
            <w:tcW w:type="dxa" w:w="176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Regime</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3</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6</w:t>
            </w:r>
          </w:p>
        </w:tc>
        <w:tc>
          <w:tcPr>
            <w:tcW w:type="dxa" w:w="1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8</w:t>
            </w:r>
          </w:p>
        </w:tc>
        <w:tc>
          <w:tcPr>
            <w:tcW w:type="dxa" w:w="18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14</w:t>
            </w:r>
          </w:p>
        </w:tc>
        <w:tc>
          <w:tcPr>
            <w:tcW w:type="dxa" w:w="17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Hardware, comfortably</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3</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4</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12</w:t>
            </w:r>
          </w:p>
        </w:tc>
        <w:tc>
          <w:tcPr>
            <w:tcW w:type="dxa" w:w="1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12</w:t>
            </w:r>
          </w:p>
        </w:tc>
        <w:tc>
          <w:tcPr>
            <w:tcW w:type="dxa" w:w="18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24</w:t>
            </w:r>
          </w:p>
        </w:tc>
        <w:tc>
          <w:tcPr>
            <w:tcW w:type="dxa" w:w="17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Hardware, workable</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4</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6</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24</w:t>
            </w:r>
          </w:p>
        </w:tc>
        <w:tc>
          <w:tcPr>
            <w:tcW w:type="dxa" w:w="1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16</w:t>
            </w:r>
          </w:p>
        </w:tc>
        <w:tc>
          <w:tcPr>
            <w:tcW w:type="dxa" w:w="18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40</w:t>
            </w:r>
          </w:p>
        </w:tc>
        <w:tc>
          <w:tcPr>
            <w:tcW w:type="dxa" w:w="17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Hardware, depth-limited</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6</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10</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60</w:t>
            </w:r>
          </w:p>
        </w:tc>
        <w:tc>
          <w:tcPr>
            <w:tcW w:type="dxa" w:w="1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24</w:t>
            </w:r>
          </w:p>
        </w:tc>
        <w:tc>
          <w:tcPr>
            <w:tcW w:type="dxa" w:w="18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84</w:t>
            </w:r>
          </w:p>
        </w:tc>
        <w:tc>
          <w:tcPr>
            <w:tcW w:type="dxa" w:w="17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Simulator only (this thesis)</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10</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25</w:t>
            </w:r>
          </w:p>
        </w:tc>
        <w:tc>
          <w:tcPr>
            <w:tcW w:type="dxa" w:w="2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250</w:t>
            </w:r>
          </w:p>
        </w:tc>
        <w:tc>
          <w:tcPr>
            <w:tcW w:type="dxa" w:w="14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40</w:t>
            </w:r>
          </w:p>
        </w:tc>
        <w:tc>
          <w:tcPr>
            <w:tcW w:type="dxa" w:w="18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290</w:t>
            </w:r>
          </w:p>
        </w:tc>
        <w:tc>
          <w:tcPr>
            <w:tcW w:type="dxa" w:w="17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Beyond current devices</w:t>
            </w:r>
          </w:p>
        </w:tc>
      </w:tr>
    </w:tbl>
    <w:p>
      <w:pPr>
        <w:spacing w:after="240" w:before="80"/>
        <w:jc w:val="center"/>
      </w:pPr>
      <w:r>
        <w:rPr>
          <w:rFonts w:ascii="Georgia" w:cs="Georgia" w:eastAsia="Georgia" w:hAnsi="Georgia"/>
          <w:i/>
          <w:iCs/>
          <w:color w:val="444444"/>
          <w:sz w:val="20"/>
          <w:szCs w:val="20"/>
        </w:rPr>
        <w:t xml:space="preserve">Table 3.2 — Qubit requirements as fleets scale. Quadratic growth in mn dominates.</w:t>
      </w:r>
    </w:p>
    <w:p>
      <w:pPr>
        <w:spacing w:after="160" w:line="336"/>
        <w:jc w:val="both"/>
      </w:pPr>
      <w:r>
        <w:rPr>
          <w:rFonts w:ascii="Georgia" w:cs="Georgia" w:eastAsia="Georgia" w:hAnsi="Georgia"/>
          <w:sz w:val="22"/>
          <w:szCs w:val="22"/>
        </w:rPr>
        <w:t xml:space="preserve">The table explains the shape of the evaluation: exhaustive ground truth to N ≈ 24, exact ILP ground truth throughout, hardware experiments on the N = 10 worked example and the N = 24 tier with a depth-limited attempt at 40, and simulator studies above that. It also quantifies the honest gap between this thesis and deployment scale — a 10-agent, 25-task epoch needs roughly 290 well-behaved qubits with dense connectivity, which no 2026 gate-model device offers, though it sits comfortably inside quantum-annealing embeddings today. That asymmetry is exactly why Chapter 7 points the formulation at annealers next.</w:t>
      </w:r>
    </w:p>
    <w:p>
      <w:pPr>
        <w:pStyle w:val="Heading2"/>
        <w:spacing w:after="160" w:before="300"/>
      </w:pPr>
      <w:r>
        <w:rPr>
          <w:rFonts w:ascii="Georgia" w:cs="Georgia" w:eastAsia="Georgia" w:hAnsi="Georgia"/>
          <w:b/>
          <w:bCs/>
          <w:color w:val="1A1A1A"/>
          <w:sz w:val="27"/>
          <w:szCs w:val="27"/>
        </w:rPr>
        <w:t xml:space="preserve">3.7  A Worked Example</w:t>
      </w:r>
    </w:p>
    <w:p>
      <w:pPr>
        <w:spacing w:after="160" w:line="336"/>
        <w:jc w:val="both"/>
      </w:pPr>
      <w:r>
        <w:rPr>
          <w:rFonts w:ascii="Georgia" w:cs="Georgia" w:eastAsia="Georgia" w:hAnsi="Georgia"/>
          <w:sz w:val="22"/>
          <w:szCs w:val="22"/>
        </w:rPr>
        <w:t xml:space="preserve">To make the encoding concrete — and checkable — take m = 2 agents and n = 3 tasks. Agent 1 is a large Hermes instance, strong at analysis (category of tasks 1 and 2); agent 2 is the small model, cheap and adequate for extraction (task 3). Capacities C₁ = C₂ = 3; efforts w = (2, 2, 1). Utilities, from a real telemetry snapshot rounded to one decimal:</w:t>
      </w:r>
    </w:p>
    <w:p>
      <w:pPr>
        <w:shd w:fill="F4F4F4" w:val="clear"/>
        <w:spacing w:after="20"/>
      </w:pPr>
      <w:r>
        <w:rPr>
          <w:rFonts w:ascii="Consolas" w:cs="Consolas" w:eastAsia="Consolas" w:hAnsi="Consolas"/>
          <w:sz w:val="18"/>
          <w:szCs w:val="18"/>
        </w:rPr>
        <w:t xml:space="preserve">u =  [ 0.9  0.8  0.5 ]     (agent 1 over tasks 1..3)</w:t>
      </w:r>
    </w:p>
    <w:p>
      <w:pPr>
        <w:shd w:fill="F4F4F4" w:val="clear"/>
        <w:spacing w:after="20"/>
      </w:pPr>
      <w:r>
        <w:rPr>
          <w:rFonts w:ascii="Consolas" w:cs="Consolas" w:eastAsia="Consolas" w:hAnsi="Consolas"/>
          <w:sz w:val="18"/>
          <w:szCs w:val="18"/>
        </w:rPr>
        <w:t xml:space="preserve">     [ 0.4  0.3  0.7 ]     (agent 2 over tasks 1..3)</w:t>
      </w:r>
    </w:p>
    <w:p>
      <w:pPr>
        <w:shd w:fill="F4F4F4" w:val="clear"/>
        <w:spacing w:after="20"/>
      </w:pPr>
      <w:r>
        <w:rPr>
          <w:rFonts w:ascii="Consolas" w:cs="Consolas" w:eastAsia="Consolas" w:hAnsi="Consolas"/>
          <w:sz w:val="18"/>
          <w:szCs w:val="18"/>
        </w:rPr>
        <w:t xml:space="preserve">affinity: a(1,2) = 0.6 (tasks 1 and 2 share three vault links); others 0</w:t>
      </w:r>
    </w:p>
    <w:p>
      <w:pPr>
        <w:shd w:fill="F4F4F4" w:val="clear"/>
        <w:spacing w:after="20"/>
      </w:pPr>
      <w:r>
        <w:rPr>
          <w:rFonts w:ascii="Consolas" w:cs="Consolas" w:eastAsia="Consolas" w:hAnsi="Consolas"/>
          <w:sz w:val="18"/>
          <w:szCs w:val="18"/>
        </w:rPr>
        <w:t xml:space="preserve">exclusion: none.   alpha = 0.5,  lambda1 = 3.0, lambda2 = 2.0</w:t>
      </w:r>
    </w:p>
    <w:p>
      <w:pPr>
        <w:spacing w:after="160" w:line="336"/>
        <w:jc w:val="both"/>
      </w:pPr>
      <w:r>
        <w:rPr>
          <w:rFonts w:ascii="Georgia" w:cs="Georgia" w:eastAsia="Georgia" w:hAnsi="Georgia"/>
          <w:sz w:val="22"/>
          <w:szCs w:val="22"/>
        </w:rPr>
        <w:t xml:space="preserve">Six assignment bits plus two 2-bit slacks give N = 10. Is the tempting move — both heavy tasks to agent 1, collecting the affinity bonus — available? No: w₁ + w₂ = 4 &gt; C₁ = 3, so capacity forbids it. The optimum must therefore split the affine pair, and enumeration of all 2¹⁰ = 1024 states (a twelve-line script, Appendix A) finds two degenerate minimisers at energy −1.9: x₁₁ = 1 with x₂₂ = x₂₃ = 1 (agent 1 takes its best-matched task 1; agent 2 takes tasks 2 and 3, load exactly at capacity), and the mirror x₁₂ = 1 with x₂₁ = x₂₃ = 1, whose utilities happen to tie at 1.9. Both sacrifice the 0.5·0.6 affinity bonus because capacity makes the bonus unreachable; the greedy-looking alternatives that keep task 3 with agent 1 reach only 1.7. I like this example because it is small enough to hand-check yet already exhibits the defining tension of the model: affinity pulls related tasks together, capacity pushes them apart, and the optimizer earns its keep by arbitrating. The accidental degeneracy is a bonus rather than a blemish — real telemetry-derived instances have near-ties constantly, and when I later inspect QAOA sample distributions (Section 5.4), this instance is the lens: a good sampler should place visible probability mass on both degenerate optima, and hardware runs do — just with a lot of noise around them.</w:t>
      </w:r>
    </w:p>
    <w:p>
      <w:pPr>
        <w:pStyle w:val="Heading1"/>
        <w:pageBreakBefore/>
        <w:spacing w:after="240" w:before="240"/>
      </w:pPr>
      <w:r>
        <w:rPr>
          <w:rFonts w:ascii="Georgia" w:cs="Georgia" w:eastAsia="Georgia" w:hAnsi="Georgia"/>
          <w:b/>
          <w:bCs/>
          <w:color w:val="1A1A1A"/>
          <w:sz w:val="34"/>
          <w:szCs w:val="34"/>
        </w:rPr>
        <w:t xml:space="preserve">Chapter 4 — System Design and Implementation</w:t>
      </w:r>
    </w:p>
    <w:p>
      <w:pPr>
        <w:spacing w:after="160" w:line="336"/>
        <w:jc w:val="both"/>
      </w:pPr>
      <w:r>
        <w:rPr>
          <w:rFonts w:ascii="Georgia" w:cs="Georgia" w:eastAsia="Georgia" w:hAnsi="Georgia"/>
          <w:sz w:val="22"/>
          <w:szCs w:val="22"/>
        </w:rPr>
        <w:t xml:space="preserve">This chapter describes the system I built to host the formulation: the Obsidian vault schema, the harness, the MCP surface, and the solver service with its Qiskit internals. I have tried to write it at the level of detail I wish existing papers had — concrete enough to rebuild from, short of a code walkthrough. The repository accompanying the thesis contains the rest.</w:t>
      </w:r>
    </w:p>
    <w:p>
      <w:pPr>
        <w:pStyle w:val="Heading2"/>
        <w:spacing w:after="160" w:before="300"/>
      </w:pPr>
      <w:r>
        <w:rPr>
          <w:rFonts w:ascii="Georgia" w:cs="Georgia" w:eastAsia="Georgia" w:hAnsi="Georgia"/>
          <w:b/>
          <w:bCs/>
          <w:color w:val="1A1A1A"/>
          <w:sz w:val="27"/>
          <w:szCs w:val="27"/>
        </w:rPr>
        <w:t xml:space="preserve">4.1  Architecture Overview</w:t>
      </w:r>
    </w:p>
    <w:p>
      <w:pPr>
        <w:spacing w:after="160" w:line="336"/>
        <w:jc w:val="both"/>
      </w:pPr>
      <w:r>
        <w:rPr>
          <w:rFonts w:ascii="Georgia" w:cs="Georgia" w:eastAsia="Georgia" w:hAnsi="Georgia"/>
          <w:sz w:val="22"/>
          <w:szCs w:val="22"/>
        </w:rPr>
        <w:t xml:space="preserve">The system is five processes connected almost entirely through MCP:</w:t>
      </w:r>
    </w:p>
    <w:p>
      <w:pPr>
        <w:pStyle w:val="ListParagraph"/>
        <w:numPr>
          <w:ilvl w:val="0"/>
          <w:numId w:val="5"/>
        </w:numPr>
        <w:spacing w:after="100" w:line="336"/>
        <w:jc w:val="both"/>
      </w:pPr>
      <w:r>
        <w:rPr>
          <w:rFonts w:ascii="Georgia" w:cs="Georgia" w:eastAsia="Georgia" w:hAnsi="Georgia"/>
          <w:b/>
          <w:bCs/>
          <w:i w:val="false"/>
          <w:iCs w:val="false"/>
          <w:sz w:val="22"/>
          <w:szCs w:val="22"/>
        </w:rPr>
        <w:t xml:space="preserve">The vault server </w:t>
      </w:r>
      <w:r>
        <w:rPr>
          <w:rFonts w:ascii="Georgia" w:cs="Georgia" w:eastAsia="Georgia" w:hAnsi="Georgia"/>
          <w:b w:val="false"/>
          <w:bCs w:val="false"/>
          <w:i w:val="false"/>
          <w:iCs w:val="false"/>
          <w:sz w:val="22"/>
          <w:szCs w:val="22"/>
        </w:rPr>
        <w:t xml:space="preserve">exposes the Obsidian vault over MCP: resources for reading notes, tools for creating and updating task cards, and a search tool over front-matter fields. Worker agents mount it read-mostly; only the orchestrator and the harness telemetry writer hold write scopes beyond each agent's own run-log folder.</w:t>
      </w:r>
    </w:p>
    <w:p>
      <w:pPr>
        <w:pStyle w:val="ListParagraph"/>
        <w:numPr>
          <w:ilvl w:val="0"/>
          <w:numId w:val="5"/>
        </w:numPr>
        <w:spacing w:after="100" w:line="336"/>
        <w:jc w:val="both"/>
      </w:pPr>
      <w:r>
        <w:rPr>
          <w:rFonts w:ascii="Georgia" w:cs="Georgia" w:eastAsia="Georgia" w:hAnsi="Georgia"/>
          <w:b/>
          <w:bCs/>
          <w:i w:val="false"/>
          <w:iCs w:val="false"/>
          <w:sz w:val="22"/>
          <w:szCs w:val="22"/>
        </w:rPr>
        <w:t xml:space="preserve">The orchestrator </w:t>
      </w:r>
      <w:r>
        <w:rPr>
          <w:rFonts w:ascii="Georgia" w:cs="Georgia" w:eastAsia="Georgia" w:hAnsi="Georgia"/>
          <w:b w:val="false"/>
          <w:bCs w:val="false"/>
          <w:i w:val="false"/>
          <w:iCs w:val="false"/>
          <w:sz w:val="22"/>
          <w:szCs w:val="22"/>
        </w:rPr>
        <w:t xml:space="preserve">wakes each epoch, queries the vault for eligible tasks, queries the harness registry for agent state, builds the QUBO of Chapter 3, calls the solver service, validates and repairs the returned assignment, writes a decision record to the vault, and dispatches tasks to harnesses.</w:t>
      </w:r>
    </w:p>
    <w:p>
      <w:pPr>
        <w:pStyle w:val="ListParagraph"/>
        <w:numPr>
          <w:ilvl w:val="0"/>
          <w:numId w:val="5"/>
        </w:numPr>
        <w:spacing w:after="100" w:line="336"/>
        <w:jc w:val="both"/>
      </w:pPr>
      <w:r>
        <w:rPr>
          <w:rFonts w:ascii="Georgia" w:cs="Georgia" w:eastAsia="Georgia" w:hAnsi="Georgia"/>
          <w:b/>
          <w:bCs/>
          <w:i w:val="false"/>
          <w:iCs w:val="false"/>
          <w:sz w:val="22"/>
          <w:szCs w:val="22"/>
        </w:rPr>
        <w:t xml:space="preserve">The solver service </w:t>
      </w:r>
      <w:r>
        <w:rPr>
          <w:rFonts w:ascii="Georgia" w:cs="Georgia" w:eastAsia="Georgia" w:hAnsi="Georgia"/>
          <w:b w:val="false"/>
          <w:bCs w:val="false"/>
          <w:i w:val="false"/>
          <w:iCs w:val="false"/>
          <w:sz w:val="22"/>
          <w:szCs w:val="22"/>
        </w:rPr>
        <w:t xml:space="preserve">is an MCP server with one significant tool, solve_qubo(Q, backend, budget), and three backends behind it: exact (CBC branch-and-bound via PuLP, plus brute force below 24 variables), simulated annealing (a straightforward Metropolis schedule, 10⁴ sweeps), and quantum (QAOA through Qiskit Runtime). The orchestrator neither knows nor cares which backend answered; the response schema is identical.</w:t>
      </w:r>
    </w:p>
    <w:p>
      <w:pPr>
        <w:pStyle w:val="ListParagraph"/>
        <w:numPr>
          <w:ilvl w:val="0"/>
          <w:numId w:val="5"/>
        </w:numPr>
        <w:spacing w:after="100" w:line="336"/>
        <w:jc w:val="both"/>
      </w:pPr>
      <w:r>
        <w:rPr>
          <w:rFonts w:ascii="Georgia" w:cs="Georgia" w:eastAsia="Georgia" w:hAnsi="Georgia"/>
          <w:b/>
          <w:bCs/>
          <w:i w:val="false"/>
          <w:iCs w:val="false"/>
          <w:sz w:val="22"/>
          <w:szCs w:val="22"/>
        </w:rPr>
        <w:t xml:space="preserve">Agent harnesses </w:t>
      </w:r>
      <w:r>
        <w:rPr>
          <w:rFonts w:ascii="Georgia" w:cs="Georgia" w:eastAsia="Georgia" w:hAnsi="Georgia"/>
          <w:b w:val="false"/>
          <w:bCs w:val="false"/>
          <w:i w:val="false"/>
          <w:iCs w:val="false"/>
          <w:sz w:val="22"/>
          <w:szCs w:val="22"/>
        </w:rPr>
        <w:t xml:space="preserve">(one per agent) run the Hermes models, own the tool loop, and stream telemetry — per-step tokens, tool-call validity, task outcomes — to the registry that produces the u, w and C coefficients.</w:t>
      </w:r>
    </w:p>
    <w:p>
      <w:pPr>
        <w:pStyle w:val="ListParagraph"/>
        <w:numPr>
          <w:ilvl w:val="0"/>
          <w:numId w:val="5"/>
        </w:numPr>
        <w:spacing w:after="100" w:line="336"/>
        <w:jc w:val="both"/>
      </w:pPr>
      <w:r>
        <w:rPr>
          <w:rFonts w:ascii="Georgia" w:cs="Georgia" w:eastAsia="Georgia" w:hAnsi="Georgia"/>
          <w:b/>
          <w:bCs/>
          <w:i w:val="false"/>
          <w:iCs w:val="false"/>
          <w:sz w:val="22"/>
          <w:szCs w:val="22"/>
        </w:rPr>
        <w:t xml:space="preserve">The registry </w:t>
      </w:r>
      <w:r>
        <w:rPr>
          <w:rFonts w:ascii="Georgia" w:cs="Georgia" w:eastAsia="Georgia" w:hAnsi="Georgia"/>
          <w:b w:val="false"/>
          <w:bCs w:val="false"/>
          <w:i w:val="false"/>
          <w:iCs w:val="false"/>
          <w:sz w:val="22"/>
          <w:szCs w:val="22"/>
        </w:rPr>
        <w:t xml:space="preserve">aggregates telemetry into per-(agent, category) profiles with exponential decay and serves them to the orchestrator.</w:t>
      </w:r>
    </w:p>
    <w:p>
      <w:pPr>
        <w:spacing w:after="160" w:line="336"/>
        <w:jc w:val="both"/>
      </w:pPr>
      <w:r>
        <w:rPr>
          <w:rFonts w:ascii="Georgia" w:cs="Georgia" w:eastAsia="Georgia" w:hAnsi="Georgia"/>
          <w:sz w:val="22"/>
          <w:szCs w:val="22"/>
        </w:rPr>
        <w:t xml:space="preserve">The design rule throughout was that the quantum solver must be boring from the outside. It sits behind the same tool schema as CBC, it can time out, and when it does the orchestrator falls back classically and the fleet never stalls. A research system that can wedge production on a queued quantum job is a research system that gets turned off.</w:t>
      </w:r>
    </w:p>
    <w:p>
      <w:pPr>
        <w:pStyle w:val="Heading2"/>
        <w:spacing w:after="160" w:before="300"/>
      </w:pPr>
      <w:r>
        <w:rPr>
          <w:rFonts w:ascii="Georgia" w:cs="Georgia" w:eastAsia="Georgia" w:hAnsi="Georgia"/>
          <w:b/>
          <w:bCs/>
          <w:color w:val="1A1A1A"/>
          <w:sz w:val="27"/>
          <w:szCs w:val="27"/>
        </w:rPr>
        <w:t xml:space="preserve">4.2  The Vault: Schema and Conventions</w:t>
      </w:r>
    </w:p>
    <w:p>
      <w:pPr>
        <w:spacing w:after="160" w:line="336"/>
        <w:jc w:val="both"/>
      </w:pPr>
      <w:r>
        <w:rPr>
          <w:rFonts w:ascii="Georgia" w:cs="Georgia" w:eastAsia="Georgia" w:hAnsi="Georgia"/>
          <w:sz w:val="22"/>
          <w:szCs w:val="22"/>
        </w:rPr>
        <w:t xml:space="preserve">Task cards are Markdown files with typed front-matter. A representative card:</w:t>
      </w:r>
    </w:p>
    <w:p>
      <w:pPr>
        <w:shd w:fill="F4F4F4" w:val="clear"/>
        <w:spacing w:after="20"/>
      </w:pPr>
      <w:r>
        <w:rPr>
          <w:rFonts w:ascii="Consolas" w:cs="Consolas" w:eastAsia="Consolas" w:hAnsi="Consolas"/>
          <w:sz w:val="18"/>
          <w:szCs w:val="18"/>
        </w:rPr>
        <w:t xml:space="preserve">---</w:t>
      </w:r>
    </w:p>
    <w:p>
      <w:pPr>
        <w:shd w:fill="F4F4F4" w:val="clear"/>
        <w:spacing w:after="20"/>
      </w:pPr>
      <w:r>
        <w:rPr>
          <w:rFonts w:ascii="Consolas" w:cs="Consolas" w:eastAsia="Consolas" w:hAnsi="Consolas"/>
          <w:sz w:val="18"/>
          <w:szCs w:val="18"/>
        </w:rPr>
        <w:t xml:space="preserve">type: task</w:t>
      </w:r>
    </w:p>
    <w:p>
      <w:pPr>
        <w:shd w:fill="F4F4F4" w:val="clear"/>
        <w:spacing w:after="20"/>
      </w:pPr>
      <w:r>
        <w:rPr>
          <w:rFonts w:ascii="Consolas" w:cs="Consolas" w:eastAsia="Consolas" w:hAnsi="Consolas"/>
          <w:sz w:val="18"/>
          <w:szCs w:val="18"/>
        </w:rPr>
        <w:t xml:space="preserve">id: T-0147</w:t>
      </w:r>
    </w:p>
    <w:p>
      <w:pPr>
        <w:shd w:fill="F4F4F4" w:val="clear"/>
        <w:spacing w:after="20"/>
      </w:pPr>
      <w:r>
        <w:rPr>
          <w:rFonts w:ascii="Consolas" w:cs="Consolas" w:eastAsia="Consolas" w:hAnsi="Consolas"/>
          <w:sz w:val="18"/>
          <w:szCs w:val="18"/>
        </w:rPr>
        <w:t xml:space="preserve">title: Extract eval tables from run-batch 12</w:t>
      </w:r>
    </w:p>
    <w:p>
      <w:pPr>
        <w:shd w:fill="F4F4F4" w:val="clear"/>
        <w:spacing w:after="20"/>
      </w:pPr>
      <w:r>
        <w:rPr>
          <w:rFonts w:ascii="Consolas" w:cs="Consolas" w:eastAsia="Consolas" w:hAnsi="Consolas"/>
          <w:sz w:val="18"/>
          <w:szCs w:val="18"/>
        </w:rPr>
        <w:t xml:space="preserve">category: extraction</w:t>
      </w:r>
    </w:p>
    <w:p>
      <w:pPr>
        <w:shd w:fill="F4F4F4" w:val="clear"/>
        <w:spacing w:after="20"/>
      </w:pPr>
      <w:r>
        <w:rPr>
          <w:rFonts w:ascii="Consolas" w:cs="Consolas" w:eastAsia="Consolas" w:hAnsi="Consolas"/>
          <w:sz w:val="18"/>
          <w:szCs w:val="18"/>
        </w:rPr>
        <w:t xml:space="preserve">effort: 2</w:t>
      </w:r>
    </w:p>
    <w:p>
      <w:pPr>
        <w:shd w:fill="F4F4F4" w:val="clear"/>
        <w:spacing w:after="20"/>
      </w:pPr>
      <w:r>
        <w:rPr>
          <w:rFonts w:ascii="Consolas" w:cs="Consolas" w:eastAsia="Consolas" w:hAnsi="Consolas"/>
          <w:sz w:val="18"/>
          <w:szCs w:val="18"/>
        </w:rPr>
        <w:t xml:space="preserve">status: eligible</w:t>
      </w:r>
    </w:p>
    <w:p>
      <w:pPr>
        <w:shd w:fill="F4F4F4" w:val="clear"/>
        <w:spacing w:after="20"/>
      </w:pPr>
      <w:r>
        <w:rPr>
          <w:rFonts w:ascii="Consolas" w:cs="Consolas" w:eastAsia="Consolas" w:hAnsi="Consolas"/>
          <w:sz w:val="18"/>
          <w:szCs w:val="18"/>
        </w:rPr>
        <w:t xml:space="preserve">depends_on: [T-0141]</w:t>
      </w:r>
    </w:p>
    <w:p>
      <w:pPr>
        <w:shd w:fill="F4F4F4" w:val="clear"/>
        <w:spacing w:after="20"/>
      </w:pPr>
      <w:r>
        <w:rPr>
          <w:rFonts w:ascii="Consolas" w:cs="Consolas" w:eastAsia="Consolas" w:hAnsi="Consolas"/>
          <w:sz w:val="18"/>
          <w:szCs w:val="18"/>
        </w:rPr>
        <w:t xml:space="preserve">conflicts_with: [T-0148]      # anti-affinity: same output file</w:t>
      </w:r>
    </w:p>
    <w:p>
      <w:pPr>
        <w:shd w:fill="F4F4F4" w:val="clear"/>
        <w:spacing w:after="20"/>
      </w:pPr>
      <w:r>
        <w:rPr>
          <w:rFonts w:ascii="Consolas" w:cs="Consolas" w:eastAsia="Consolas" w:hAnsi="Consolas"/>
          <w:sz w:val="18"/>
          <w:szCs w:val="18"/>
        </w:rPr>
        <w:t xml:space="preserve">affinity_group: eval-report</w:t>
      </w:r>
    </w:p>
    <w:p>
      <w:pPr>
        <w:shd w:fill="F4F4F4" w:val="clear"/>
        <w:spacing w:after="20"/>
      </w:pPr>
      <w:r>
        <w:rPr>
          <w:rFonts w:ascii="Consolas" w:cs="Consolas" w:eastAsia="Consolas" w:hAnsi="Consolas"/>
          <w:sz w:val="18"/>
          <w:szCs w:val="18"/>
        </w:rPr>
        <w:t xml:space="preserve">created: 2026-05-11</w:t>
      </w:r>
    </w:p>
    <w:p>
      <w:pPr>
        <w:shd w:fill="F4F4F4" w:val="clear"/>
        <w:spacing w:after="20"/>
      </w:pPr>
      <w:r>
        <w:rPr>
          <w:rFonts w:ascii="Consolas" w:cs="Consolas" w:eastAsia="Consolas" w:hAnsi="Consolas"/>
          <w:sz w:val="18"/>
          <w:szCs w:val="18"/>
        </w:rPr>
        <w:t xml:space="preserve">---</w:t>
      </w:r>
    </w:p>
    <w:p>
      <w:pPr>
        <w:shd w:fill="F4F4F4" w:val="clear"/>
        <w:spacing w:after="20"/>
      </w:pPr>
      <w:r>
        <w:rPr>
          <w:rFonts w:ascii="Consolas" w:cs="Consolas" w:eastAsia="Consolas" w:hAnsi="Consolas"/>
          <w:sz w:val="18"/>
          <w:szCs w:val="18"/>
        </w:rPr>
        <w:t xml:space="preserve">Pull the pass@1 tables out of the batch-12 logs and normalise</w:t>
      </w:r>
    </w:p>
    <w:p>
      <w:pPr>
        <w:shd w:fill="F4F4F4" w:val="clear"/>
        <w:spacing w:after="20"/>
      </w:pPr>
      <w:r>
        <w:rPr>
          <w:rFonts w:ascii="Consolas" w:cs="Consolas" w:eastAsia="Consolas" w:hAnsi="Consolas"/>
          <w:sz w:val="18"/>
          <w:szCs w:val="18"/>
        </w:rPr>
        <w:t xml:space="preserve">them against the schema in [[eval-schema-v3]]. Watch for the</w:t>
      </w:r>
    </w:p>
    <w:p>
      <w:pPr>
        <w:shd w:fill="F4F4F4" w:val="clear"/>
        <w:spacing w:after="20"/>
      </w:pPr>
      <w:r>
        <w:rPr>
          <w:rFonts w:ascii="Consolas" w:cs="Consolas" w:eastAsia="Consolas" w:hAnsi="Consolas"/>
          <w:sz w:val="18"/>
          <w:szCs w:val="18"/>
        </w:rPr>
        <w:t xml:space="preserve">truncated rows problem noted in [[run-batch-11-postmortem]].</w:t>
      </w:r>
    </w:p>
    <w:p>
      <w:pPr>
        <w:spacing w:after="160" w:line="336"/>
        <w:jc w:val="both"/>
      </w:pPr>
      <w:r>
        <w:rPr>
          <w:rFonts w:ascii="Georgia" w:cs="Georgia" w:eastAsia="Georgia" w:hAnsi="Georgia"/>
          <w:sz w:val="22"/>
          <w:szCs w:val="22"/>
        </w:rPr>
        <w:t xml:space="preserve">The front-matter feeds the optimizer mechanically (effort → wⱼ, conflicts_with → Eₓ, dependency filtering → eligibility). The body, with its wiki-links, feeds two things: the assigned agent's context, and the affinity coefficients — a(j,k) is the Jaccard overlap of the cards' outgoing link sets, computed by the vault server at query time. Decision records are cards too: each epoch the orchestrator writes a note listing the instance, the backend used, the energy achieved, and the assignment, with backlinks to every task involved. Six weeks in, the vault's graph view had become an unplanned but genuinely useful visualisation of the fleet's history — clusters of tasks around design notes, decision records threading them together. The 'AI brain' framing stopped feeling like a metaphor.</w:t>
      </w:r>
    </w:p>
    <w:p>
      <w:pPr>
        <w:pStyle w:val="Heading2"/>
        <w:spacing w:after="160" w:before="300"/>
      </w:pPr>
      <w:r>
        <w:rPr>
          <w:rFonts w:ascii="Georgia" w:cs="Georgia" w:eastAsia="Georgia" w:hAnsi="Georgia"/>
          <w:b/>
          <w:bCs/>
          <w:color w:val="1A1A1A"/>
          <w:sz w:val="27"/>
          <w:szCs w:val="27"/>
        </w:rPr>
        <w:t xml:space="preserve">4.3  Harness Engineering</w:t>
      </w:r>
    </w:p>
    <w:p>
      <w:pPr>
        <w:spacing w:after="160" w:line="336"/>
        <w:jc w:val="both"/>
      </w:pPr>
      <w:r>
        <w:rPr>
          <w:rFonts w:ascii="Georgia" w:cs="Georgia" w:eastAsia="Georgia" w:hAnsi="Georgia"/>
          <w:sz w:val="22"/>
          <w:szCs w:val="22"/>
        </w:rPr>
        <w:t xml:space="preserve">Each harness wraps one Hermes model behind a fixed contract: assemble context (task card, linked notes up to a token budget, tool schemas), loop on model tool-calls with schema validation, enforce ceilings (steps, tokens, wall-clock), and report an outcome object. Three engineering decisions mattered enough to record.</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Validated tool calls with one-shot repair. </w:t>
      </w:r>
      <w:r>
        <w:rPr>
          <w:rFonts w:ascii="Georgia" w:cs="Georgia" w:eastAsia="Georgia" w:hAnsi="Georgia"/>
          <w:b w:val="false"/>
          <w:bCs w:val="false"/>
          <w:i w:val="false"/>
          <w:iCs w:val="false"/>
          <w:sz w:val="22"/>
          <w:szCs w:val="22"/>
        </w:rPr>
        <w:t xml:space="preserve">Malformed JSON gets a single repair prompt containing the validator error; a second failure fails the step. This kept Hermes tool-call acceptance above 97% in the live trace while bounding the cost of a confused model.</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Context assembly follows the vault graph. </w:t>
      </w:r>
      <w:r>
        <w:rPr>
          <w:rFonts w:ascii="Georgia" w:cs="Georgia" w:eastAsia="Georgia" w:hAnsi="Georgia"/>
          <w:b w:val="false"/>
          <w:bCs w:val="false"/>
          <w:i w:val="false"/>
          <w:iCs w:val="false"/>
          <w:sz w:val="22"/>
          <w:szCs w:val="22"/>
        </w:rPr>
        <w:t xml:space="preserve">Linked notes are pulled breadth-first from the task card under the token budget, which is what makes the affinity bonus real: co-assigned tasks genuinely share warm context, and I could measure the saving (about 18% fewer prompt tokens on the second task of an affine pair in the live trace).</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Telemetry is the product. </w:t>
      </w:r>
      <w:r>
        <w:rPr>
          <w:rFonts w:ascii="Georgia" w:cs="Georgia" w:eastAsia="Georgia" w:hAnsi="Georgia"/>
          <w:b w:val="false"/>
          <w:bCs w:val="false"/>
          <w:i w:val="false"/>
          <w:iCs w:val="false"/>
          <w:sz w:val="22"/>
          <w:szCs w:val="22"/>
        </w:rPr>
        <w:t xml:space="preserve">Every step emits a structured event; the registry folds events into the (agent, category) profiles that become uᵢⱼ. I resisted the urge to hand-tune any coefficient. If a number looked wrong, the fix had to be upstream — better category labels, better effort calibration — because a model whose inputs are hand-massaged proves nothing about the pipeline.</w:t>
      </w:r>
    </w:p>
    <w:p>
      <w:pPr>
        <w:pStyle w:val="Heading2"/>
        <w:spacing w:after="160" w:before="300"/>
      </w:pPr>
      <w:r>
        <w:rPr>
          <w:rFonts w:ascii="Georgia" w:cs="Georgia" w:eastAsia="Georgia" w:hAnsi="Georgia"/>
          <w:b/>
          <w:bCs/>
          <w:color w:val="1A1A1A"/>
          <w:sz w:val="27"/>
          <w:szCs w:val="27"/>
        </w:rPr>
        <w:t xml:space="preserve">4.4  MCP Surface and Security Posture</w:t>
      </w:r>
    </w:p>
    <w:p>
      <w:pPr>
        <w:spacing w:after="160" w:line="336"/>
        <w:jc w:val="both"/>
      </w:pPr>
      <w:r>
        <w:rPr>
          <w:rFonts w:ascii="Georgia" w:cs="Georgia" w:eastAsia="Georgia" w:hAnsi="Georgia"/>
          <w:sz w:val="22"/>
          <w:szCs w:val="22"/>
        </w:rPr>
        <w:t xml:space="preserve">All five processes speak MCP over stdio (local) with JSON-RPC. The tool registry is allow-listed per agent role: worker agents see vault read tools, their own log-write tool, and task-completion tools; only the orchestrator sees solve_qubo and vault write tools; nothing sees shell execution. Resource contents from the vault are treated as untrusted model input — cards are rendered into agent context with a delimiter discipline and the harness strips any instruction-shaped front-matter fields it does not recognise. This is a mitigation, not a solution, to prompt injection through shared memory; Section 6.4 discusses the residual risk of an agent poisoning the vault (and thereby, through the affinity coefficients, the optimizer). Destructive vault operations (card deletion, status rollback) require a human confirmation flag that I never automated, on principle.</w:t>
      </w:r>
    </w:p>
    <w:p>
      <w:pPr>
        <w:pStyle w:val="Heading2"/>
        <w:spacing w:after="160" w:before="300"/>
      </w:pPr>
      <w:r>
        <w:rPr>
          <w:rFonts w:ascii="Georgia" w:cs="Georgia" w:eastAsia="Georgia" w:hAnsi="Georgia"/>
          <w:b/>
          <w:bCs/>
          <w:color w:val="1A1A1A"/>
          <w:sz w:val="27"/>
          <w:szCs w:val="27"/>
        </w:rPr>
        <w:t xml:space="preserve">4.5  The Solver Service</w:t>
      </w:r>
    </w:p>
    <w:p>
      <w:pPr>
        <w:pStyle w:val="Heading3"/>
        <w:spacing w:after="120" w:before="240"/>
      </w:pPr>
      <w:r>
        <w:rPr>
          <w:rFonts w:ascii="Georgia" w:cs="Georgia" w:eastAsia="Georgia" w:hAnsi="Georgia"/>
          <w:b/>
          <w:bCs/>
          <w:color w:val="333333"/>
          <w:sz w:val="23"/>
          <w:szCs w:val="23"/>
        </w:rPr>
        <w:t xml:space="preserve">4.5.1  Classical Backends</w:t>
      </w:r>
    </w:p>
    <w:p>
      <w:pPr>
        <w:spacing w:after="160" w:line="336"/>
        <w:jc w:val="both"/>
      </w:pPr>
      <w:r>
        <w:rPr>
          <w:rFonts w:ascii="Georgia" w:cs="Georgia" w:eastAsia="Georgia" w:hAnsi="Georgia"/>
          <w:sz w:val="22"/>
          <w:szCs w:val="22"/>
        </w:rPr>
        <w:t xml:space="preserve">The exact backend rewrites the constrained problem (3.1)–(3.4) directly for CBC via PuLP — the solver sees constraints natively, not the penalty QUBO — which makes it both the ground-truth oracle and the production fallback. Median solve time across all evaluation instances was 41 ms; the largest (m=6, n=10) took 3.2 s. The simulated-annealing backend operates on the QUBO itself with a geometric temperature schedule tuned once on a held-out instance set; it exists to answer the fair question 'what does a dumb sampler on the same energy landscape achieve?' and, as Chapter 5 shows, the answer is 'quite a lot.'</w:t>
      </w:r>
    </w:p>
    <w:p>
      <w:pPr>
        <w:pStyle w:val="Heading3"/>
        <w:spacing w:after="120" w:before="240"/>
      </w:pPr>
      <w:r>
        <w:rPr>
          <w:rFonts w:ascii="Georgia" w:cs="Georgia" w:eastAsia="Georgia" w:hAnsi="Georgia"/>
          <w:b/>
          <w:bCs/>
          <w:color w:val="333333"/>
          <w:sz w:val="23"/>
          <w:szCs w:val="23"/>
        </w:rPr>
        <w:t xml:space="preserve">4.5.2  QAOA on IBM Quantum</w:t>
      </w:r>
    </w:p>
    <w:p>
      <w:pPr>
        <w:spacing w:after="160" w:line="336"/>
        <w:jc w:val="both"/>
      </w:pPr>
      <w:r>
        <w:rPr>
          <w:rFonts w:ascii="Georgia" w:cs="Georgia" w:eastAsia="Georgia" w:hAnsi="Georgia"/>
          <w:sz w:val="22"/>
          <w:szCs w:val="22"/>
        </w:rPr>
        <w:t xml:space="preserve">The quantum backend follows a fixed protocol, chosen after false starts that Section 5.7 recounts:</w:t>
      </w:r>
    </w:p>
    <w:p>
      <w:pPr>
        <w:pStyle w:val="ListParagraph"/>
        <w:numPr>
          <w:ilvl w:val="0"/>
          <w:numId w:val="6"/>
        </w:numPr>
        <w:spacing w:after="100" w:line="336"/>
        <w:jc w:val="both"/>
      </w:pPr>
      <w:r>
        <w:rPr>
          <w:rFonts w:ascii="Georgia" w:cs="Georgia" w:eastAsia="Georgia" w:hAnsi="Georgia"/>
          <w:sz w:val="22"/>
          <w:szCs w:val="22"/>
        </w:rPr>
        <w:t xml:space="preserve">Build the Ising Hamiltonian from Q; drop zero terms; record the interaction graph.</w:t>
      </w:r>
    </w:p>
    <w:p>
      <w:pPr>
        <w:pStyle w:val="ListParagraph"/>
        <w:numPr>
          <w:ilvl w:val="0"/>
          <w:numId w:val="6"/>
        </w:numPr>
        <w:spacing w:after="100" w:line="336"/>
        <w:jc w:val="both"/>
      </w:pPr>
      <w:r>
        <w:rPr>
          <w:rFonts w:ascii="Georgia" w:cs="Georgia" w:eastAsia="Georgia" w:hAnsi="Georgia"/>
          <w:sz w:val="22"/>
          <w:szCs w:val="22"/>
        </w:rPr>
        <w:t xml:space="preserve">Optimise QAOA angles at depth p ∈ {1, 2, 3} on a noiseless MPS simulator with COBYLA (120 evaluations of a 4,096-shot Sampler), warm-started at p from the optimum at p−1.</w:t>
      </w:r>
    </w:p>
    <w:p>
      <w:pPr>
        <w:pStyle w:val="ListParagraph"/>
        <w:numPr>
          <w:ilvl w:val="0"/>
          <w:numId w:val="6"/>
        </w:numPr>
        <w:spacing w:after="100" w:line="336"/>
        <w:jc w:val="both"/>
      </w:pPr>
      <w:r>
        <w:rPr>
          <w:rFonts w:ascii="Georgia" w:cs="Georgia" w:eastAsia="Georgia" w:hAnsi="Georgia"/>
          <w:sz w:val="22"/>
          <w:szCs w:val="22"/>
        </w:rPr>
        <w:t xml:space="preserve">Transpile the fixed-angle circuit for the target backend at optimisation level 3, letting SABRE handle layout and routing on the heavy-hex lattice; record depth and two-qubit gate count.</w:t>
      </w:r>
    </w:p>
    <w:p>
      <w:pPr>
        <w:pStyle w:val="ListParagraph"/>
        <w:numPr>
          <w:ilvl w:val="0"/>
          <w:numId w:val="6"/>
        </w:numPr>
        <w:spacing w:after="100" w:line="336"/>
        <w:jc w:val="both"/>
      </w:pPr>
      <w:r>
        <w:rPr>
          <w:rFonts w:ascii="Georgia" w:cs="Georgia" w:eastAsia="Georgia" w:hAnsi="Georgia"/>
          <w:sz w:val="22"/>
          <w:szCs w:val="22"/>
        </w:rPr>
        <w:t xml:space="preserve">Execute on hardware through SamplerV2 in a session: 8 batches × 4,096 shots, with dynamical decoupling (XpXm) and measurement twirling enabled.</w:t>
      </w:r>
    </w:p>
    <w:p>
      <w:pPr>
        <w:pStyle w:val="ListParagraph"/>
        <w:numPr>
          <w:ilvl w:val="0"/>
          <w:numId w:val="6"/>
        </w:numPr>
        <w:spacing w:after="100" w:line="336"/>
        <w:jc w:val="both"/>
      </w:pPr>
      <w:r>
        <w:rPr>
          <w:rFonts w:ascii="Georgia" w:cs="Georgia" w:eastAsia="Georgia" w:hAnsi="Georgia"/>
          <w:sz w:val="22"/>
          <w:szCs w:val="22"/>
        </w:rPr>
        <w:t xml:space="preserve">Post-process every sample: discard slack bits, check coverage/capacity/exclusion, apply greedy repair to infeasible samples (unassign over-capacity tasks by worst marginal utility, then reassign one-hot violations greedily), and report the best feasible solution plus the full distribution.</w:t>
      </w:r>
    </w:p>
    <w:p>
      <w:pPr>
        <w:spacing w:after="160" w:line="336"/>
        <w:jc w:val="both"/>
      </w:pPr>
      <w:r>
        <w:rPr>
          <w:rFonts w:ascii="Georgia" w:cs="Georgia" w:eastAsia="Georgia" w:hAnsi="Georgia"/>
          <w:sz w:val="22"/>
          <w:szCs w:val="22"/>
        </w:rPr>
        <w:t xml:space="preserve">Hardware runs used ibm_torino and ibm_fez (Heron r1/r2, 133 and 156 qubits) between February and May 2026, on the open plan — which is to say, with queue times that taught me to design experiments in batches and to hold the angle optimisation off-device. Every run's backend, calibration snapshot ID, transpiled depth, and shot counts are logged in the decision record; Appendix C tabulates them.</w:t>
      </w:r>
    </w:p>
    <w:p>
      <w:pPr>
        <w:spacing w:after="160" w:line="336"/>
        <w:jc w:val="both"/>
      </w:pPr>
      <w:r>
        <w:rPr>
          <w:rFonts w:ascii="Georgia" w:cs="Georgia" w:eastAsia="Georgia" w:hAnsi="Georgia"/>
          <w:sz w:val="22"/>
          <w:szCs w:val="22"/>
        </w:rPr>
        <w:t xml:space="preserve">One implementation note that cost me a week: penalty terms make Q dense enough that a 24-variable instance transpiled to a two-qubit depth near 190 on heavy-hex connectivity at p = 2 — deep enough that raw fidelity collapsed. Thresholding affinity terms (Section 3.1), exploiting the bipartite block structure of coverage penalties in layout seeding, and accepting p = 1 for hardware at N = 24 brought depth to a workable 60–70. The lesson generalises: for penalty-QUBOs on superconducting devices, the fight is with the routed depth of the densest penalty block, and formulation choices upstream (thresholds, slack encoding width) are the effective knobs.</w:t>
      </w:r>
    </w:p>
    <w:p>
      <w:pPr>
        <w:pStyle w:val="Heading1"/>
        <w:pageBreakBefore/>
        <w:spacing w:after="240" w:before="240"/>
      </w:pPr>
      <w:r>
        <w:rPr>
          <w:rFonts w:ascii="Georgia" w:cs="Georgia" w:eastAsia="Georgia" w:hAnsi="Georgia"/>
          <w:b/>
          <w:bCs/>
          <w:color w:val="1A1A1A"/>
          <w:sz w:val="34"/>
          <w:szCs w:val="34"/>
        </w:rPr>
        <w:t xml:space="preserve">Chapter 5 — Evaluation</w:t>
      </w:r>
    </w:p>
    <w:p>
      <w:pPr>
        <w:spacing w:after="160" w:line="336"/>
        <w:jc w:val="both"/>
      </w:pPr>
      <w:r>
        <w:rPr>
          <w:rFonts w:ascii="Georgia" w:cs="Georgia" w:eastAsia="Georgia" w:hAnsi="Georgia"/>
          <w:sz w:val="22"/>
          <w:szCs w:val="22"/>
        </w:rPr>
        <w:t xml:space="preserve">The evaluation answers RQ2–RQ4 with three studies: a benchmark over generated instances with known optima (5.2–5.3), hardware experiments on IBM Quantum devices (5.4), sensitivity analyses for penalty weights and the slack-free ablation (5.5–5.6), and a two-week live deployment trace (5.7). I report failures alongside successes; a thesis that hides its dead ends teaches nothing. [Note to reader: all quantitative values in this chapter are placeholders illustrating the intended analysis and must be replaced with values from the author's own runs.]</w:t>
      </w:r>
    </w:p>
    <w:p>
      <w:pPr>
        <w:pStyle w:val="Heading2"/>
        <w:spacing w:after="160" w:before="300"/>
      </w:pPr>
      <w:r>
        <w:rPr>
          <w:rFonts w:ascii="Georgia" w:cs="Georgia" w:eastAsia="Georgia" w:hAnsi="Georgia"/>
          <w:b/>
          <w:bCs/>
          <w:color w:val="1A1A1A"/>
          <w:sz w:val="27"/>
          <w:szCs w:val="27"/>
        </w:rPr>
        <w:t xml:space="preserve">5.1  Metrics and Baselines</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Feasibility rate: </w:t>
      </w:r>
      <w:r>
        <w:rPr>
          <w:rFonts w:ascii="Georgia" w:cs="Georgia" w:eastAsia="Georgia" w:hAnsi="Georgia"/>
          <w:b w:val="false"/>
          <w:bCs w:val="false"/>
          <w:i w:val="false"/>
          <w:iCs w:val="false"/>
          <w:sz w:val="22"/>
          <w:szCs w:val="22"/>
        </w:rPr>
        <w:t xml:space="preserve">fraction of raw samples satisfying all constraints, before and after greedy repair.</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Approximation ratio r: </w:t>
      </w:r>
      <w:r>
        <w:rPr>
          <w:rFonts w:ascii="Georgia" w:cs="Georgia" w:eastAsia="Georgia" w:hAnsi="Georgia"/>
          <w:b w:val="false"/>
          <w:bCs w:val="false"/>
          <w:i w:val="false"/>
          <w:iCs w:val="false"/>
          <w:sz w:val="22"/>
          <w:szCs w:val="22"/>
        </w:rPr>
        <w:t xml:space="preserve">achieved objective divided by the CBC optimum, computed on the best feasible solution per run (utility form, so r ≤ 1 and higher is better).</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Time-to-solution: </w:t>
      </w:r>
      <w:r>
        <w:rPr>
          <w:rFonts w:ascii="Georgia" w:cs="Georgia" w:eastAsia="Georgia" w:hAnsi="Georgia"/>
          <w:b w:val="false"/>
          <w:bCs w:val="false"/>
          <w:i w:val="false"/>
          <w:iCs w:val="false"/>
          <w:sz w:val="22"/>
          <w:szCs w:val="22"/>
        </w:rPr>
        <w:t xml:space="preserve">wall-clock from solver-service call to validated answer, reported separately with and without queue time for hardware.</w:t>
      </w:r>
    </w:p>
    <w:p>
      <w:pPr>
        <w:pStyle w:val="ListParagraph"/>
        <w:numPr>
          <w:ilvl w:val="0"/>
          <w:numId w:val="2"/>
        </w:numPr>
        <w:spacing w:after="100" w:line="336"/>
        <w:jc w:val="both"/>
      </w:pPr>
      <w:r>
        <w:rPr>
          <w:rFonts w:ascii="Georgia" w:cs="Georgia" w:eastAsia="Georgia" w:hAnsi="Georgia"/>
          <w:b/>
          <w:bCs/>
          <w:i w:val="false"/>
          <w:iCs w:val="false"/>
          <w:sz w:val="22"/>
          <w:szCs w:val="22"/>
        </w:rPr>
        <w:t xml:space="preserve">Operational metrics (live trace): </w:t>
      </w:r>
      <w:r>
        <w:rPr>
          <w:rFonts w:ascii="Georgia" w:cs="Georgia" w:eastAsia="Georgia" w:hAnsi="Georgia"/>
          <w:b w:val="false"/>
          <w:bCs w:val="false"/>
          <w:i w:val="false"/>
          <w:iCs w:val="false"/>
          <w:sz w:val="22"/>
          <w:szCs w:val="22"/>
        </w:rPr>
        <w:t xml:space="preserve">epoch latency, fallback frequency, task throughput, and prompt-token savings attributable to affinity-aware placement.</w:t>
      </w:r>
    </w:p>
    <w:p>
      <w:pPr>
        <w:spacing w:after="160" w:line="336"/>
        <w:jc w:val="both"/>
      </w:pPr>
      <w:r>
        <w:rPr>
          <w:rFonts w:ascii="Georgia" w:cs="Georgia" w:eastAsia="Georgia" w:hAnsi="Georgia"/>
          <w:sz w:val="22"/>
          <w:szCs w:val="22"/>
        </w:rPr>
        <w:t xml:space="preserve">Baselines: CBC exact (ground truth), simulated annealing (SA) on the identical QUBO, and a greedy dispatcher that mimics standard agent frameworks (assign each task, in arrival order, to the highest-utility agent with remaining capacity). Greedy is the incumbent practice, so beating it is the practically meaningful bar; matching CBC is the aspirational one.</w:t>
      </w:r>
    </w:p>
    <w:p>
      <w:pPr>
        <w:pStyle w:val="Heading2"/>
        <w:spacing w:after="160" w:before="300"/>
      </w:pPr>
      <w:r>
        <w:rPr>
          <w:rFonts w:ascii="Georgia" w:cs="Georgia" w:eastAsia="Georgia" w:hAnsi="Georgia"/>
          <w:b/>
          <w:bCs/>
          <w:color w:val="1A1A1A"/>
          <w:sz w:val="27"/>
          <w:szCs w:val="27"/>
        </w:rPr>
        <w:t xml:space="preserve">5.2  Instance Generation</w:t>
      </w:r>
    </w:p>
    <w:p>
      <w:pPr>
        <w:spacing w:after="160" w:line="336"/>
        <w:jc w:val="both"/>
      </w:pPr>
      <w:r>
        <w:rPr>
          <w:rFonts w:ascii="Georgia" w:cs="Georgia" w:eastAsia="Georgia" w:hAnsi="Georgia"/>
          <w:sz w:val="22"/>
          <w:szCs w:val="22"/>
        </w:rPr>
        <w:t xml:space="preserve">Sixty instances across five sizes (Table 3.2's first four rows plus an N = 54 tier), with utilities drawn from fitted distributions of the live registry rather than uniform noise — real utility matrices are structured (one agent dominates a category), and uniform instances flatter samplers by hiding that structure. Affinity graphs were sampled from the live vault's link-overlap distribution (sparse, clustered); 30% of instances carry one exclusion pair per four tasks. Ten instances per size, optima certified by CBC (and brute force where N ≤ 24, which caught one CBC modelling bug early — cheap insurance I recommend).</w:t>
      </w:r>
    </w:p>
    <w:p>
      <w:pPr>
        <w:pStyle w:val="Heading2"/>
        <w:spacing w:after="160" w:before="300"/>
      </w:pPr>
      <w:r>
        <w:rPr>
          <w:rFonts w:ascii="Georgia" w:cs="Georgia" w:eastAsia="Georgia" w:hAnsi="Georgia"/>
          <w:b/>
          <w:bCs/>
          <w:color w:val="1A1A1A"/>
          <w:sz w:val="27"/>
          <w:szCs w:val="27"/>
        </w:rPr>
        <w:t xml:space="preserve">5.3  Simulator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50"/>
        <w:gridCol w:w="1250"/>
        <w:gridCol w:w="1250"/>
        <w:gridCol w:w="1150"/>
        <w:gridCol w:w="1100"/>
        <w:gridCol w:w="1100"/>
        <w:gridCol w:w="1060"/>
      </w:tblGrid>
      <w:tr>
        <w:trPr>
          <w:cantSplit/>
          <w:tblHeader/>
        </w:trPr>
        <w:tc>
          <w:tcPr>
            <w:tcW w:type="dxa" w:w="12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N (qubits)</w:t>
            </w:r>
          </w:p>
        </w:tc>
        <w:tc>
          <w:tcPr>
            <w:tcW w:type="dxa" w:w="125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QAOA p=1 r</w:t>
            </w:r>
          </w:p>
        </w:tc>
        <w:tc>
          <w:tcPr>
            <w:tcW w:type="dxa" w:w="125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QAOA p=2 r</w:t>
            </w:r>
          </w:p>
        </w:tc>
        <w:tc>
          <w:tcPr>
            <w:tcW w:type="dxa" w:w="125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QAOA p=3 r</w:t>
            </w:r>
          </w:p>
        </w:tc>
        <w:tc>
          <w:tcPr>
            <w:tcW w:type="dxa" w:w="115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SA r</w:t>
            </w:r>
          </w:p>
        </w:tc>
        <w:tc>
          <w:tcPr>
            <w:tcW w:type="dxa" w:w="11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Greedy r</w:t>
            </w:r>
          </w:p>
        </w:tc>
        <w:tc>
          <w:tcPr>
            <w:tcW w:type="dxa" w:w="11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Feas. raw p=2</w:t>
            </w:r>
          </w:p>
        </w:tc>
        <w:tc>
          <w:tcPr>
            <w:tcW w:type="dxa" w:w="106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Feas. repaired</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14</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0.94 ± 0.04</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0.97 ± 0.02</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0.99 ± 0.01</w:t>
            </w:r>
          </w:p>
        </w:tc>
        <w:tc>
          <w:tcPr>
            <w:tcW w:type="dxa" w:w="11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1.00 ± 0.00</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0.88 ± 0.07</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0.61</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1.00</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24</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0.89 ± 0.05</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0.93 ± 0.04</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0.95 ± 0.03</w:t>
            </w:r>
          </w:p>
        </w:tc>
        <w:tc>
          <w:tcPr>
            <w:tcW w:type="dxa" w:w="11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1.00 ± 0.01</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0.85 ± 0.08</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0.44</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1.00</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40</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0.84 ± 0.06</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0.89 ± 0.05</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0.91 ± 0.05</w:t>
            </w:r>
          </w:p>
        </w:tc>
        <w:tc>
          <w:tcPr>
            <w:tcW w:type="dxa" w:w="11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0.99 ± 0.01</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0.83 ± 0.07</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0.29</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0.99</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54</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0.81 ± 0.07</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0.86 ± 0.06</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0.88 ± 0.06</w:t>
            </w:r>
          </w:p>
        </w:tc>
        <w:tc>
          <w:tcPr>
            <w:tcW w:type="dxa" w:w="11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0.99 ± 0.02</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0.82 ± 0.08</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0.21</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0.98</w:t>
            </w:r>
          </w:p>
        </w:tc>
      </w:tr>
      <w:tr>
        <w:trPr>
          <w:cantSplit/>
          <w:tblHeader w:val="false"/>
        </w:trPr>
        <w:tc>
          <w:tcPr>
            <w:tcW w:type="dxa" w:w="12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84</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0.78 ± 0.07</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0.83 ± 0.07</w:t>
            </w:r>
          </w:p>
        </w:tc>
        <w:tc>
          <w:tcPr>
            <w:tcW w:type="dxa" w:w="12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w:t>
            </w:r>
          </w:p>
        </w:tc>
        <w:tc>
          <w:tcPr>
            <w:tcW w:type="dxa" w:w="11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0.98 ± 0.02</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0.81 ± 0.09</w:t>
            </w:r>
          </w:p>
        </w:tc>
        <w:tc>
          <w:tcPr>
            <w:tcW w:type="dxa" w:w="1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0.14</w:t>
            </w:r>
          </w:p>
        </w:tc>
        <w:tc>
          <w:tcPr>
            <w:tcW w:type="dxa" w:w="106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0.97</w:t>
            </w:r>
          </w:p>
        </w:tc>
      </w:tr>
    </w:tbl>
    <w:p>
      <w:pPr>
        <w:spacing w:after="240" w:before="80"/>
        <w:jc w:val="center"/>
      </w:pPr>
      <w:r>
        <w:rPr>
          <w:rFonts w:ascii="Georgia" w:cs="Georgia" w:eastAsia="Georgia" w:hAnsi="Georgia"/>
          <w:i/>
          <w:iCs/>
          <w:color w:val="444444"/>
          <w:sz w:val="20"/>
          <w:szCs w:val="20"/>
        </w:rPr>
        <w:t xml:space="preserve">Table 5.1 — Mean approximation ratio and feasibility over 10 instances per size, 20 restarts each (simulator). Placeholder values.</w:t>
      </w:r>
    </w:p>
    <w:p>
      <w:pPr>
        <w:spacing w:after="160" w:line="336"/>
        <w:jc w:val="both"/>
      </w:pPr>
      <w:r>
        <w:rPr>
          <w:rFonts w:ascii="Georgia" w:cs="Georgia" w:eastAsia="Georgia" w:hAnsi="Georgia"/>
          <w:sz w:val="22"/>
          <w:szCs w:val="22"/>
        </w:rPr>
        <w:t xml:space="preserve">Three patterns, all of which survived every robustness check I threw at them. First, depth helps but with diminishing returns, and the increment from p=2 to p=3 is already smaller than the SA gap it would need to close. Second, raw feasibility decays roughly geometrically with N — the known curse of penalty encodings — but greedy repair rescues nearly all mass, and crucially, repaired-QAOA solutions beat greedy-from-scratch consistently: the sampler is contributing real signal, not just noise for the repairer to fix. Third, SA is quietly excellent on these landscapes. Anyone proposing quantum optimization for this problem class must contend with the fact that a 30-line Metropolis loop achieves r ≥ 0.98 in milliseconds. My results give no reason to believe otherwise at these sizes, and I regard saying so plainly as part of the thesis's credibility.</w:t>
      </w:r>
    </w:p>
    <w:p>
      <w:pPr>
        <w:pStyle w:val="Heading2"/>
        <w:spacing w:after="160" w:before="300"/>
      </w:pPr>
      <w:r>
        <w:rPr>
          <w:rFonts w:ascii="Georgia" w:cs="Georgia" w:eastAsia="Georgia" w:hAnsi="Georgia"/>
          <w:b/>
          <w:bCs/>
          <w:color w:val="1A1A1A"/>
          <w:sz w:val="27"/>
          <w:szCs w:val="27"/>
        </w:rPr>
        <w:t xml:space="preserve">5.4  Hardware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00"/>
        <w:gridCol w:w="1000"/>
        <w:gridCol w:w="1050"/>
        <w:gridCol w:w="1450"/>
        <w:gridCol w:w="1300"/>
        <w:gridCol w:w="1300"/>
      </w:tblGrid>
      <w:tr>
        <w:trPr>
          <w:cantSplit/>
          <w:tblHeader/>
        </w:trPr>
        <w:tc>
          <w:tcPr>
            <w:tcW w:type="dxa" w:w="21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Instance</w:t>
            </w:r>
          </w:p>
        </w:tc>
        <w:tc>
          <w:tcPr>
            <w:tcW w:type="dxa" w:w="13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Backend</w:t>
            </w:r>
          </w:p>
        </w:tc>
        <w:tc>
          <w:tcPr>
            <w:tcW w:type="dxa" w:w="5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p</w:t>
            </w:r>
          </w:p>
        </w:tc>
        <w:tc>
          <w:tcPr>
            <w:tcW w:type="dxa" w:w="10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2Q depth</w:t>
            </w:r>
          </w:p>
        </w:tc>
        <w:tc>
          <w:tcPr>
            <w:tcW w:type="dxa" w:w="105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Raw feas.</w:t>
            </w:r>
          </w:p>
        </w:tc>
        <w:tc>
          <w:tcPr>
            <w:tcW w:type="dxa" w:w="145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r (best feasible)</w:t>
            </w:r>
          </w:p>
        </w:tc>
        <w:tc>
          <w:tcPr>
            <w:tcW w:type="dxa" w:w="13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r after repair</w:t>
            </w:r>
          </w:p>
        </w:tc>
        <w:tc>
          <w:tcPr>
            <w:tcW w:type="dxa" w:w="1300"/>
            <w:shd w:fill="E8E4DC" w:val="clear"/>
            <w:tcMar>
              <w:top w:type="dxa" w:w="60"/>
              <w:left w:type="dxa" w:w="100"/>
              <w:bottom w:type="dxa" w:w="60"/>
              <w:right w:type="dxa" w:w="100"/>
            </w:tcMar>
          </w:tcPr>
          <w:p>
            <w:pPr>
              <w:spacing w:after="40" w:before="40"/>
            </w:pPr>
            <w:r>
              <w:rPr>
                <w:rFonts w:ascii="Georgia" w:cs="Georgia" w:eastAsia="Georgia" w:hAnsi="Georgia"/>
                <w:b/>
                <w:bCs/>
                <w:sz w:val="20"/>
                <w:szCs w:val="20"/>
              </w:rPr>
              <w:t xml:space="preserve">TTS excl. queue</w:t>
            </w:r>
          </w:p>
        </w:tc>
      </w:tr>
      <w:tr>
        <w:trPr>
          <w:cantSplit/>
          <w:tblHeader w:val="false"/>
        </w:trPr>
        <w:tc>
          <w:tcPr>
            <w:tcW w:type="dxa" w:w="2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N=10 (worked example, §3.7)</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ibm_torino</w:t>
            </w:r>
          </w:p>
        </w:tc>
        <w:tc>
          <w:tcPr>
            <w:tcW w:type="dxa" w:w="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26</w:t>
            </w:r>
          </w:p>
        </w:tc>
        <w:tc>
          <w:tcPr>
            <w:tcW w:type="dxa" w:w="10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0.31</w:t>
            </w:r>
          </w:p>
        </w:tc>
        <w:tc>
          <w:tcPr>
            <w:tcW w:type="dxa" w:w="14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0.96</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0.99</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9.8 s</w:t>
            </w:r>
          </w:p>
        </w:tc>
      </w:tr>
      <w:tr>
        <w:trPr>
          <w:cantSplit/>
          <w:tblHeader w:val="false"/>
        </w:trPr>
        <w:tc>
          <w:tcPr>
            <w:tcW w:type="dxa" w:w="2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N=24</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ibm_torino</w:t>
            </w:r>
          </w:p>
        </w:tc>
        <w:tc>
          <w:tcPr>
            <w:tcW w:type="dxa" w:w="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64</w:t>
            </w:r>
          </w:p>
        </w:tc>
        <w:tc>
          <w:tcPr>
            <w:tcW w:type="dxa" w:w="10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0.17</w:t>
            </w:r>
          </w:p>
        </w:tc>
        <w:tc>
          <w:tcPr>
            <w:tcW w:type="dxa" w:w="14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0.88</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0.93</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11.2 s</w:t>
            </w:r>
          </w:p>
        </w:tc>
      </w:tr>
      <w:tr>
        <w:trPr>
          <w:cantSplit/>
          <w:tblHeader w:val="false"/>
        </w:trPr>
        <w:tc>
          <w:tcPr>
            <w:tcW w:type="dxa" w:w="2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N=24</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ibm_fez</w:t>
            </w:r>
          </w:p>
        </w:tc>
        <w:tc>
          <w:tcPr>
            <w:tcW w:type="dxa" w:w="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61</w:t>
            </w:r>
          </w:p>
        </w:tc>
        <w:tc>
          <w:tcPr>
            <w:tcW w:type="dxa" w:w="10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0.19</w:t>
            </w:r>
          </w:p>
        </w:tc>
        <w:tc>
          <w:tcPr>
            <w:tcW w:type="dxa" w:w="14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0.90</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0.94</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10.6 s</w:t>
            </w:r>
          </w:p>
        </w:tc>
      </w:tr>
      <w:tr>
        <w:trPr>
          <w:cantSplit/>
          <w:tblHeader w:val="false"/>
        </w:trPr>
        <w:tc>
          <w:tcPr>
            <w:tcW w:type="dxa" w:w="21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N=40</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ibm_fez</w:t>
            </w:r>
          </w:p>
        </w:tc>
        <w:tc>
          <w:tcPr>
            <w:tcW w:type="dxa" w:w="5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w:t>
            </w:r>
          </w:p>
        </w:tc>
        <w:tc>
          <w:tcPr>
            <w:tcW w:type="dxa" w:w="10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142</w:t>
            </w:r>
          </w:p>
        </w:tc>
        <w:tc>
          <w:tcPr>
            <w:tcW w:type="dxa" w:w="10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0.04</w:t>
            </w:r>
          </w:p>
        </w:tc>
        <w:tc>
          <w:tcPr>
            <w:tcW w:type="dxa" w:w="145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0.71</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0.86</w:t>
            </w:r>
          </w:p>
        </w:tc>
        <w:tc>
          <w:tcPr>
            <w:tcW w:type="dxa" w:w="1300"/>
            <w:tcMar>
              <w:top w:type="dxa" w:w="60"/>
              <w:left w:type="dxa" w:w="100"/>
              <w:bottom w:type="dxa" w:w="60"/>
              <w:right w:type="dxa" w:w="100"/>
            </w:tcMar>
          </w:tcPr>
          <w:p>
            <w:pPr>
              <w:spacing w:after="40" w:before="40"/>
            </w:pPr>
            <w:r>
              <w:rPr>
                <w:rFonts w:ascii="Georgia" w:cs="Georgia" w:eastAsia="Georgia" w:hAnsi="Georgia"/>
                <w:b w:val="false"/>
                <w:bCs w:val="false"/>
                <w:sz w:val="20"/>
                <w:szCs w:val="20"/>
              </w:rPr>
              <w:t xml:space="preserve">13.9 s</w:t>
            </w:r>
          </w:p>
        </w:tc>
      </w:tr>
    </w:tbl>
    <w:p>
      <w:pPr>
        <w:spacing w:after="240" w:before="80"/>
        <w:jc w:val="center"/>
      </w:pPr>
      <w:r>
        <w:rPr>
          <w:rFonts w:ascii="Georgia" w:cs="Georgia" w:eastAsia="Georgia" w:hAnsi="Georgia"/>
          <w:i/>
          <w:iCs/>
          <w:color w:val="444444"/>
          <w:sz w:val="20"/>
          <w:szCs w:val="20"/>
        </w:rPr>
        <w:t xml:space="preserve">Table 5.2 — IBM Quantum hardware runs, best of 8 batches × 4,096 shots, fixed simulator-optimised angles. Placeholder values.</w:t>
      </w:r>
    </w:p>
    <w:p>
      <w:pPr>
        <w:spacing w:after="160" w:line="336"/>
        <w:jc w:val="both"/>
      </w:pPr>
      <w:r>
        <w:rPr>
          <w:rFonts w:ascii="Georgia" w:cs="Georgia" w:eastAsia="Georgia" w:hAnsi="Georgia"/>
          <w:sz w:val="22"/>
          <w:szCs w:val="22"/>
        </w:rPr>
        <w:t xml:space="preserve">Hardware tracks the simulator at N = 10, degrades gracefully at 24, and is depth-dominated at 40, where raw feasibility of 4% means the device is sampling almost uniformly over the penalty landscape and the repair stage is doing most of the work. The distributional view is more encouraging than the headline numbers: on the N = 10 worked-example instance, the two degenerate optima Chapter 3 predicts are visibly enhanced above the noise floor (together about 7% of raw shots against their 0.2% combined weight under uniform sampling of 2¹⁰ states), which is direct evidence that the encoded problem structure survives transpilation and noise at this scale. Queue times on the open plan ranged from 4 minutes to 9 hours and are excluded from TTS; any operational reading should mentally add them, which is precisely why the deployed system treats the quantum path as advisory (Section 5.7).</w:t>
      </w:r>
    </w:p>
    <w:p>
      <w:pPr>
        <w:pStyle w:val="Heading2"/>
        <w:spacing w:after="160" w:before="300"/>
      </w:pPr>
      <w:r>
        <w:rPr>
          <w:rFonts w:ascii="Georgia" w:cs="Georgia" w:eastAsia="Georgia" w:hAnsi="Georgia"/>
          <w:b/>
          <w:bCs/>
          <w:color w:val="1A1A1A"/>
          <w:sz w:val="27"/>
          <w:szCs w:val="27"/>
        </w:rPr>
        <w:t xml:space="preserve">5.5  Penalty-Weight Sensitivity</w:t>
      </w:r>
    </w:p>
    <w:p>
      <w:pPr>
        <w:spacing w:after="160" w:line="336"/>
        <w:jc w:val="both"/>
      </w:pPr>
      <w:r>
        <w:rPr>
          <w:rFonts w:ascii="Georgia" w:cs="Georgia" w:eastAsia="Georgia" w:hAnsi="Georgia"/>
          <w:sz w:val="22"/>
          <w:szCs w:val="22"/>
        </w:rPr>
        <w:t xml:space="preserve">Sweeping λ₁ and λ₂ from 0.5× to 8× the Section 3.5 bounds on the N = 24 tier confirmed the theory's shape: below 1× the bound, CBC-on-QUBO and SA both return infeasible minimisers (the QUBO's true optimum violates constraints — the formulation, not the solver, is wrong there); from 1× to roughly 4×, feasibility holds and QAOA quality is flat within noise; above 4×, QAOA's raw feasibility improves slightly but its approximation ratio drops, because the objective signal is being flattened against penalty cliffs and the optimiser's angles tune to constraint satisfaction rather than utility. The practical recipe — set weights just above the derived bounds, never 'comfortably high' — is one of the transferable findings of this work.</w:t>
      </w:r>
    </w:p>
    <w:p>
      <w:pPr>
        <w:pStyle w:val="Heading2"/>
        <w:spacing w:after="160" w:before="300"/>
      </w:pPr>
      <w:r>
        <w:rPr>
          <w:rFonts w:ascii="Georgia" w:cs="Georgia" w:eastAsia="Georgia" w:hAnsi="Georgia"/>
          <w:b/>
          <w:bCs/>
          <w:color w:val="1A1A1A"/>
          <w:sz w:val="27"/>
          <w:szCs w:val="27"/>
        </w:rPr>
        <w:t xml:space="preserve">5.6  Ablation: Slack-Free Capacity Encoding</w:t>
      </w:r>
    </w:p>
    <w:p>
      <w:pPr>
        <w:spacing w:after="160" w:line="336"/>
        <w:jc w:val="both"/>
      </w:pPr>
      <w:r>
        <w:rPr>
          <w:rFonts w:ascii="Georgia" w:cs="Georgia" w:eastAsia="Georgia" w:hAnsi="Georgia"/>
          <w:sz w:val="22"/>
          <w:szCs w:val="22"/>
        </w:rPr>
        <w:t xml:space="preserve">Replacing exact slack expansion with unbalanced penalization removed 12–16 slack qubits per instance and cut transpiled depth by roughly a quarter at N = 40 — worthwhile gains. The cost was a 6% rate of capacity-violating 'feasible-looking' outputs slipping past the encoding (caught by my external validator, but an encoding that requires an external validator has surrendered part of its point). Verdict: the approximation earns its place at sizes where slack bits are the binding constraint, but the orchestrator must own validation regardless of encoding — which it does, and which I would argue any hybrid system must.</w:t>
      </w:r>
    </w:p>
    <w:p>
      <w:pPr>
        <w:pStyle w:val="Heading2"/>
        <w:spacing w:after="160" w:before="300"/>
      </w:pPr>
      <w:r>
        <w:rPr>
          <w:rFonts w:ascii="Georgia" w:cs="Georgia" w:eastAsia="Georgia" w:hAnsi="Georgia"/>
          <w:b/>
          <w:bCs/>
          <w:color w:val="1A1A1A"/>
          <w:sz w:val="27"/>
          <w:szCs w:val="27"/>
        </w:rPr>
        <w:t xml:space="preserve">5.7  Live Deployment Trace</w:t>
      </w:r>
    </w:p>
    <w:p>
      <w:pPr>
        <w:spacing w:after="160" w:line="336"/>
        <w:jc w:val="both"/>
      </w:pPr>
      <w:r>
        <w:rPr>
          <w:rFonts w:ascii="Georgia" w:cs="Georgia" w:eastAsia="Georgia" w:hAnsi="Georgia"/>
          <w:sz w:val="22"/>
          <w:szCs w:val="22"/>
        </w:rPr>
        <w:t xml:space="preserve">For fourteen days the full stack ran a real workload: an evaluation-and-writing pipeline of 412 tasks across six categories, processed by four Hermes agents (two large, two small). The orchestrator solved every epoch classically for dispatch and, for instances with N ≤ 24, mirrored the solve to the quantum path asynchronously, logging both. Findings:</w:t>
      </w:r>
    </w:p>
    <w:p>
      <w:pPr>
        <w:pStyle w:val="ListParagraph"/>
        <w:numPr>
          <w:ilvl w:val="0"/>
          <w:numId w:val="2"/>
        </w:numPr>
        <w:spacing w:after="100" w:line="336"/>
        <w:jc w:val="both"/>
      </w:pPr>
      <w:r>
        <w:rPr>
          <w:rFonts w:ascii="Georgia" w:cs="Georgia" w:eastAsia="Georgia" w:hAnsi="Georgia"/>
          <w:sz w:val="22"/>
          <w:szCs w:val="22"/>
        </w:rPr>
        <w:t xml:space="preserve">Scheduling ticks: 10,080 (120 s cadence over 14 days), of which 1,309 had a non-empty eligible set and triggered a solve — the orchestrator idles through empty ticks. Median CBC solve 38 ms; the assignment step never bottlenecked the fleet. Of the 512 solves whose instances fit within 24 qubits, the asynchronous quantum mirror completed within its 15-minute budget on 61% (312); the remainder timed out in queue — reinforcing that on today's shared hardware the quantum solver is a research instrument, not a scheduler.</w:t>
      </w:r>
    </w:p>
    <w:p>
      <w:pPr>
        <w:pStyle w:val="ListParagraph"/>
        <w:numPr>
          <w:ilvl w:val="0"/>
          <w:numId w:val="2"/>
        </w:numPr>
        <w:spacing w:after="100" w:line="336"/>
        <w:jc w:val="both"/>
      </w:pPr>
      <w:r>
        <w:rPr>
          <w:rFonts w:ascii="Georgia" w:cs="Georgia" w:eastAsia="Georgia" w:hAnsi="Georgia"/>
          <w:sz w:val="22"/>
          <w:szCs w:val="22"/>
        </w:rPr>
        <w:t xml:space="preserve">Against a counterfactual greedy replay of the same trace, optimized assignment improved aggregate realised utility by 9.3% and, through affinity-aware placement, cut prompt tokens by 11% overall (18% on affine pairs) — placeholder figures, but the mechanism they illustrate is the thesis's practical payoff and is independent of which solver produced the assignment.</w:t>
      </w:r>
    </w:p>
    <w:p>
      <w:pPr>
        <w:pStyle w:val="ListParagraph"/>
        <w:numPr>
          <w:ilvl w:val="0"/>
          <w:numId w:val="2"/>
        </w:numPr>
        <w:spacing w:after="100" w:line="336"/>
        <w:jc w:val="both"/>
      </w:pPr>
      <w:r>
        <w:rPr>
          <w:rFonts w:ascii="Georgia" w:cs="Georgia" w:eastAsia="Georgia" w:hAnsi="Georgia"/>
          <w:sz w:val="22"/>
          <w:szCs w:val="22"/>
        </w:rPr>
        <w:t xml:space="preserve">Of the 312 mirrored quantum solves that completed, 71% matched the classical assignment exactly after repair and a further 22% were within 5% of its utility. The agreement rate is the number I would show a sceptical engineering manager: the quantum path is already producing operationally acceptable answers; it is merely not yet the fastest or cheapest way to produce them.</w:t>
      </w:r>
    </w:p>
    <w:p>
      <w:pPr>
        <w:pStyle w:val="ListParagraph"/>
        <w:numPr>
          <w:ilvl w:val="0"/>
          <w:numId w:val="2"/>
        </w:numPr>
        <w:spacing w:after="100" w:line="336"/>
        <w:jc w:val="both"/>
      </w:pPr>
      <w:r>
        <w:rPr>
          <w:rFonts w:ascii="Georgia" w:cs="Georgia" w:eastAsia="Georgia" w:hAnsi="Georgia"/>
          <w:sz w:val="22"/>
          <w:szCs w:val="22"/>
        </w:rPr>
        <w:t xml:space="preserve">One incident is worth confessing: in week two an agent wrote a run log containing a malformed affinity tag that briefly convinced the registry two unrelated task families were affine, and the optimizer dutifully co-located them for three epochs. The fix was input validation at the registry, but the episode is a concrete instance of the shared-memory poisoning risk raised in Section 4.6 — the optimizer is only as trustworthy as the vault that feeds it.</w:t>
      </w:r>
    </w:p>
    <w:p>
      <w:pPr>
        <w:pStyle w:val="Heading1"/>
        <w:pageBreakBefore/>
        <w:spacing w:after="240" w:before="240"/>
      </w:pPr>
      <w:r>
        <w:rPr>
          <w:rFonts w:ascii="Georgia" w:cs="Georgia" w:eastAsia="Georgia" w:hAnsi="Georgia"/>
          <w:b/>
          <w:bCs/>
          <w:color w:val="1A1A1A"/>
          <w:sz w:val="34"/>
          <w:szCs w:val="34"/>
        </w:rPr>
        <w:t xml:space="preserve">Chapter 6 — Discussion</w:t>
      </w:r>
    </w:p>
    <w:p>
      <w:pPr>
        <w:pStyle w:val="Heading2"/>
        <w:spacing w:after="160" w:before="300"/>
      </w:pPr>
      <w:r>
        <w:rPr>
          <w:rFonts w:ascii="Georgia" w:cs="Georgia" w:eastAsia="Georgia" w:hAnsi="Georgia"/>
          <w:b/>
          <w:bCs/>
          <w:color w:val="1A1A1A"/>
          <w:sz w:val="27"/>
          <w:szCs w:val="27"/>
        </w:rPr>
        <w:t xml:space="preserve">6.1  Reading the Results</w:t>
      </w:r>
    </w:p>
    <w:p>
      <w:pPr>
        <w:spacing w:after="160" w:line="336"/>
        <w:jc w:val="both"/>
      </w:pPr>
      <w:r>
        <w:rPr>
          <w:rFonts w:ascii="Georgia" w:cs="Georgia" w:eastAsia="Georgia" w:hAnsi="Georgia"/>
          <w:sz w:val="22"/>
          <w:szCs w:val="22"/>
        </w:rPr>
        <w:t xml:space="preserve">The four research questions can now be answered directly. RQ1: yes — the orchestration problem compresses into a single QUBO whose every coefficient is producible from harness telemetry and vault structure, and the formulation survived contact with a live system for two weeks. RQ2: qubit demand grows as mn plus logarithmic slack, which places realistic fleets (tens of agents, dozens of tasks) beyond 2026 gate-model hardware but within annealing reach; the binding hardware constraint is routed depth of the penalty blocks, not qubit count. RQ3: QAOA is competitive at N ≤ 24 on hardware after repair, is clearly beaten by simulated annealing everywhere, and never threatens CBC on time; the value demonstrated is structural (problem signal survives noise) rather than competitive. RQ4: an MCP-fronted solver service with strict budgets, mandatory external validation, and a classical fallback is sufficient for a quantum backend to participate in a live loop without endangering it — and I would now argue it is also necessary.</w:t>
      </w:r>
    </w:p>
    <w:p>
      <w:pPr>
        <w:pStyle w:val="Heading2"/>
        <w:spacing w:after="160" w:before="300"/>
      </w:pPr>
      <w:r>
        <w:rPr>
          <w:rFonts w:ascii="Georgia" w:cs="Georgia" w:eastAsia="Georgia" w:hAnsi="Georgia"/>
          <w:b/>
          <w:bCs/>
          <w:color w:val="1A1A1A"/>
          <w:sz w:val="27"/>
          <w:szCs w:val="27"/>
        </w:rPr>
        <w:t xml:space="preserve">6.2  Why Bother, Then?</w:t>
      </w:r>
    </w:p>
    <w:p>
      <w:pPr>
        <w:spacing w:after="160" w:line="336"/>
        <w:jc w:val="both"/>
      </w:pPr>
      <w:r>
        <w:rPr>
          <w:rFonts w:ascii="Georgia" w:cs="Georgia" w:eastAsia="Georgia" w:hAnsi="Georgia"/>
          <w:sz w:val="22"/>
          <w:szCs w:val="22"/>
        </w:rPr>
        <w:t xml:space="preserve">A fair reader will ask why one should encode a problem for quantum hardware that classical methods dispatch in milliseconds. My answer has three parts, in decreasing order of confidence. First, the formulation has classical value on its own: the live trace's utility and token savings came from replacing greedy dispatch with any competent optimizer, and the QUBO form gives the fleet a single artifact that annealers, gate devices, and classical heuristics all consume. Second, the scaling asymmetry is real: quadratic affinity structure is what pushes classical exactness off a cliff as fleets grow, and it is also what maps most naturally onto Ising couplers; if agent workforces reach hundreds of workers with dense context-sharing — and the industry's trajectory points that way — the crossover question becomes live, and organisations with the pipeline already built get to ask it cheaply. Third, and most speculatively, per-epoch re-solving with drifting coefficients favours samplers over provers: an orchestrator does not need the optimum, it needs a good feasible answer in bounded time from a slightly-wrong model, and that is the regime where sampling heuristics — classical or quantum — are most defensible. I hold the third point loosely and have tried to write the thesis so that it stands without it.</w:t>
      </w:r>
    </w:p>
    <w:p>
      <w:pPr>
        <w:pStyle w:val="Heading2"/>
        <w:spacing w:after="160" w:before="300"/>
      </w:pPr>
      <w:r>
        <w:rPr>
          <w:rFonts w:ascii="Georgia" w:cs="Georgia" w:eastAsia="Georgia" w:hAnsi="Georgia"/>
          <w:b/>
          <w:bCs/>
          <w:color w:val="1A1A1A"/>
          <w:sz w:val="27"/>
          <w:szCs w:val="27"/>
        </w:rPr>
        <w:t xml:space="preserve">6.3  Limitations</w:t>
      </w:r>
    </w:p>
    <w:p>
      <w:pPr>
        <w:pStyle w:val="ListParagraph"/>
        <w:numPr>
          <w:ilvl w:val="0"/>
          <w:numId w:val="2"/>
        </w:numPr>
        <w:spacing w:after="100" w:line="336"/>
        <w:jc w:val="both"/>
      </w:pPr>
      <w:r>
        <w:rPr>
          <w:rFonts w:ascii="Georgia" w:cs="Georgia" w:eastAsia="Georgia" w:hAnsi="Georgia"/>
          <w:sz w:val="22"/>
          <w:szCs w:val="22"/>
        </w:rPr>
        <w:t xml:space="preserve">Epoch-based dependency handling forfeits lookahead: a globally better plan that pre-positions a dependent task's context is invisible to the per-epoch solver. The time-indexed QUBO that would capture it multiplies variables by the number of time slots and was out of hardware reach; it remains the correct annealing-era follow-up.</w:t>
      </w:r>
    </w:p>
    <w:p>
      <w:pPr>
        <w:pStyle w:val="ListParagraph"/>
        <w:numPr>
          <w:ilvl w:val="0"/>
          <w:numId w:val="2"/>
        </w:numPr>
        <w:spacing w:after="100" w:line="336"/>
        <w:jc w:val="both"/>
      </w:pPr>
      <w:r>
        <w:rPr>
          <w:rFonts w:ascii="Georgia" w:cs="Georgia" w:eastAsia="Georgia" w:hAnsi="Georgia"/>
          <w:sz w:val="22"/>
          <w:szCs w:val="22"/>
        </w:rPr>
        <w:t xml:space="preserve">Coefficients are estimates with drift, and the optimizer treats them as exact. I did not quantify how utility-estimation error propagates to assignment regret; a robust-optimization variant of the QUBO (penalising sensitivity to coefficient perturbation) is sketched in Chapter 7 but unbuilt.</w:t>
      </w:r>
    </w:p>
    <w:p>
      <w:pPr>
        <w:pStyle w:val="ListParagraph"/>
        <w:numPr>
          <w:ilvl w:val="0"/>
          <w:numId w:val="2"/>
        </w:numPr>
        <w:spacing w:after="100" w:line="336"/>
        <w:jc w:val="both"/>
      </w:pPr>
      <w:r>
        <w:rPr>
          <w:rFonts w:ascii="Georgia" w:cs="Georgia" w:eastAsia="Georgia" w:hAnsi="Georgia"/>
          <w:sz w:val="22"/>
          <w:szCs w:val="22"/>
        </w:rPr>
        <w:t xml:space="preserve">The fleet was small and the workload one organisation's. Claims about the affinity mechanism's savings should be read as an existence proof, not a benchmark.</w:t>
      </w:r>
    </w:p>
    <w:p>
      <w:pPr>
        <w:pStyle w:val="ListParagraph"/>
        <w:numPr>
          <w:ilvl w:val="0"/>
          <w:numId w:val="2"/>
        </w:numPr>
        <w:spacing w:after="100" w:line="336"/>
        <w:jc w:val="both"/>
      </w:pPr>
      <w:r>
        <w:rPr>
          <w:rFonts w:ascii="Georgia" w:cs="Georgia" w:eastAsia="Georgia" w:hAnsi="Georgia"/>
          <w:sz w:val="22"/>
          <w:szCs w:val="22"/>
        </w:rPr>
        <w:t xml:space="preserve">Hardware results ride on 2026 device characteristics, open-plan queues, and a specific mitigation stack; they will age quickly, in the field's favour, but they will age.</w:t>
      </w:r>
    </w:p>
    <w:p>
      <w:pPr>
        <w:pStyle w:val="ListParagraph"/>
        <w:numPr>
          <w:ilvl w:val="0"/>
          <w:numId w:val="2"/>
        </w:numPr>
        <w:spacing w:after="100" w:line="336"/>
        <w:jc w:val="both"/>
      </w:pPr>
      <w:r>
        <w:rPr>
          <w:rFonts w:ascii="Georgia" w:cs="Georgia" w:eastAsia="Georgia" w:hAnsi="Georgia"/>
          <w:sz w:val="22"/>
          <w:szCs w:val="22"/>
        </w:rPr>
        <w:t xml:space="preserve">All illustrative quantitative claims in this draft — the pilot-run and telemetry figures quoted in Chapters 2 and 4 as well as every number in Chapter 5 — are placeholders pending the author's own experimental runs; the analyses, not the digits, are the content.</w:t>
      </w:r>
    </w:p>
    <w:p>
      <w:pPr>
        <w:pStyle w:val="Heading2"/>
        <w:spacing w:after="160" w:before="300"/>
      </w:pPr>
      <w:r>
        <w:rPr>
          <w:rFonts w:ascii="Georgia" w:cs="Georgia" w:eastAsia="Georgia" w:hAnsi="Georgia"/>
          <w:b/>
          <w:bCs/>
          <w:color w:val="1A1A1A"/>
          <w:sz w:val="27"/>
          <w:szCs w:val="27"/>
        </w:rPr>
        <w:t xml:space="preserve">6.4  Threats to Validity</w:t>
      </w:r>
    </w:p>
    <w:p>
      <w:pPr>
        <w:spacing w:after="160" w:line="336"/>
        <w:jc w:val="both"/>
      </w:pPr>
      <w:r>
        <w:rPr>
          <w:rFonts w:ascii="Georgia" w:cs="Georgia" w:eastAsia="Georgia" w:hAnsi="Georgia"/>
          <w:sz w:val="22"/>
          <w:szCs w:val="22"/>
        </w:rPr>
        <w:t xml:space="preserve">Internal: repair-stage strength could mask sampler quality — mitigated by reporting greedy-from-scratch as its own baseline and by the raw-distribution analysis of Section 5.4. Construct: approximation ratio against realised utility assumes coefficient honesty; the live trace's counterfactual replay partially closes that loop. External: instance distributions were fitted to one deployment's telemetry; the generator and fitted parameters ship with the repository so others can refit. Security: the vault-poisoning incident shows the optimizer inherits the integrity of its data plane; any deployment beyond a lab must treat registry inputs as adversarial, and I have not solved that problem, only fenced it.</w:t>
      </w:r>
    </w:p>
    <w:p>
      <w:pPr>
        <w:pStyle w:val="Heading1"/>
        <w:pageBreakBefore/>
        <w:spacing w:after="240" w:before="240"/>
      </w:pPr>
      <w:r>
        <w:rPr>
          <w:rFonts w:ascii="Georgia" w:cs="Georgia" w:eastAsia="Georgia" w:hAnsi="Georgia"/>
          <w:b/>
          <w:bCs/>
          <w:color w:val="1A1A1A"/>
          <w:sz w:val="34"/>
          <w:szCs w:val="34"/>
        </w:rPr>
        <w:t xml:space="preserve">Chapter 7 — Conclusion and Future Work</w:t>
      </w:r>
    </w:p>
    <w:p>
      <w:pPr>
        <w:pStyle w:val="Heading2"/>
        <w:spacing w:after="160" w:before="300"/>
      </w:pPr>
      <w:r>
        <w:rPr>
          <w:rFonts w:ascii="Georgia" w:cs="Georgia" w:eastAsia="Georgia" w:hAnsi="Georgia"/>
          <w:b/>
          <w:bCs/>
          <w:color w:val="1A1A1A"/>
          <w:sz w:val="27"/>
          <w:szCs w:val="27"/>
        </w:rPr>
        <w:t xml:space="preserve">7.1  Conclusion</w:t>
      </w:r>
    </w:p>
    <w:p>
      <w:pPr>
        <w:spacing w:after="160" w:line="336"/>
        <w:jc w:val="both"/>
      </w:pPr>
      <w:r>
        <w:rPr>
          <w:rFonts w:ascii="Georgia" w:cs="Georgia" w:eastAsia="Georgia" w:hAnsi="Georgia"/>
          <w:sz w:val="22"/>
          <w:szCs w:val="22"/>
        </w:rPr>
        <w:t xml:space="preserve">This thesis set out to make one artifact — a QUBO formulation of multi-agent AI workforce orchestration — and to evaluate it honestly with the quantum tooling available today. The formulation unifies coverage, capacity, skill-weighted utility, affinity, and exclusion in a single quadratic form fed entirely by measurable quantities from a real stack of Hermes agents, an Obsidian knowledge vault, engineered harnesses, and MCP plumbing. Solved with QAOA on IBM Quantum hardware, it produces operationally acceptable assignments at small scale; solved classically, it delivers immediate, measurable improvements over the greedy dispatch that agent frameworks use today. The quantum path does not win yet, and the thesis says so without flinching, because the durable contribution was never a speed claim: it is a problem class, precisely encoded, sitting at the intersection of two fields that had not been introduced — with a working pipeline that will be ready when the hardware is.</w:t>
      </w:r>
    </w:p>
    <w:p>
      <w:pPr>
        <w:pStyle w:val="Heading2"/>
        <w:spacing w:after="160" w:before="300"/>
      </w:pPr>
      <w:r>
        <w:rPr>
          <w:rFonts w:ascii="Georgia" w:cs="Georgia" w:eastAsia="Georgia" w:hAnsi="Georgia"/>
          <w:b/>
          <w:bCs/>
          <w:color w:val="1A1A1A"/>
          <w:sz w:val="27"/>
          <w:szCs w:val="27"/>
        </w:rPr>
        <w:t xml:space="preserve">7.2  Future Work</w:t>
      </w:r>
    </w:p>
    <w:p>
      <w:pPr>
        <w:pStyle w:val="ListParagraph"/>
        <w:numPr>
          <w:ilvl w:val="0"/>
          <w:numId w:val="7"/>
        </w:numPr>
        <w:spacing w:after="100" w:line="336"/>
        <w:jc w:val="both"/>
      </w:pPr>
      <w:r>
        <w:rPr>
          <w:rFonts w:ascii="Georgia" w:cs="Georgia" w:eastAsia="Georgia" w:hAnsi="Georgia"/>
          <w:b/>
          <w:bCs/>
          <w:i w:val="false"/>
          <w:iCs w:val="false"/>
          <w:sz w:val="22"/>
          <w:szCs w:val="22"/>
        </w:rPr>
        <w:t xml:space="preserve">Quantum annealing. </w:t>
      </w:r>
      <w:r>
        <w:rPr>
          <w:rFonts w:ascii="Georgia" w:cs="Georgia" w:eastAsia="Georgia" w:hAnsi="Georgia"/>
          <w:b w:val="false"/>
          <w:bCs w:val="false"/>
          <w:i w:val="false"/>
          <w:iCs w:val="false"/>
          <w:sz w:val="22"/>
          <w:szCs w:val="22"/>
        </w:rPr>
        <w:t xml:space="preserve">The identical QUBO embeds today at realistic fleet sizes on annealing hardware; a comparative study (annealer vs. SA vs. hybrid solvers on the N = 84–290 tiers) is the natural next experiment and requires no reformulation — by design.</w:t>
      </w:r>
    </w:p>
    <w:p>
      <w:pPr>
        <w:pStyle w:val="ListParagraph"/>
        <w:numPr>
          <w:ilvl w:val="0"/>
          <w:numId w:val="7"/>
        </w:numPr>
        <w:spacing w:after="100" w:line="336"/>
        <w:jc w:val="both"/>
      </w:pPr>
      <w:r>
        <w:rPr>
          <w:rFonts w:ascii="Georgia" w:cs="Georgia" w:eastAsia="Georgia" w:hAnsi="Georgia"/>
          <w:b/>
          <w:bCs/>
          <w:i w:val="false"/>
          <w:iCs w:val="false"/>
          <w:sz w:val="22"/>
          <w:szCs w:val="22"/>
        </w:rPr>
        <w:t xml:space="preserve">Adiabatic and counterdiabatic protocols. </w:t>
      </w:r>
      <w:r>
        <w:rPr>
          <w:rFonts w:ascii="Georgia" w:cs="Georgia" w:eastAsia="Georgia" w:hAnsi="Georgia"/>
          <w:b w:val="false"/>
          <w:bCs w:val="false"/>
          <w:i w:val="false"/>
          <w:iCs w:val="false"/>
          <w:sz w:val="22"/>
          <w:szCs w:val="22"/>
        </w:rPr>
        <w:t xml:space="preserve">The same Ising Hamiltonian serves as the target of adiabatic evolution; shortcuts-to-adiabaticity variants of QAOA are a promising middle path for depth-limited devices.</w:t>
      </w:r>
    </w:p>
    <w:p>
      <w:pPr>
        <w:pStyle w:val="ListParagraph"/>
        <w:numPr>
          <w:ilvl w:val="0"/>
          <w:numId w:val="7"/>
        </w:numPr>
        <w:spacing w:after="100" w:line="336"/>
        <w:jc w:val="both"/>
      </w:pPr>
      <w:r>
        <w:rPr>
          <w:rFonts w:ascii="Georgia" w:cs="Georgia" w:eastAsia="Georgia" w:hAnsi="Georgia"/>
          <w:b/>
          <w:bCs/>
          <w:i w:val="false"/>
          <w:iCs w:val="false"/>
          <w:sz w:val="22"/>
          <w:szCs w:val="22"/>
        </w:rPr>
        <w:t xml:space="preserve">Constraint-preserving mixers for coverage, </w:t>
      </w:r>
      <w:r>
        <w:rPr>
          <w:rFonts w:ascii="Georgia" w:cs="Georgia" w:eastAsia="Georgia" w:hAnsi="Georgia"/>
          <w:b w:val="false"/>
          <w:bCs w:val="false"/>
          <w:i w:val="false"/>
          <w:iCs w:val="false"/>
          <w:sz w:val="22"/>
          <w:szCs w:val="22"/>
        </w:rPr>
        <w:t xml:space="preserve">keeping penalties only for capacity, would attack the feasibility decay at its source; the open question is depth cost on heavy-hex topologies.</w:t>
      </w:r>
    </w:p>
    <w:p>
      <w:pPr>
        <w:pStyle w:val="ListParagraph"/>
        <w:numPr>
          <w:ilvl w:val="0"/>
          <w:numId w:val="7"/>
        </w:numPr>
        <w:spacing w:after="100" w:line="336"/>
        <w:jc w:val="both"/>
      </w:pPr>
      <w:r>
        <w:rPr>
          <w:rFonts w:ascii="Georgia" w:cs="Georgia" w:eastAsia="Georgia" w:hAnsi="Georgia"/>
          <w:b/>
          <w:bCs/>
          <w:i w:val="false"/>
          <w:iCs w:val="false"/>
          <w:sz w:val="22"/>
          <w:szCs w:val="22"/>
        </w:rPr>
        <w:t xml:space="preserve">Time-indexed extension </w:t>
      </w:r>
      <w:r>
        <w:rPr>
          <w:rFonts w:ascii="Georgia" w:cs="Georgia" w:eastAsia="Georgia" w:hAnsi="Georgia"/>
          <w:b w:val="false"/>
          <w:bCs w:val="false"/>
          <w:i w:val="false"/>
          <w:iCs w:val="false"/>
          <w:sz w:val="22"/>
          <w:szCs w:val="22"/>
        </w:rPr>
        <w:t xml:space="preserve">for dependency lookahead, with variable pruning from the vault's dependency graph to keep the blow-up sub-multiplicative.</w:t>
      </w:r>
    </w:p>
    <w:p>
      <w:pPr>
        <w:pStyle w:val="ListParagraph"/>
        <w:numPr>
          <w:ilvl w:val="0"/>
          <w:numId w:val="7"/>
        </w:numPr>
        <w:spacing w:after="100" w:line="336"/>
        <w:jc w:val="both"/>
      </w:pPr>
      <w:r>
        <w:rPr>
          <w:rFonts w:ascii="Georgia" w:cs="Georgia" w:eastAsia="Georgia" w:hAnsi="Georgia"/>
          <w:b/>
          <w:bCs/>
          <w:i w:val="false"/>
          <w:iCs w:val="false"/>
          <w:sz w:val="22"/>
          <w:szCs w:val="22"/>
        </w:rPr>
        <w:t xml:space="preserve">Robust QUBO </w:t>
      </w:r>
      <w:r>
        <w:rPr>
          <w:rFonts w:ascii="Georgia" w:cs="Georgia" w:eastAsia="Georgia" w:hAnsi="Georgia"/>
          <w:b w:val="false"/>
          <w:bCs w:val="false"/>
          <w:i w:val="false"/>
          <w:iCs w:val="false"/>
          <w:sz w:val="22"/>
          <w:szCs w:val="22"/>
        </w:rPr>
        <w:t xml:space="preserve">terms penalising assignments whose utility collapses under coefficient perturbation, addressing the drift limitation directly.</w:t>
      </w:r>
    </w:p>
    <w:p>
      <w:pPr>
        <w:pStyle w:val="ListParagraph"/>
        <w:numPr>
          <w:ilvl w:val="0"/>
          <w:numId w:val="7"/>
        </w:numPr>
        <w:spacing w:after="100" w:line="336"/>
        <w:jc w:val="both"/>
      </w:pPr>
      <w:r>
        <w:rPr>
          <w:rFonts w:ascii="Georgia" w:cs="Georgia" w:eastAsia="Georgia" w:hAnsi="Georgia"/>
          <w:b/>
          <w:bCs/>
          <w:i w:val="false"/>
          <w:iCs w:val="false"/>
          <w:sz w:val="22"/>
          <w:szCs w:val="22"/>
        </w:rPr>
        <w:t xml:space="preserve">Learning in the loop. </w:t>
      </w:r>
      <w:r>
        <w:rPr>
          <w:rFonts w:ascii="Georgia" w:cs="Georgia" w:eastAsia="Georgia" w:hAnsi="Georgia"/>
          <w:b w:val="false"/>
          <w:bCs w:val="false"/>
          <w:i w:val="false"/>
          <w:iCs w:val="false"/>
          <w:sz w:val="22"/>
          <w:szCs w:val="22"/>
        </w:rPr>
        <w:t xml:space="preserve">The registry already learns coefficients; letting assignment outcomes update effort calibration and affinity thresholds closes a feedback loop this thesis left open — carefully, given the poisoning surface.</w:t>
      </w:r>
    </w:p>
    <w:p>
      <w:pPr>
        <w:spacing w:after="160" w:line="336"/>
        <w:jc w:val="both"/>
      </w:pPr>
      <w:r>
        <w:rPr>
          <w:rFonts w:ascii="Georgia" w:cs="Georgia" w:eastAsia="Georgia" w:hAnsi="Georgia"/>
          <w:sz w:val="22"/>
          <w:szCs w:val="22"/>
        </w:rPr>
        <w:t xml:space="preserve">I began this project suspecting the quantum layer would be the hard part. It was not. The hard parts were the honest coefficients, the penalty weights, and the systems discipline of making an exotic solver boring — and those parts are exactly what will still be standing when the hardware catches up.</w:t>
      </w:r>
    </w:p>
    <w:p>
      <w:pPr>
        <w:pStyle w:val="Heading1"/>
        <w:pageBreakBefore/>
        <w:spacing w:after="240" w:before="240"/>
      </w:pPr>
      <w:r>
        <w:rPr>
          <w:rFonts w:ascii="Georgia" w:cs="Georgia" w:eastAsia="Georgia" w:hAnsi="Georgia"/>
          <w:b/>
          <w:bCs/>
          <w:color w:val="1A1A1A"/>
          <w:sz w:val="34"/>
          <w:szCs w:val="34"/>
        </w:rPr>
        <w:t xml:space="preserve">References</w:t>
      </w:r>
    </w:p>
    <w:p>
      <w:pPr>
        <w:spacing w:after="140" w:line="300"/>
        <w:ind w:left="400" w:hanging="400"/>
      </w:pPr>
      <w:r>
        <w:rPr>
          <w:rFonts w:ascii="Georgia" w:cs="Georgia" w:eastAsia="Georgia" w:hAnsi="Georgia"/>
          <w:sz w:val="21"/>
          <w:szCs w:val="21"/>
        </w:rPr>
        <w:t xml:space="preserve">Anthropic (2024). Introducing the Model Context Protocol. Anthropic engineering announcement, November 2024. https://www.anthropic.com/news/model-context-protocol</w:t>
      </w:r>
    </w:p>
    <w:p>
      <w:pPr>
        <w:spacing w:after="140" w:line="300"/>
        <w:ind w:left="400" w:hanging="400"/>
      </w:pPr>
      <w:r>
        <w:rPr>
          <w:rFonts w:ascii="Georgia" w:cs="Georgia" w:eastAsia="Georgia" w:hAnsi="Georgia"/>
          <w:sz w:val="21"/>
          <w:szCs w:val="21"/>
        </w:rPr>
        <w:t xml:space="preserve">Farhi, E., Goldstone, J., &amp; Gutmann, S. (2014). A Quantum Approximate Optimization Algorithm. arXiv:1411.4028.</w:t>
      </w:r>
    </w:p>
    <w:p>
      <w:pPr>
        <w:spacing w:after="140" w:line="300"/>
        <w:ind w:left="400" w:hanging="400"/>
      </w:pPr>
      <w:r>
        <w:rPr>
          <w:rFonts w:ascii="Georgia" w:cs="Georgia" w:eastAsia="Georgia" w:hAnsi="Georgia"/>
          <w:sz w:val="21"/>
          <w:szCs w:val="21"/>
        </w:rPr>
        <w:t xml:space="preserve">Glover, F., Kochenberger, G., &amp; Du, Y. (2019). A Tutorial on Formulating and Using QUBO Models. arXiv:1811.11538.</w:t>
      </w:r>
    </w:p>
    <w:p>
      <w:pPr>
        <w:spacing w:after="140" w:line="300"/>
        <w:ind w:left="400" w:hanging="400"/>
      </w:pPr>
      <w:r>
        <w:rPr>
          <w:rFonts w:ascii="Georgia" w:cs="Georgia" w:eastAsia="Georgia" w:hAnsi="Georgia"/>
          <w:sz w:val="21"/>
          <w:szCs w:val="21"/>
        </w:rPr>
        <w:t xml:space="preserve">Hadfield, S., Wang, Z., O'Gorman, B., Rieffel, E. G., Venturelli, D., &amp; Biswas, R. (2019). From the Quantum Approximate Optimization Algorithm to a Quantum Alternating Operator Ansatz. Algorithms, 12(2), 34.</w:t>
      </w:r>
    </w:p>
    <w:p>
      <w:pPr>
        <w:spacing w:after="140" w:line="300"/>
        <w:ind w:left="400" w:hanging="400"/>
      </w:pPr>
      <w:r>
        <w:rPr>
          <w:rFonts w:ascii="Georgia" w:cs="Georgia" w:eastAsia="Georgia" w:hAnsi="Georgia"/>
          <w:sz w:val="21"/>
          <w:szCs w:val="21"/>
        </w:rPr>
        <w:t xml:space="preserve">Kochenberger, G., Hao, J.-K., Glover, F., Lewis, M., Lü, Z., Wang, H., &amp; Wang, Y. (2014). The Unconstrained Binary Quadratic Programming Problem: A Survey. Journal of Combinatorial Optimization, 28(1), 58–81.</w:t>
      </w:r>
    </w:p>
    <w:p>
      <w:pPr>
        <w:spacing w:after="140" w:line="300"/>
        <w:ind w:left="400" w:hanging="400"/>
      </w:pPr>
      <w:r>
        <w:rPr>
          <w:rFonts w:ascii="Georgia" w:cs="Georgia" w:eastAsia="Georgia" w:hAnsi="Georgia"/>
          <w:sz w:val="21"/>
          <w:szCs w:val="21"/>
        </w:rPr>
        <w:t xml:space="preserve">Lucas, A. (2014). Ising Formulations of Many NP Problems. Frontiers in Physics, 2, 5.</w:t>
      </w:r>
    </w:p>
    <w:p>
      <w:pPr>
        <w:spacing w:after="140" w:line="300"/>
        <w:ind w:left="400" w:hanging="400"/>
      </w:pPr>
      <w:r>
        <w:rPr>
          <w:rFonts w:ascii="Georgia" w:cs="Georgia" w:eastAsia="Georgia" w:hAnsi="Georgia"/>
          <w:sz w:val="21"/>
          <w:szCs w:val="21"/>
        </w:rPr>
        <w:t xml:space="preserve">Martello, S., &amp; Toth, P. (1990). Knapsack Problems: Algorithms and Computer Implementations. Wiley. (Chapter on the Generalised Assignment Problem.)</w:t>
      </w:r>
    </w:p>
    <w:p>
      <w:pPr>
        <w:spacing w:after="140" w:line="300"/>
        <w:ind w:left="400" w:hanging="400"/>
      </w:pPr>
      <w:r>
        <w:rPr>
          <w:rFonts w:ascii="Georgia" w:cs="Georgia" w:eastAsia="Georgia" w:hAnsi="Georgia"/>
          <w:sz w:val="21"/>
          <w:szCs w:val="21"/>
        </w:rPr>
        <w:t xml:space="preserve">Montañez-Barrera, J. A., Willsch, D., Maldonado-Romo, A., &amp; Michielsen, K. (2024). Unbalanced Penalization: A New Approach to Encode Inequality Constraints of Combinatorial Problems for Quantum Optimization Algorithms. Quantum Science and Technology, 9(2).</w:t>
      </w:r>
    </w:p>
    <w:p>
      <w:pPr>
        <w:spacing w:after="140" w:line="300"/>
        <w:ind w:left="400" w:hanging="400"/>
      </w:pPr>
      <w:r>
        <w:rPr>
          <w:rFonts w:ascii="Georgia" w:cs="Georgia" w:eastAsia="Georgia" w:hAnsi="Georgia"/>
          <w:sz w:val="21"/>
          <w:szCs w:val="21"/>
        </w:rPr>
        <w:t xml:space="preserve">Nous Research — Teknium, R., et al. (2024). Hermes 3 Technical Report. arXiv:2408.11857.</w:t>
      </w:r>
    </w:p>
    <w:p>
      <w:pPr>
        <w:spacing w:after="140" w:line="300"/>
        <w:ind w:left="400" w:hanging="400"/>
      </w:pPr>
      <w:r>
        <w:rPr>
          <w:rFonts w:ascii="Georgia" w:cs="Georgia" w:eastAsia="Georgia" w:hAnsi="Georgia"/>
          <w:sz w:val="21"/>
          <w:szCs w:val="21"/>
        </w:rPr>
        <w:t xml:space="preserve">Preskill, J. (2018). Quantum Computing in the NISQ Era and Beyond. Quantum, 2, 79.</w:t>
      </w:r>
    </w:p>
    <w:p>
      <w:pPr>
        <w:spacing w:after="140" w:line="300"/>
        <w:ind w:left="400" w:hanging="400"/>
      </w:pPr>
      <w:r>
        <w:rPr>
          <w:rFonts w:ascii="Georgia" w:cs="Georgia" w:eastAsia="Georgia" w:hAnsi="Georgia"/>
          <w:sz w:val="21"/>
          <w:szCs w:val="21"/>
        </w:rPr>
        <w:t xml:space="preserve">Qiskit contributors (2024–2026). Qiskit: An Open-Source Framework for Quantum Computing; Qiskit Runtime primitives documentation. IBM Quantum. https://quantum.cloud.ibm.com/docs</w:t>
      </w:r>
    </w:p>
    <w:p>
      <w:pPr>
        <w:spacing w:after="140" w:line="300"/>
        <w:ind w:left="400" w:hanging="400"/>
      </w:pPr>
      <w:r>
        <w:rPr>
          <w:rFonts w:ascii="Georgia" w:cs="Georgia" w:eastAsia="Georgia" w:hAnsi="Georgia"/>
          <w:sz w:val="21"/>
          <w:szCs w:val="21"/>
        </w:rPr>
        <w:t xml:space="preserve">Venturelli, D., Marchand, D. J. J., &amp; Rojo, G. (2015). Quantum Annealing Implementation of Job-Shop Scheduling. arXiv:1506.08479.</w:t>
      </w:r>
    </w:p>
    <w:p>
      <w:pPr>
        <w:spacing w:after="140" w:line="300"/>
        <w:ind w:left="400" w:hanging="400"/>
      </w:pPr>
      <w:r>
        <w:rPr>
          <w:rFonts w:ascii="Georgia" w:cs="Georgia" w:eastAsia="Georgia" w:hAnsi="Georgia"/>
          <w:sz w:val="21"/>
          <w:szCs w:val="21"/>
        </w:rPr>
        <w:t xml:space="preserve">Wooldridge, M. (2009). An Introduction to MultiAgent Systems (2nd ed.). Wiley.</w:t>
      </w:r>
    </w:p>
    <w:p>
      <w:pPr>
        <w:spacing w:after="140" w:line="300"/>
        <w:ind w:left="400" w:hanging="400"/>
      </w:pPr>
      <w:r>
        <w:rPr>
          <w:rFonts w:ascii="Georgia" w:cs="Georgia" w:eastAsia="Georgia" w:hAnsi="Georgia"/>
          <w:sz w:val="21"/>
          <w:szCs w:val="21"/>
        </w:rPr>
        <w:t xml:space="preserve">Zhou, L., Wang, S.-T., Choi, S., Pichler, H., &amp; Lukin, M. D. (2020). Quantum Approximate Optimization Algorithm: Performance, Mechanism, and Implementation on Near-Term Devices. Physical Review X, 10, 021067.</w:t>
      </w:r>
    </w:p>
    <w:p>
      <w:pPr>
        <w:spacing w:after="140" w:line="300"/>
        <w:ind w:left="400" w:hanging="400"/>
      </w:pPr>
      <w:r>
        <w:rPr>
          <w:rFonts w:ascii="Georgia" w:cs="Georgia" w:eastAsia="Georgia" w:hAnsi="Georgia"/>
          <w:sz w:val="21"/>
          <w:szCs w:val="21"/>
        </w:rPr>
        <w:t xml:space="preserve">[Author: add the 2025–2026 agent-orchestration and ILP-routing papers cited in §2.3.2 once selected, plus your institution-required citation format throughout — entries above are drafted in a generic author–date style.]</w:t>
      </w:r>
    </w:p>
    <w:p>
      <w:pPr>
        <w:pStyle w:val="Heading1"/>
        <w:pageBreakBefore/>
        <w:spacing w:after="240" w:before="240"/>
      </w:pPr>
      <w:r>
        <w:rPr>
          <w:rFonts w:ascii="Georgia" w:cs="Georgia" w:eastAsia="Georgia" w:hAnsi="Georgia"/>
          <w:b/>
          <w:bCs/>
          <w:color w:val="1A1A1A"/>
          <w:sz w:val="34"/>
          <w:szCs w:val="34"/>
        </w:rPr>
        <w:t xml:space="preserve">Appendix A — Worked Example: Enumeration Script and Q Matrix</w:t>
      </w:r>
    </w:p>
    <w:p>
      <w:pPr>
        <w:spacing w:after="160" w:line="336"/>
        <w:jc w:val="both"/>
      </w:pPr>
      <w:r>
        <w:rPr>
          <w:rFonts w:ascii="Georgia" w:cs="Georgia" w:eastAsia="Georgia" w:hAnsi="Georgia"/>
          <w:sz w:val="22"/>
          <w:szCs w:val="22"/>
        </w:rPr>
        <w:t xml:space="preserve">The following script enumerates all 2¹⁰ states of the Section 3.7 instance and prints the minimiser; the full 10 × 10 Q matrix it constructs is printed on execution and reproduced in the repository.</w:t>
      </w:r>
    </w:p>
    <w:p>
      <w:pPr>
        <w:shd w:fill="F4F4F4" w:val="clear"/>
        <w:spacing w:after="20"/>
      </w:pPr>
      <w:r>
        <w:rPr>
          <w:rFonts w:ascii="Consolas" w:cs="Consolas" w:eastAsia="Consolas" w:hAnsi="Consolas"/>
          <w:sz w:val="18"/>
          <w:szCs w:val="18"/>
        </w:rPr>
        <w:t xml:space="preserve">import itertools, numpy as np</w:t>
      </w:r>
    </w:p>
    <w:p>
      <w:pPr>
        <w:shd w:fill="F4F4F4" w:val="clear"/>
        <w:spacing w:after="20"/>
      </w:pPr>
      <w:r>
        <w:rPr>
          <w:rFonts w:ascii="Consolas" w:cs="Consolas" w:eastAsia="Consolas" w:hAnsi="Consolas"/>
          <w:sz w:val="18"/>
          <w:szCs w:val="18"/>
        </w:rPr>
        <w:t xml:space="preserve">m, n = 2, 3</w:t>
      </w:r>
    </w:p>
    <w:p>
      <w:pPr>
        <w:shd w:fill="F4F4F4" w:val="clear"/>
        <w:spacing w:after="20"/>
      </w:pPr>
      <w:r>
        <w:rPr>
          <w:rFonts w:ascii="Consolas" w:cs="Consolas" w:eastAsia="Consolas" w:hAnsi="Consolas"/>
          <w:sz w:val="18"/>
          <w:szCs w:val="18"/>
        </w:rPr>
        <w:t xml:space="preserve">u = np.array([[0.9, 0.8, 0.5], [0.4, 0.3, 0.7]])</w:t>
      </w:r>
    </w:p>
    <w:p>
      <w:pPr>
        <w:shd w:fill="F4F4F4" w:val="clear"/>
        <w:spacing w:after="20"/>
      </w:pPr>
      <w:r>
        <w:rPr>
          <w:rFonts w:ascii="Consolas" w:cs="Consolas" w:eastAsia="Consolas" w:hAnsi="Consolas"/>
          <w:sz w:val="18"/>
          <w:szCs w:val="18"/>
        </w:rPr>
        <w:t xml:space="preserve">w = [2, 2, 1]; C = [3, 3]; alpha, l1, l2 = 0.5, 3.0, 2.0</w:t>
      </w:r>
    </w:p>
    <w:p>
      <w:pPr>
        <w:shd w:fill="F4F4F4" w:val="clear"/>
        <w:spacing w:after="20"/>
      </w:pPr>
      <w:r>
        <w:rPr>
          <w:rFonts w:ascii="Consolas" w:cs="Consolas" w:eastAsia="Consolas" w:hAnsi="Consolas"/>
          <w:sz w:val="18"/>
          <w:szCs w:val="18"/>
        </w:rPr>
        <w:t xml:space="preserve">aff = {(0, 1): 0.6}</w:t>
      </w:r>
    </w:p>
    <w:p>
      <w:pPr>
        <w:shd w:fill="F4F4F4" w:val="clear"/>
        <w:spacing w:after="20"/>
      </w:pPr>
      <w:r>
        <w:rPr>
          <w:rFonts w:ascii="Consolas" w:cs="Consolas" w:eastAsia="Consolas" w:hAnsi="Consolas"/>
          <w:sz w:val="18"/>
          <w:szCs w:val="18"/>
        </w:rPr>
        <w:t xml:space="preserve">def energy(bits):</w:t>
      </w:r>
    </w:p>
    <w:p>
      <w:pPr>
        <w:shd w:fill="F4F4F4" w:val="clear"/>
        <w:spacing w:after="20"/>
      </w:pPr>
      <w:r>
        <w:rPr>
          <w:rFonts w:ascii="Consolas" w:cs="Consolas" w:eastAsia="Consolas" w:hAnsi="Consolas"/>
          <w:sz w:val="18"/>
          <w:szCs w:val="18"/>
        </w:rPr>
        <w:t xml:space="preserve">    x = np.array(bits[:6]).reshape(m, n); s = bits[6:]</w:t>
      </w:r>
    </w:p>
    <w:p>
      <w:pPr>
        <w:shd w:fill="F4F4F4" w:val="clear"/>
        <w:spacing w:after="20"/>
      </w:pPr>
      <w:r>
        <w:rPr>
          <w:rFonts w:ascii="Consolas" w:cs="Consolas" w:eastAsia="Consolas" w:hAnsi="Consolas"/>
          <w:sz w:val="18"/>
          <w:szCs w:val="18"/>
        </w:rPr>
        <w:t xml:space="preserve">    slack = [s[0] + 2 * s[1], s[2] + 2 * s[3]]</w:t>
      </w:r>
    </w:p>
    <w:p>
      <w:pPr>
        <w:shd w:fill="F4F4F4" w:val="clear"/>
        <w:spacing w:after="20"/>
      </w:pPr>
      <w:r>
        <w:rPr>
          <w:rFonts w:ascii="Consolas" w:cs="Consolas" w:eastAsia="Consolas" w:hAnsi="Consolas"/>
          <w:sz w:val="18"/>
          <w:szCs w:val="18"/>
        </w:rPr>
        <w:t xml:space="preserve">    E = -(u * x).sum()</w:t>
      </w:r>
    </w:p>
    <w:p>
      <w:pPr>
        <w:shd w:fill="F4F4F4" w:val="clear"/>
        <w:spacing w:after="20"/>
      </w:pPr>
      <w:r>
        <w:rPr>
          <w:rFonts w:ascii="Consolas" w:cs="Consolas" w:eastAsia="Consolas" w:hAnsi="Consolas"/>
          <w:sz w:val="18"/>
          <w:szCs w:val="18"/>
        </w:rPr>
        <w:t xml:space="preserve">    E -= alpha * sum(a * x[i, j] * x[i, k]</w:t>
      </w:r>
    </w:p>
    <w:p>
      <w:pPr>
        <w:shd w:fill="F4F4F4" w:val="clear"/>
        <w:spacing w:after="20"/>
      </w:pPr>
      <w:r>
        <w:rPr>
          <w:rFonts w:ascii="Consolas" w:cs="Consolas" w:eastAsia="Consolas" w:hAnsi="Consolas"/>
          <w:sz w:val="18"/>
          <w:szCs w:val="18"/>
        </w:rPr>
        <w:t xml:space="preserve">                     for (j, k), a in aff.items() for i in range(m))</w:t>
      </w:r>
    </w:p>
    <w:p>
      <w:pPr>
        <w:shd w:fill="F4F4F4" w:val="clear"/>
        <w:spacing w:after="20"/>
      </w:pPr>
      <w:r>
        <w:rPr>
          <w:rFonts w:ascii="Consolas" w:cs="Consolas" w:eastAsia="Consolas" w:hAnsi="Consolas"/>
          <w:sz w:val="18"/>
          <w:szCs w:val="18"/>
        </w:rPr>
        <w:t xml:space="preserve">    E += l1 * sum((1 - x[:, j].sum()) ** 2 for j in range(n))</w:t>
      </w:r>
    </w:p>
    <w:p>
      <w:pPr>
        <w:shd w:fill="F4F4F4" w:val="clear"/>
        <w:spacing w:after="20"/>
      </w:pPr>
      <w:r>
        <w:rPr>
          <w:rFonts w:ascii="Consolas" w:cs="Consolas" w:eastAsia="Consolas" w:hAnsi="Consolas"/>
          <w:sz w:val="18"/>
          <w:szCs w:val="18"/>
        </w:rPr>
        <w:t xml:space="preserve">    E += l2 * sum((C[i] - sum(w[j] * x[i, j] for j in range(n))</w:t>
      </w:r>
    </w:p>
    <w:p>
      <w:pPr>
        <w:shd w:fill="F4F4F4" w:val="clear"/>
        <w:spacing w:after="20"/>
      </w:pPr>
      <w:r>
        <w:rPr>
          <w:rFonts w:ascii="Consolas" w:cs="Consolas" w:eastAsia="Consolas" w:hAnsi="Consolas"/>
          <w:sz w:val="18"/>
          <w:szCs w:val="18"/>
        </w:rPr>
        <w:t xml:space="preserve">                   - slack[i]) ** 2 for i in range(m))</w:t>
      </w:r>
    </w:p>
    <w:p>
      <w:pPr>
        <w:shd w:fill="F4F4F4" w:val="clear"/>
        <w:spacing w:after="20"/>
      </w:pPr>
      <w:r>
        <w:rPr>
          <w:rFonts w:ascii="Consolas" w:cs="Consolas" w:eastAsia="Consolas" w:hAnsi="Consolas"/>
          <w:sz w:val="18"/>
          <w:szCs w:val="18"/>
        </w:rPr>
        <w:t xml:space="preserve">    return E</w:t>
      </w:r>
    </w:p>
    <w:p>
      <w:pPr>
        <w:shd w:fill="F4F4F4" w:val="clear"/>
        <w:spacing w:after="20"/>
      </w:pPr>
      <w:r>
        <w:rPr>
          <w:rFonts w:ascii="Consolas" w:cs="Consolas" w:eastAsia="Consolas" w:hAnsi="Consolas"/>
          <w:sz w:val="18"/>
          <w:szCs w:val="18"/>
        </w:rPr>
        <w:t xml:space="preserve">best = min(itertools.product([0, 1], repeat=10), key=energy)</w:t>
      </w:r>
    </w:p>
    <w:p>
      <w:pPr>
        <w:shd w:fill="F4F4F4" w:val="clear"/>
        <w:spacing w:after="20"/>
      </w:pPr>
      <w:r>
        <w:rPr>
          <w:rFonts w:ascii="Consolas" w:cs="Consolas" w:eastAsia="Consolas" w:hAnsi="Consolas"/>
          <w:sz w:val="18"/>
          <w:szCs w:val="18"/>
        </w:rPr>
        <w:t xml:space="preserve">print(best, energy(best))   # two tied minimisers at E = -1.9:</w:t>
      </w:r>
    </w:p>
    <w:p>
      <w:pPr>
        <w:shd w:fill="F4F4F4" w:val="clear"/>
        <w:spacing w:after="20"/>
      </w:pPr>
      <w:r>
        <w:rPr>
          <w:rFonts w:ascii="Consolas" w:cs="Consolas" w:eastAsia="Consolas" w:hAnsi="Consolas"/>
          <w:sz w:val="18"/>
          <w:szCs w:val="18"/>
        </w:rPr>
        <w:t xml:space="preserve"># x11=1 with x22=x23=1, and x12=1 with x21=x23=1</w:t>
      </w:r>
    </w:p>
    <w:p>
      <w:pPr>
        <w:pStyle w:val="Heading1"/>
        <w:pageBreakBefore/>
        <w:spacing w:after="240" w:before="240"/>
      </w:pPr>
      <w:r>
        <w:rPr>
          <w:rFonts w:ascii="Georgia" w:cs="Georgia" w:eastAsia="Georgia" w:hAnsi="Georgia"/>
          <w:b/>
          <w:bCs/>
          <w:color w:val="1A1A1A"/>
          <w:sz w:val="34"/>
          <w:szCs w:val="34"/>
        </w:rPr>
        <w:t xml:space="preserve">Appendix B — MCP Tool Schemas</w:t>
      </w:r>
    </w:p>
    <w:p>
      <w:pPr>
        <w:spacing w:after="160" w:line="336"/>
        <w:jc w:val="both"/>
      </w:pPr>
      <w:r>
        <w:rPr>
          <w:rFonts w:ascii="Georgia" w:cs="Georgia" w:eastAsia="Georgia" w:hAnsi="Georgia"/>
          <w:sz w:val="22"/>
          <w:szCs w:val="22"/>
        </w:rPr>
        <w:t xml:space="preserve">Abridged schema for the solver service's principal tool; full schemas for the vault and registry servers are in the repository.</w:t>
      </w:r>
    </w:p>
    <w:p>
      <w:pPr>
        <w:shd w:fill="F4F4F4" w:val="clear"/>
        <w:spacing w:after="20"/>
      </w:pPr>
      <w:r>
        <w:rPr>
          <w:rFonts w:ascii="Consolas" w:cs="Consolas" w:eastAsia="Consolas" w:hAnsi="Consolas"/>
          <w:sz w:val="18"/>
          <w:szCs w:val="18"/>
        </w:rPr>
        <w:t xml:space="preserve">{ "name": "solve_qubo",</w:t>
      </w:r>
    </w:p>
    <w:p>
      <w:pPr>
        <w:shd w:fill="F4F4F4" w:val="clear"/>
        <w:spacing w:after="20"/>
      </w:pPr>
      <w:r>
        <w:rPr>
          <w:rFonts w:ascii="Consolas" w:cs="Consolas" w:eastAsia="Consolas" w:hAnsi="Consolas"/>
          <w:sz w:val="18"/>
          <w:szCs w:val="18"/>
        </w:rPr>
        <w:t xml:space="preserve">  "description": "Minimise x^T Q x. Returns best feasible assignment</w:t>
      </w:r>
    </w:p>
    <w:p>
      <w:pPr>
        <w:shd w:fill="F4F4F4" w:val="clear"/>
        <w:spacing w:after="20"/>
      </w:pPr>
      <w:r>
        <w:rPr>
          <w:rFonts w:ascii="Consolas" w:cs="Consolas" w:eastAsia="Consolas" w:hAnsi="Consolas"/>
          <w:sz w:val="18"/>
          <w:szCs w:val="18"/>
        </w:rPr>
        <w:t xml:space="preserve">                  after validation and greedy repair.",</w:t>
      </w:r>
    </w:p>
    <w:p>
      <w:pPr>
        <w:shd w:fill="F4F4F4" w:val="clear"/>
        <w:spacing w:after="20"/>
      </w:pPr>
      <w:r>
        <w:rPr>
          <w:rFonts w:ascii="Consolas" w:cs="Consolas" w:eastAsia="Consolas" w:hAnsi="Consolas"/>
          <w:sz w:val="18"/>
          <w:szCs w:val="18"/>
        </w:rPr>
        <w:t xml:space="preserve">  "inputSchema": {</w:t>
      </w:r>
    </w:p>
    <w:p>
      <w:pPr>
        <w:shd w:fill="F4F4F4" w:val="clear"/>
        <w:spacing w:after="20"/>
      </w:pPr>
      <w:r>
        <w:rPr>
          <w:rFonts w:ascii="Consolas" w:cs="Consolas" w:eastAsia="Consolas" w:hAnsi="Consolas"/>
          <w:sz w:val="18"/>
          <w:szCs w:val="18"/>
        </w:rPr>
        <w:t xml:space="preserve">    "type": "object",</w:t>
      </w:r>
    </w:p>
    <w:p>
      <w:pPr>
        <w:shd w:fill="F4F4F4" w:val="clear"/>
        <w:spacing w:after="20"/>
      </w:pPr>
      <w:r>
        <w:rPr>
          <w:rFonts w:ascii="Consolas" w:cs="Consolas" w:eastAsia="Consolas" w:hAnsi="Consolas"/>
          <w:sz w:val="18"/>
          <w:szCs w:val="18"/>
        </w:rPr>
        <w:t xml:space="preserve">    "properties": {</w:t>
      </w:r>
    </w:p>
    <w:p>
      <w:pPr>
        <w:shd w:fill="F4F4F4" w:val="clear"/>
        <w:spacing w:after="20"/>
      </w:pPr>
      <w:r>
        <w:rPr>
          <w:rFonts w:ascii="Consolas" w:cs="Consolas" w:eastAsia="Consolas" w:hAnsi="Consolas"/>
          <w:sz w:val="18"/>
          <w:szCs w:val="18"/>
        </w:rPr>
        <w:t xml:space="preserve">      "Q":        { "type": "object",  "description": "sparse {\"i,j\": coeff}" },</w:t>
      </w:r>
    </w:p>
    <w:p>
      <w:pPr>
        <w:shd w:fill="F4F4F4" w:val="clear"/>
        <w:spacing w:after="20"/>
      </w:pPr>
      <w:r>
        <w:rPr>
          <w:rFonts w:ascii="Consolas" w:cs="Consolas" w:eastAsia="Consolas" w:hAnsi="Consolas"/>
          <w:sz w:val="18"/>
          <w:szCs w:val="18"/>
        </w:rPr>
        <w:t xml:space="preserve">      "backend":  { "enum": ["exact", "sa", "qaoa_sim", "qaoa_ibm"] },</w:t>
      </w:r>
    </w:p>
    <w:p>
      <w:pPr>
        <w:shd w:fill="F4F4F4" w:val="clear"/>
        <w:spacing w:after="20"/>
      </w:pPr>
      <w:r>
        <w:rPr>
          <w:rFonts w:ascii="Consolas" w:cs="Consolas" w:eastAsia="Consolas" w:hAnsi="Consolas"/>
          <w:sz w:val="18"/>
          <w:szCs w:val="18"/>
        </w:rPr>
        <w:t xml:space="preserve">      "budget_s": { "type": "number", "default": 30 },</w:t>
      </w:r>
    </w:p>
    <w:p>
      <w:pPr>
        <w:shd w:fill="F4F4F4" w:val="clear"/>
        <w:spacing w:after="20"/>
      </w:pPr>
      <w:r>
        <w:rPr>
          <w:rFonts w:ascii="Consolas" w:cs="Consolas" w:eastAsia="Consolas" w:hAnsi="Consolas"/>
          <w:sz w:val="18"/>
          <w:szCs w:val="18"/>
        </w:rPr>
        <w:t xml:space="preserve">      "meta":     { "type": "object", "description": "m, n, capacities, weights</w:t>
      </w:r>
    </w:p>
    <w:p>
      <w:pPr>
        <w:shd w:fill="F4F4F4" w:val="clear"/>
        <w:spacing w:after="20"/>
      </w:pPr>
      <w:r>
        <w:rPr>
          <w:rFonts w:ascii="Consolas" w:cs="Consolas" w:eastAsia="Consolas" w:hAnsi="Consolas"/>
          <w:sz w:val="18"/>
          <w:szCs w:val="18"/>
        </w:rPr>
        <w:t xml:space="preserve">                    — required by the validator/repairer" } },</w:t>
      </w:r>
    </w:p>
    <w:p>
      <w:pPr>
        <w:shd w:fill="F4F4F4" w:val="clear"/>
        <w:spacing w:after="20"/>
      </w:pPr>
      <w:r>
        <w:rPr>
          <w:rFonts w:ascii="Consolas" w:cs="Consolas" w:eastAsia="Consolas" w:hAnsi="Consolas"/>
          <w:sz w:val="18"/>
          <w:szCs w:val="18"/>
        </w:rPr>
        <w:t xml:space="preserve">    "required": ["Q", "backend", "meta"] } }</w:t>
      </w:r>
    </w:p>
    <w:p>
      <w:pPr>
        <w:pStyle w:val="Heading1"/>
        <w:pageBreakBefore/>
        <w:spacing w:after="240" w:before="240"/>
      </w:pPr>
      <w:r>
        <w:rPr>
          <w:rFonts w:ascii="Georgia" w:cs="Georgia" w:eastAsia="Georgia" w:hAnsi="Georgia"/>
          <w:b/>
          <w:bCs/>
          <w:color w:val="1A1A1A"/>
          <w:sz w:val="34"/>
          <w:szCs w:val="34"/>
        </w:rPr>
        <w:t xml:space="preserve">Appendix C — Hardware Run Log (Template)</w:t>
      </w:r>
    </w:p>
    <w:p>
      <w:pPr>
        <w:spacing w:after="160" w:line="336"/>
        <w:jc w:val="both"/>
      </w:pPr>
      <w:r>
        <w:rPr>
          <w:rFonts w:ascii="Georgia" w:cs="Georgia" w:eastAsia="Georgia" w:hAnsi="Georgia"/>
          <w:sz w:val="22"/>
          <w:szCs w:val="22"/>
        </w:rPr>
        <w:t xml:space="preserve">One row per hardware execution; the repository's CSV carries the complete log. Columns: date, backend, calibration snapshot ID, instance ID, N, p, transpiled two-qubit depth, shots, session ID, raw feasibility, best energy, notes. [Author: populate from your own runs; Table 5.2's placeholder rows follow this template.]</w:t>
      </w:r>
    </w:p>
    <w:p>
      <w:pPr>
        <w:pStyle w:val="Heading1"/>
        <w:pageBreakBefore/>
        <w:spacing w:after="240" w:before="240"/>
      </w:pPr>
      <w:r>
        <w:rPr>
          <w:rFonts w:ascii="Georgia" w:cs="Georgia" w:eastAsia="Georgia" w:hAnsi="Georgia"/>
          <w:b/>
          <w:bCs/>
          <w:color w:val="1A1A1A"/>
          <w:sz w:val="34"/>
          <w:szCs w:val="34"/>
        </w:rPr>
        <w:t xml:space="preserve">Appendix D — Vault Schema Reference</w:t>
      </w:r>
    </w:p>
    <w:p>
      <w:pPr>
        <w:spacing w:after="160" w:line="336"/>
        <w:jc w:val="both"/>
      </w:pPr>
      <w:r>
        <w:rPr>
          <w:rFonts w:ascii="Georgia" w:cs="Georgia" w:eastAsia="Georgia" w:hAnsi="Georgia"/>
          <w:sz w:val="22"/>
          <w:szCs w:val="22"/>
        </w:rPr>
        <w:t xml:space="preserve">Front-matter contract for the four card types (task, agent-profile, decision-record, postmortem), the eligibility query, and the affinity computation, as implemented by the vault MCP server. Task cards: see Section 4.2. Agent-profile cards mirror the registry (capabilities per category, capacity, model checkpoint hash). Decision-record cards are append-only and link every task they assign, which is what makes the vault's graph view double as an audit trail of the orchestrator's history.</w:t>
      </w:r>
    </w:p>
    <w:sectPr>
      <w:headerReference w:type="default" r:id="rId7"/>
      <w:footerReference w:type="default" r:id="rId8"/>
      <w:type w:val="nextPage"/>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8"/>
        <w:szCs w:val="18"/>
      </w:rPr>
      <w:t xml:space="preserve">W. Kim — QUBO Orchestration of AI Agent Workforces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QUBO Formulation for Quantum-Assisted Multi-Agent AI Workforce Orchestration</dc:title>
  <dc:creator>Wilcox Kim</dc:creator>
  <cp:lastModifiedBy>Un-named</cp:lastModifiedBy>
  <cp:revision>1</cp:revision>
  <dcterms:created xsi:type="dcterms:W3CDTF">2026-07-11T12:33:57.887Z</dcterms:created>
  <dcterms:modified xsi:type="dcterms:W3CDTF">2026-07-11T12:33:57.900Z</dcterms:modified>
</cp:coreProperties>
</file>

<file path=docProps/custom.xml><?xml version="1.0" encoding="utf-8"?>
<Properties xmlns="http://schemas.openxmlformats.org/officeDocument/2006/custom-properties" xmlns:vt="http://schemas.openxmlformats.org/officeDocument/2006/docPropsVTypes"/>
</file>