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sz w:val="32"/>
          <w:szCs w:val="32"/>
        </w:rPr>
        <w:t xml:space="preserve">Thesis Structure and Chapter Plan</w:t>
      </w:r>
    </w:p>
    <w:p>
      <w:pPr>
        <w:spacing w:after="4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z w:val="23"/>
          <w:szCs w:val="23"/>
        </w:rPr>
        <w:t xml:space="preserve">A QUBO Formulation for Quantum-Assisted Multi-Agent AI Workforce Orchestration:</w:t>
      </w:r>
    </w:p>
    <w:p>
      <w:pPr>
        <w:spacing w:after="12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sz w:val="23"/>
          <w:szCs w:val="23"/>
        </w:rPr>
        <w:t xml:space="preserve">Design, Implementation, and Evaluation Using IBM Quantum Hardware</w:t>
      </w:r>
    </w:p>
    <w:p>
      <w:pPr>
        <w:spacing w:after="30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21"/>
          <w:szCs w:val="21"/>
        </w:rPr>
        <w:t xml:space="preserve">Wilcox Kim · MSc Quantum Computing · June 2026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1A1A1A"/>
          <w:sz w:val="27"/>
          <w:szCs w:val="27"/>
        </w:rPr>
        <w:t xml:space="preserve">Design Rationale</w:t>
      </w:r>
    </w:p>
    <w:p>
      <w:pPr>
        <w:spacing w:after="160" w:line="33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The thesis is organised so that the optimization model — not the quantum algorithm — carries the contribution. Chapter 3 (the QUBO formulation) is the centre of gravity; QAOA on IBM Quantum appears in Chapters 4–5 as the evaluation vehicle; and the systems chapters ground every coefficient in a real stack (Hermes agents, an Obsidian vault as the AI brain, engineered harnesses, MCP). This ordering also de-risks the defence: even a sceptic of near-term quantum utility is left with a novel problem formulation, a live-system evaluation, and an honest hardware study. Total length is budgeted at 58 pages of body text (60 with front matter), within the 60-page limit.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1A1A1A"/>
          <w:sz w:val="27"/>
          <w:szCs w:val="27"/>
        </w:rPr>
        <w:t xml:space="preserve">Chapter Map and Page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50"/>
        <w:gridCol w:w="800"/>
        <w:gridCol w:w="3400"/>
        <w:gridCol w:w="1610"/>
      </w:tblGrid>
      <w:tr>
        <w:trPr>
          <w:cantSplit/>
          <w:tblHeader/>
        </w:trPr>
        <w:tc>
          <w:tcPr>
            <w:tcW w:type="dxa" w:w="500"/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Ch.</w:t>
            </w:r>
          </w:p>
        </w:tc>
        <w:tc>
          <w:tcPr>
            <w:tcW w:type="dxa" w:w="3050"/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800"/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Pages</w:t>
            </w:r>
          </w:p>
        </w:tc>
        <w:tc>
          <w:tcPr>
            <w:tcW w:type="dxa" w:w="3400"/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Carries</w:t>
            </w:r>
          </w:p>
        </w:tc>
        <w:tc>
          <w:tcPr>
            <w:tcW w:type="dxa" w:w="1610"/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Answers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Front matter: title, declaration, abstract, acknowledgements, abbreviations, ToC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Framing; abstract sells the contribution in industry terms</w:t>
            </w:r>
          </w:p>
        </w:tc>
        <w:tc>
          <w:tcPr>
            <w:tcW w:type="dxa" w:w="1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Motivation, the concrete stack, research questions, contributions, scope, outline</w:t>
            </w:r>
          </w:p>
        </w:tc>
        <w:tc>
          <w:tcPr>
            <w:tcW w:type="dxa" w:w="1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Sets RQ1–RQ4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Background &amp; Related Work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Agents/harnesses/MCP/Obsidian for quantum readers; QUBO/Ising/QAOA/IBM stack for agents readers; positioning table showing the gap</w:t>
            </w:r>
          </w:p>
        </w:tc>
        <w:tc>
          <w:tcPr>
            <w:tcW w:type="dxa" w:w="1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Context for all RQs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Orchestration Model &amp; QUBO Encoding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PRIMARY CONTRIBUTION: constrained model, penalty conversion, slack expansion, penalty-weight bounds, qubit scaling, hand-checkable worked example</w:t>
            </w:r>
          </w:p>
        </w:tc>
        <w:tc>
          <w:tcPr>
            <w:tcW w:type="dxa" w:w="1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RQ1, RQ2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System Design &amp; Implementation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Vault schema, harness engineering, MCP surface &amp; security posture, solver service, QAOA protocol on IBM Quantum, transpilation-depth lessons</w:t>
            </w:r>
          </w:p>
        </w:tc>
        <w:tc>
          <w:tcPr>
            <w:tcW w:type="dxa" w:w="1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RQ4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Evaluation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60 generated instances + 14-day live trace; QAOA (sim + Heron hardware) vs CBC/SA/greedy; sensitivity &amp; ablation; failures reported</w:t>
            </w:r>
          </w:p>
        </w:tc>
        <w:tc>
          <w:tcPr>
            <w:tcW w:type="dxa" w:w="1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RQ2, RQ3, RQ4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Discussion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Direct answers to RQs, the 'why bother' argument, limitations, threats to validity</w:t>
            </w:r>
          </w:p>
        </w:tc>
        <w:tc>
          <w:tcPr>
            <w:tcW w:type="dxa" w:w="1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Synthesis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Conclusion &amp; Future Work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Annealing/adiabatic transfer of the same QUBO, mixers, time-indexed extension, robust variant</w:t>
            </w:r>
          </w:p>
        </w:tc>
        <w:tc>
          <w:tcPr>
            <w:tcW w:type="dxa" w:w="1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Closes the arc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References + Appendices A–D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(excl.)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Enumeration script, MCP schemas, hardware run log, vault schema</w:t>
            </w:r>
          </w:p>
        </w:tc>
        <w:tc>
          <w:tcPr>
            <w:tcW w:type="dxa" w:w="1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Reproducibility</w:t>
            </w:r>
          </w:p>
        </w:tc>
      </w:tr>
    </w:tbl>
    <w:p>
      <w:pPr>
        <w:spacing w:after="240" w:before="80"/>
        <w:jc w:val="center"/>
      </w:pPr>
      <w:r>
        <w:rPr>
          <w:rFonts w:ascii="Georgia" w:cs="Georgia" w:eastAsia="Georgia" w:hAnsi="Georgia"/>
          <w:i/>
          <w:iCs/>
          <w:color w:val="444444"/>
          <w:sz w:val="20"/>
          <w:szCs w:val="20"/>
        </w:rPr>
        <w:t xml:space="preserve">Chapter map. 'Carries' states each chapter's load-bearing content.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1A1A1A"/>
          <w:sz w:val="27"/>
          <w:szCs w:val="27"/>
        </w:rPr>
        <w:t xml:space="preserve">Detailed Section Outline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333333"/>
          <w:sz w:val="23"/>
          <w:szCs w:val="23"/>
        </w:rPr>
        <w:t xml:space="preserve">Chapter 1 — Introduction (6 pp)</w:t>
      </w:r>
    </w:p>
    <w:p>
      <w:pPr>
        <w:pStyle w:val="ListParagraph"/>
        <w:numPr>
          <w:ilvl w:val="0"/>
          <w:numId w:val="2"/>
        </w:numPr>
        <w:spacing w:after="100" w:line="33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1.1 Motivation — agent workforces as a recurring assignment problem; why QUBO is the natural meeting point.</w:t>
      </w:r>
    </w:p>
    <w:p>
      <w:pPr>
        <w:pStyle w:val="ListParagraph"/>
        <w:numPr>
          <w:ilvl w:val="0"/>
          <w:numId w:val="2"/>
        </w:numPr>
        <w:spacing w:after="100" w:line="33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1.2 The concrete system — Hermes agents, Obsidian vault, harness engineering, MCP, quantum-assisted optimizer (one paragraph each).</w:t>
      </w:r>
    </w:p>
    <w:p>
      <w:pPr>
        <w:pStyle w:val="ListParagraph"/>
        <w:numPr>
          <w:ilvl w:val="0"/>
          <w:numId w:val="2"/>
        </w:numPr>
        <w:spacing w:after="100" w:line="33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1.3 Research questions RQ1–RQ4. 1.4 Contributions (four, numbered). 1.5 Scope and non-goals (no advantage claim; per-epoch model; security acknowledged not solved). 1.6 Outline.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333333"/>
          <w:sz w:val="23"/>
          <w:szCs w:val="23"/>
        </w:rPr>
        <w:t xml:space="preserve">Chapter 2 — Background &amp; Related Work (11 pp)</w:t>
      </w:r>
    </w:p>
    <w:p>
      <w:pPr>
        <w:pStyle w:val="ListParagraph"/>
        <w:numPr>
          <w:ilvl w:val="0"/>
          <w:numId w:val="2"/>
        </w:numPr>
        <w:spacing w:after="100" w:line="33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2.1 Agents and the workforce framing: 2.1.1 Hermes (open weights = pinned, reproducible coefficients); 2.1.2 Obsidian as AI brain (inspectability, front-matter structure, links-as-affinity-data); 2.1.3 harness engineering (harness as the measurement instrument for the model); 2.1.4 MCP (architecture value + injection surface).</w:t>
      </w:r>
    </w:p>
    <w:p>
      <w:pPr>
        <w:pStyle w:val="ListParagraph"/>
        <w:numPr>
          <w:ilvl w:val="0"/>
          <w:numId w:val="2"/>
        </w:numPr>
        <w:spacing w:after="100" w:line="33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2.2 Optimization background: GAP and NP-hardness; QUBO/Ising with the penalty-weight caveat; QAOA and its two hardware realities (depth from density, angle-loop cost); the IBM stack (Heron, Runtime primitives, sessions, mitigation).</w:t>
      </w:r>
    </w:p>
    <w:p>
      <w:pPr>
        <w:pStyle w:val="ListParagraph"/>
        <w:numPr>
          <w:ilvl w:val="0"/>
          <w:numId w:val="2"/>
        </w:numPr>
        <w:spacing w:after="100" w:line="33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2.3 Related work: quantum scheduling (Venturelli et al.; annealing case studies; QAOA constraint literature) vs. agent orchestration (greedy incumbents; 2025 ILP-routing papers); positioning table; the gap sentence.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333333"/>
          <w:sz w:val="23"/>
          <w:szCs w:val="23"/>
        </w:rPr>
        <w:t xml:space="preserve">Chapter 3 — Model &amp; Encoding (10 pp) — primary contribution</w:t>
      </w:r>
    </w:p>
    <w:p>
      <w:pPr>
        <w:pStyle w:val="ListParagraph"/>
        <w:numPr>
          <w:ilvl w:val="0"/>
          <w:numId w:val="2"/>
        </w:numPr>
        <w:spacing w:after="100" w:line="33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3.1 Epoch setting and notation, with a 'source in the stack' column for every symbol. 3.2 Constrained program (utility + affinity objective; coverage, capacity, exclusion) plus a note on the deleted fairness term.</w:t>
      </w:r>
    </w:p>
    <w:p>
      <w:pPr>
        <w:pStyle w:val="ListParagraph"/>
        <w:numPr>
          <w:ilvl w:val="0"/>
          <w:numId w:val="2"/>
        </w:numPr>
        <w:spacing w:after="100" w:line="33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3.3 Penalty conversion (coverage, exclusion). 3.4 Capacity via binary slack expansion; unbalanced penalization as evaluated alternative. 3.5 Full QUBO; derived penalty-weight bounds and the empirically safe band.</w:t>
      </w:r>
    </w:p>
    <w:p>
      <w:pPr>
        <w:pStyle w:val="ListParagraph"/>
        <w:numPr>
          <w:ilvl w:val="0"/>
          <w:numId w:val="2"/>
        </w:numPr>
        <w:spacing w:after="100" w:line="33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3.6 Qubit-count table across fleet shapes → dictates the evaluation design and names the deployment-scale gap honestly. 3.7 Worked example (2×3, N=10) verified by enumeration; exhibits the affinity-vs-capacity tension.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333333"/>
          <w:sz w:val="23"/>
          <w:szCs w:val="23"/>
        </w:rPr>
        <w:t xml:space="preserve">Chapter 4 — System (9 pp)</w:t>
      </w:r>
    </w:p>
    <w:p>
      <w:pPr>
        <w:pStyle w:val="ListParagraph"/>
        <w:numPr>
          <w:ilvl w:val="0"/>
          <w:numId w:val="2"/>
        </w:numPr>
        <w:spacing w:after="100" w:line="33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4.1 Five-process architecture over MCP; the 'quantum must be boring' design rule with classical fallback. 4.2 Vault schema with a real task card; decision records as audit trail.</w:t>
      </w:r>
    </w:p>
    <w:p>
      <w:pPr>
        <w:pStyle w:val="ListParagraph"/>
        <w:numPr>
          <w:ilvl w:val="0"/>
          <w:numId w:val="2"/>
        </w:numPr>
        <w:spacing w:after="100" w:line="33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4.3 Harness engineering: validated tool calls with one-shot repair; graph-following context assembly (what makes affinity real); telemetry-as-product discipline.</w:t>
      </w:r>
    </w:p>
    <w:p>
      <w:pPr>
        <w:pStyle w:val="ListParagraph"/>
        <w:numPr>
          <w:ilvl w:val="0"/>
          <w:numId w:val="2"/>
        </w:numPr>
        <w:spacing w:after="100" w:line="33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4.4 MCP security posture (allow-listed tools, read-mostly mounts, human confirmation on destructive ops). 4.5 Solver service: CBC/PuLP exact path, SA, and the five-step QAOA protocol (simulator-optimised angles, SamplerV2 sessions, DD + twirling, greedy repair); the transpiled-depth lesson.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333333"/>
          <w:sz w:val="23"/>
          <w:szCs w:val="23"/>
        </w:rPr>
        <w:t xml:space="preserve">Chapter 5 — Evaluation (10 pp)</w:t>
      </w:r>
    </w:p>
    <w:p>
      <w:pPr>
        <w:pStyle w:val="ListParagraph"/>
        <w:numPr>
          <w:ilvl w:val="0"/>
          <w:numId w:val="2"/>
        </w:numPr>
        <w:spacing w:after="100" w:line="33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5.1 Metrics (feasibility raw/repaired, approximation ratio vs CBC, TTS, operational) and baselines (greedy = incumbent bar). 5.2 Instance generation fitted to live telemetry, optima certified.</w:t>
      </w:r>
    </w:p>
    <w:p>
      <w:pPr>
        <w:pStyle w:val="ListParagraph"/>
        <w:numPr>
          <w:ilvl w:val="0"/>
          <w:numId w:val="2"/>
        </w:numPr>
        <w:spacing w:after="100" w:line="33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5.3 Simulator results table: depth helps with diminishing returns; feasibility decays geometrically but repair recovers it; repaired-QAOA &gt; greedy; SA is quietly excellent — say so.</w:t>
      </w:r>
    </w:p>
    <w:p>
      <w:pPr>
        <w:pStyle w:val="ListParagraph"/>
        <w:numPr>
          <w:ilvl w:val="0"/>
          <w:numId w:val="2"/>
        </w:numPr>
        <w:spacing w:after="100" w:line="33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5.4 Hardware table (ibm_torino, ibm_fez; N = 10/24/40): tracks simulator at 10, depth-dominated at 40; the distributional evidence that problem structure survives noise.</w:t>
      </w:r>
    </w:p>
    <w:p>
      <w:pPr>
        <w:pStyle w:val="ListParagraph"/>
        <w:numPr>
          <w:ilvl w:val="0"/>
          <w:numId w:val="2"/>
        </w:numPr>
        <w:spacing w:after="100" w:line="33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5.5 Penalty-weight sweep confirming the bounds and the &gt;4× cliff. 5.6 Slack-free ablation (depth savings vs silent violations). 5.7 Live 14-day trace: utility +9.3% and tokens −11% vs greedy replay; 71% quantum/classical agreement; the vault-poisoning incident, confessed.</w:t>
      </w:r>
    </w:p>
    <w:p>
      <w:pPr>
        <w:pStyle w:val="ListParagraph"/>
        <w:numPr>
          <w:ilvl w:val="0"/>
          <w:numId w:val="2"/>
        </w:numPr>
        <w:spacing w:after="100" w:line="33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All numeric values are placeholders marked for replacement with the author's own runs; the analyses are the deliverable.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333333"/>
          <w:sz w:val="23"/>
          <w:szCs w:val="23"/>
        </w:rPr>
        <w:t xml:space="preserve">Chapters 6–7 — Discussion, Conclusion (7 pp)</w:t>
      </w:r>
    </w:p>
    <w:p>
      <w:pPr>
        <w:pStyle w:val="ListParagraph"/>
        <w:numPr>
          <w:ilvl w:val="0"/>
          <w:numId w:val="2"/>
        </w:numPr>
        <w:spacing w:after="100" w:line="33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6.1 RQ-by-RQ answers. 6.2 'Why bother' in three tiers of confidence (classical value now; scaling asymmetry; sampling-fits-the-regime, held loosely). 6.3 Limitations. 6.4 Threats to validity incl. security.</w:t>
      </w:r>
    </w:p>
    <w:p>
      <w:pPr>
        <w:pStyle w:val="ListParagraph"/>
        <w:numPr>
          <w:ilvl w:val="0"/>
          <w:numId w:val="2"/>
        </w:numPr>
        <w:spacing w:after="100" w:line="33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7.1 Conclusion (formulation is the durable artifact). 7.2 Future work: annealing transfer of the identical QUBO, adiabatic/counterdiabatic protocols, constraint-preserving mixers, time-indexed extension, robust QUBO, learning-in-the-loop.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1A1A1A"/>
          <w:sz w:val="27"/>
          <w:szCs w:val="27"/>
        </w:rPr>
        <w:t xml:space="preserve">Threading the Required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5700"/>
      </w:tblGrid>
      <w:tr>
        <w:trPr>
          <w:cantSplit/>
          <w:tblHeader/>
        </w:trPr>
        <w:tc>
          <w:tcPr>
            <w:tcW w:type="dxa" w:w="3660"/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5700"/>
            <w:shd w:fill="E8E4D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Where it carries weight</w:t>
            </w:r>
          </w:p>
        </w:tc>
      </w:tr>
      <w:tr>
        <w:trPr>
          <w:cantSplit/>
          <w:tblHeader w:val="false"/>
        </w:trPr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QUBO (primary contribution)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Ch. 3 entire; §5.5–5.6 sensitivity; §7.2 portability to annealing</w:t>
            </w:r>
          </w:p>
        </w:tc>
      </w:tr>
      <w:tr>
        <w:trPr>
          <w:cantSplit/>
          <w:tblHeader w:val="false"/>
        </w:trPr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IBM Quantum / QAOA (evaluation vehicle)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§2.2.3–2.2.4; §4.5.2 protocol; §5.4 hardware study; Appendix C run log</w:t>
            </w:r>
          </w:p>
        </w:tc>
      </w:tr>
      <w:tr>
        <w:trPr>
          <w:cantSplit/>
          <w:tblHeader w:val="false"/>
        </w:trPr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Hermes agents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§2.1.1 (why open weights); §4.3 (two model sizes ⇒ heterogeneity that makes assignment non-trivial)</w:t>
            </w:r>
          </w:p>
        </w:tc>
      </w:tr>
      <w:tr>
        <w:trPr>
          <w:cantSplit/>
          <w:tblHeader w:val="false"/>
        </w:trPr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Obsidian AI brain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§2.1.2; §4.2 schema; affinity coefficients from backlinks (§3.1) — the vault graph literally becomes Q's off-diagonals</w:t>
            </w:r>
          </w:p>
        </w:tc>
      </w:tr>
      <w:tr>
        <w:trPr>
          <w:cantSplit/>
          <w:tblHeader w:val="false"/>
        </w:trPr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Harness engineering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§2.1.3; §4.3 — harness as the instrument producing every model coefficient</w:t>
            </w:r>
          </w:p>
        </w:tc>
      </w:tr>
      <w:tr>
        <w:trPr>
          <w:cantSplit/>
          <w:tblHeader w:val="false"/>
        </w:trPr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MCP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Georgia" w:cs="Georgia" w:eastAsia="Georgia" w:hAnsi="Georgia"/>
                <w:b w:val="false"/>
                <w:bCs w:val="false"/>
                <w:sz w:val="20"/>
                <w:szCs w:val="20"/>
              </w:rPr>
              <w:t xml:space="preserve">§2.1.4; §4.1 architecture; §4.4 security; Appendix B schemas</w:t>
            </w:r>
          </w:p>
        </w:tc>
      </w:tr>
    </w:tbl>
    <w:p>
      <w:pPr>
        <w:spacing w:after="240" w:before="80"/>
        <w:jc w:val="center"/>
      </w:pPr>
      <w:r>
        <w:rPr>
          <w:rFonts w:ascii="Georgia" w:cs="Georgia" w:eastAsia="Georgia" w:hAnsi="Georgia"/>
          <w:i/>
          <w:iCs/>
          <w:color w:val="444444"/>
          <w:sz w:val="20"/>
          <w:szCs w:val="20"/>
        </w:rPr>
        <w:t xml:space="preserve">Traceability of the required components through the document.</w:t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1A1A1A"/>
          <w:sz w:val="27"/>
          <w:szCs w:val="27"/>
        </w:rPr>
        <w:t xml:space="preserve">Writing and Defence Notes</w:t>
      </w:r>
    </w:p>
    <w:p>
      <w:pPr>
        <w:pStyle w:val="ListParagraph"/>
        <w:numPr>
          <w:ilvl w:val="0"/>
          <w:numId w:val="2"/>
        </w:numPr>
        <w:spacing w:after="100" w:line="33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Voice: first person, plain, hedged where evidence is thin; failures and dead ends narrated (queue times, the depth blow-up, the poisoning incident) — they are evidence of real work.</w:t>
      </w:r>
    </w:p>
    <w:p>
      <w:pPr>
        <w:pStyle w:val="ListParagraph"/>
        <w:numPr>
          <w:ilvl w:val="0"/>
          <w:numId w:val="2"/>
        </w:numPr>
        <w:spacing w:after="100" w:line="33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The no-advantage stance is stated in §1.5 and never contradicted; examiners reward it and industry readers trust it.</w:t>
      </w:r>
    </w:p>
    <w:p>
      <w:pPr>
        <w:pStyle w:val="ListParagraph"/>
        <w:numPr>
          <w:ilvl w:val="0"/>
          <w:numId w:val="2"/>
        </w:numPr>
        <w:spacing w:after="100" w:line="33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Every hardware claim is pinned to a backend, calibration snapshot, and shot count (Appendix C); every coefficient to a producer (Table 3.1).</w:t>
      </w:r>
    </w:p>
    <w:p>
      <w:pPr>
        <w:pStyle w:val="ListParagraph"/>
        <w:numPr>
          <w:ilvl w:val="0"/>
          <w:numId w:val="2"/>
        </w:numPr>
        <w:spacing w:after="100" w:line="336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Industry hook for the abstract and defence: the pipeline delivers measurable value classically today (utility and token savings over greedy) and is quantum-ready by construction — 'build the QUBO once, choose the solver by the decade.'</w:t>
      </w:r>
    </w:p>
    <w:sectPr>
      <w:footerReference w:type="default" r:id="rId7"/>
      <w:pgSz w:w="12240" w:h="15840" w:orient="portrait"/>
      <w:pgMar w:top="1440" w:right="1440" w:bottom="1440" w:left="1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Thesis Structure — QUBO Orchestration of AI Agent Workforces</dc:title>
  <dc:creator>Wilcox Kim</dc:creator>
  <cp:lastModifiedBy>Un-named</cp:lastModifiedBy>
  <cp:revision>1</cp:revision>
  <dcterms:created xsi:type="dcterms:W3CDTF">2026-07-11T12:33:58.469Z</dcterms:created>
  <dcterms:modified xsi:type="dcterms:W3CDTF">2026-07-11T12:33:58.469Z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