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1522" w14:textId="77777777" w:rsidR="00FF43F3" w:rsidRDefault="00FB2F0F">
      <w:pPr>
        <w:pStyle w:val="Heading1"/>
      </w:pPr>
      <w:r>
        <w:t>Statistical/ML Innovation in Cybersecurity: Student-Feasible Research Landscape</w:t>
      </w:r>
    </w:p>
    <w:p w14:paraId="6683F310" w14:textId="77777777" w:rsidR="00FF43F3" w:rsidRDefault="00FB2F0F">
      <w:r>
        <w:rPr>
          <w:b/>
          <w:bCs/>
        </w:rPr>
        <w:t>Evidence window:</w:t>
      </w:r>
      <w:r>
        <w:t xml:space="preserve"> 1 October 2024–7 October 2026, the latest date currently observable. I have not treated material scheduled after 7 October 2026 as completed evidence. Older work is included only where it defines a benchmark lineage or exposes a persistent methodological problem.</w:t>
      </w:r>
    </w:p>
    <w:p w14:paraId="672A6659" w14:textId="77777777" w:rsidR="00FF43F3" w:rsidRDefault="00FB2F0F">
      <w:r>
        <w:rPr>
          <w:noProof/>
        </w:rPr>
        <w:drawing>
          <wp:inline distT="0" distB="0" distL="0" distR="0" wp14:anchorId="170C061B" wp14:editId="07777777">
            <wp:extent cx="5734050" cy="2752725"/>
            <wp:effectExtent l="0" t="0" r="0" b="0"/>
            <wp:docPr id="1" name="Picture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DF51" w14:textId="77777777" w:rsidR="00FF43F3" w:rsidRDefault="00FB2F0F">
      <w:pPr>
        <w:pStyle w:val="Heading2"/>
      </w:pPr>
      <w:r>
        <w:t>Concise overview</w:t>
      </w:r>
    </w:p>
    <w:p w14:paraId="5A28B60D" w14:textId="77777777" w:rsidR="00FF43F3" w:rsidRDefault="00FB2F0F">
      <w:pPr>
        <w:pStyle w:val="Heading3"/>
      </w:pPr>
      <w:r>
        <w:t xml:space="preserve">Priority 1 — </w:t>
      </w:r>
      <w:r>
        <w:rPr>
          <w:b/>
          <w:bCs/>
        </w:rPr>
        <w:t>Calibrated tabular intrusion/anomaly detection under shift</w:t>
      </w:r>
    </w:p>
    <w:p w14:paraId="5FF36824" w14:textId="77777777" w:rsidR="00FF43F3" w:rsidRDefault="00FB2F0F">
      <w:r>
        <w:t xml:space="preserve">This is the strongest intersection of </w:t>
      </w:r>
      <w:r>
        <w:rPr>
          <w:b/>
          <w:bCs/>
        </w:rPr>
        <w:t>statistical innovation, TabPFN-style foundation models, modest compute and industry relevance</w:t>
      </w:r>
      <w:r>
        <w:t>. The recent tabular-foundation-model evidence is genuinely strong on small IID datasets, but fine-tuning experiments show reduced stability under gradual temporal shift and rich feature sets; a 2026 uncertainty study also found that high-AUC tabular foundation models had poorer conditional conformal coverage than gradient-boosted trees. Those limitations align unusually well with operational IDS requirements: rare attacks, changing traffic, asymmetric false-positive costs and the need to know when a predic</w:t>
      </w:r>
      <w:r>
        <w:t>tion is unreliable.</w:t>
      </w:r>
      <w:hyperlink r:id="rId6" w:history="1">
        <w:r>
          <w:rPr>
            <w:rStyle w:val="Hyperlink"/>
          </w:rPr>
          <w:t>1</w:t>
        </w:r>
      </w:hyperlink>
      <w:r>
        <w:t xml:space="preserve"> </w:t>
      </w:r>
      <w:hyperlink r:id="rId7" w:history="1">
        <w:r>
          <w:rPr>
            <w:rStyle w:val="Hyperlink"/>
          </w:rPr>
          <w:t>2</w:t>
        </w:r>
      </w:hyperlink>
    </w:p>
    <w:p w14:paraId="70FCA979" w14:textId="77777777" w:rsidR="00FF43F3" w:rsidRDefault="00FB2F0F">
      <w:r>
        <w:t xml:space="preserve">A tractable UCL question would therefore be: </w:t>
      </w:r>
      <w:r>
        <w:rPr>
          <w:b/>
          <w:bCs/>
        </w:rPr>
        <w:t>“When do tabular foundation models outperform calibrated GBDTs for cyber detection under temporal/device/domain shift, and can conformal or drift-aware calibration make their alerts more operationally trustworthy?”</w:t>
      </w:r>
      <w:r>
        <w:t xml:space="preserve"> An open implementation already integrates TabPFN, TabICL, TabNet and classical models with CIC-IDS2017, N-BaIoT and CIC-UNSW pipelines, although it is a small community artefact rather than validation evidence.</w:t>
      </w:r>
      <w:hyperlink r:id="rId8" w:history="1">
        <w:r>
          <w:rPr>
            <w:rStyle w:val="Hyperlink"/>
          </w:rPr>
          <w:t>3</w:t>
        </w:r>
      </w:hyperlink>
      <w:r>
        <w:t xml:space="preserve"> </w:t>
      </w:r>
      <w:hyperlink r:id="rId9" w:history="1">
        <w:r>
          <w:rPr>
            <w:rStyle w:val="Hyperlink"/>
          </w:rPr>
          <w:t>4</w:t>
        </w:r>
      </w:hyperlink>
    </w:p>
    <w:p w14:paraId="20DEC0B4" w14:textId="77777777" w:rsidR="00FF43F3" w:rsidRDefault="00FB2F0F">
      <w:pPr>
        <w:pStyle w:val="Heading3"/>
      </w:pPr>
      <w:r>
        <w:t xml:space="preserve">Priority 2 — </w:t>
      </w:r>
      <w:r>
        <w:rPr>
          <w:b/>
          <w:bCs/>
        </w:rPr>
        <w:t>Temporal and evasive malware detection</w:t>
      </w:r>
    </w:p>
    <w:p w14:paraId="62B2D059" w14:textId="77777777" w:rsidR="00FF43F3" w:rsidRDefault="00FB2F0F">
      <w:r>
        <w:t xml:space="preserve">EMBER2024, published at KDD 2025, materially improves student feasibility: it contains features and labels for more than </w:t>
      </w:r>
      <w:r>
        <w:rPr>
          <w:b/>
          <w:bCs/>
        </w:rPr>
        <w:t>3.2 million files across six formats</w:t>
      </w:r>
      <w:r>
        <w:t>, seven label/tag families, chronological training/testing and a deliberately evasive challenge set.</w:t>
      </w:r>
      <w:hyperlink r:id="rId10" w:history="1">
        <w:r>
          <w:rPr>
            <w:rStyle w:val="Hyperlink"/>
          </w:rPr>
          <w:t>5</w:t>
        </w:r>
      </w:hyperlink>
      <w:r>
        <w:t xml:space="preserve"> </w:t>
      </w:r>
      <w:hyperlink r:id="rId11" w:history="1">
        <w:r>
          <w:rPr>
            <w:rStyle w:val="Hyperlink"/>
          </w:rPr>
          <w:t>6</w:t>
        </w:r>
      </w:hyperlink>
      <w:r>
        <w:t xml:space="preserve"> The official repository records 2,626,000 training and 606,000 test files, plus 6,315 malicious files initially missed by roughly 70 antivirus products; crucially, students can download smaller file-type subsets rather than the full tens-of-gigabytes corpus.</w:t>
      </w:r>
      <w:hyperlink r:id="rId12" w:history="1">
        <w:r>
          <w:rPr>
            <w:rStyle w:val="Hyperlink"/>
          </w:rPr>
          <w:t>6</w:t>
        </w:r>
      </w:hyperlink>
    </w:p>
    <w:p w14:paraId="63896B66" w14:textId="77777777" w:rsidR="00FF43F3" w:rsidRDefault="00FB2F0F">
      <w:r>
        <w:t xml:space="preserve">The best project is not “beat LightGBM on malware accuracy”. It is </w:t>
      </w:r>
      <w:r>
        <w:rPr>
          <w:b/>
          <w:bCs/>
        </w:rPr>
        <w:t>selective prediction under drift</w:t>
      </w:r>
      <w:r>
        <w:t>: compare GBDT, compact neural and tabular-foundation approaches on a manageable PDF, ELF, APK or sampled PE subset; measure temporal degradation, challenge-set recall, calibration and abstention at strict false-positive budgets.</w:t>
      </w:r>
    </w:p>
    <w:p w14:paraId="739BA5CF" w14:textId="77777777" w:rsidR="00FF43F3" w:rsidRDefault="00FB2F0F">
      <w:pPr>
        <w:pStyle w:val="Heading3"/>
      </w:pPr>
      <w:r>
        <w:t xml:space="preserve">Priority 3 — </w:t>
      </w:r>
      <w:r>
        <w:rPr>
          <w:b/>
          <w:bCs/>
        </w:rPr>
        <w:t>Modern phishing detection under generator and domain shift</w:t>
      </w:r>
    </w:p>
    <w:p w14:paraId="3897BC77" w14:textId="77777777" w:rsidR="00FF43F3" w:rsidRDefault="00FB2F0F">
      <w:r>
        <w:t xml:space="preserve">The 2025 E-PhishGen study found that legacy phishing datasets are frequently obsolete, English-heavy and deceptively easy under within-dataset testing; its multilingual E-PhishLLM benchmark contains </w:t>
      </w:r>
      <w:r>
        <w:rPr>
          <w:b/>
          <w:bCs/>
        </w:rPr>
        <w:t>16,616 emails in three languages</w:t>
      </w:r>
      <w:r>
        <w:t xml:space="preserve"> and produced substantially lower detector performance than legacy benchmarks.</w:t>
      </w:r>
      <w:hyperlink r:id="rId13" w:history="1">
        <w:r>
          <w:rPr>
            <w:rStyle w:val="Hyperlink"/>
          </w:rPr>
          <w:t>7</w:t>
        </w:r>
      </w:hyperlink>
      <w:r>
        <w:t xml:space="preserve"> A peer-reviewed July 2026 study then found a </w:t>
      </w:r>
      <w:r>
        <w:rPr>
          <w:b/>
          <w:bCs/>
        </w:rPr>
        <w:t>28-point cross-generator F1 gap</w:t>
      </w:r>
      <w:r>
        <w:t xml:space="preserve"> for stylometric detection of LLM-written phishing, despite off-diagonal AUC remaining above 0.96. Threshold recalibration reduced that gap to four points, whereas pooled multi-generator training reached F1 0.997—but only for the narrower task of distinguishing human-written from LLM-written phishing, not phishing from legitimate mail.</w:t>
      </w:r>
      <w:hyperlink r:id="rId14" w:history="1">
        <w:r>
          <w:rPr>
            <w:rStyle w:val="Hyperlink"/>
          </w:rPr>
          <w:t>8</w:t>
        </w:r>
      </w:hyperlink>
    </w:p>
    <w:p w14:paraId="0B3202F9" w14:textId="77777777" w:rsidR="00FF43F3" w:rsidRDefault="00FB2F0F">
      <w:r>
        <w:t xml:space="preserve">This makes a statistically clean student project possible: </w:t>
      </w:r>
      <w:r>
        <w:rPr>
          <w:b/>
          <w:bCs/>
        </w:rPr>
        <w:t>calibration and robustness of phishing detectors across generators, languages, corpora and writing registers</w:t>
      </w:r>
      <w:r>
        <w:t>, including whether unsupervised or low-label recalibration works when the source generator is unknown.</w:t>
      </w:r>
    </w:p>
    <w:p w14:paraId="22A82886" w14:textId="77777777" w:rsidR="00FF43F3" w:rsidRDefault="00FB2F0F">
      <w:pPr>
        <w:pStyle w:val="Heading3"/>
      </w:pPr>
      <w:r>
        <w:t xml:space="preserve">Priority 4 — </w:t>
      </w:r>
      <w:r>
        <w:rPr>
          <w:b/>
          <w:bCs/>
        </w:rPr>
        <w:t>Context-aware software vulnerability detection</w:t>
      </w:r>
    </w:p>
    <w:p w14:paraId="51225C34" w14:textId="77777777" w:rsidR="00FF43F3" w:rsidRDefault="00FB2F0F">
      <w:r>
        <w:t xml:space="preserve">Recent evidence is both innovative and sobering. PrimeVul showed that a 7B code model’s F1 fell from </w:t>
      </w:r>
      <w:r>
        <w:rPr>
          <w:b/>
          <w:bCs/>
        </w:rPr>
        <w:t>68.26% on BigVul to 3.09% on PrimeVul</w:t>
      </w:r>
      <w:r>
        <w:t xml:space="preserve"> under more realistic deduplication and chronological evaluation.</w:t>
      </w:r>
      <w:hyperlink r:id="rId15" w:history="1">
        <w:r>
          <w:rPr>
            <w:rStyle w:val="Hyperlink"/>
          </w:rPr>
          <w:t>9</w:t>
        </w:r>
      </w:hyperlink>
      <w:r>
        <w:t xml:space="preserve"> SecVulEval contains </w:t>
      </w:r>
      <w:r>
        <w:rPr>
          <w:b/>
          <w:bCs/>
        </w:rPr>
        <w:t>25,440 C/C++ function samples from 5,867 CVEs</w:t>
      </w:r>
      <w:r>
        <w:t xml:space="preserve"> with statement-level labels and context; its best reported model achieved only </w:t>
      </w:r>
      <w:r>
        <w:rPr>
          <w:b/>
          <w:bCs/>
        </w:rPr>
        <w:t>23.83% F1</w:t>
      </w:r>
      <w:r>
        <w:t xml:space="preserve"> for identifying vulnerable statements with correct reasoning.</w:t>
      </w:r>
      <w:hyperlink r:id="rId16" w:history="1">
        <w:r>
          <w:rPr>
            <w:rStyle w:val="Hyperlink"/>
          </w:rPr>
          <w:t>10</w:t>
        </w:r>
      </w:hyperlink>
    </w:p>
    <w:p w14:paraId="48F31D3B" w14:textId="77777777" w:rsidR="00FF43F3" w:rsidRDefault="00FB2F0F">
      <w:r>
        <w:t xml:space="preserve">JITVul adds a particularly valuable experimental design: </w:t>
      </w:r>
      <w:r>
        <w:rPr>
          <w:b/>
          <w:bCs/>
        </w:rPr>
        <w:t>1,758 vulnerable/patched commit pairs from 879 CVEs and 91 CWEs</w:t>
      </w:r>
      <w:r>
        <w:t>. ReAct agents improved paired accuracy through adaptive context retrieval, but often over-predicted vulnerabilities, over-analysed patched guards and behaved inconsistently across a vulnerable/fixed pair.</w:t>
      </w:r>
      <w:hyperlink r:id="rId17" w:history="1">
        <w:r>
          <w:rPr>
            <w:rStyle w:val="Hyperlink"/>
          </w:rPr>
          <w:t>11</w:t>
        </w:r>
      </w:hyperlink>
      <w:r>
        <w:t xml:space="preserve"> This area offers high academic novelty, although repository parsing, code context and model/API costs make it somewhat less straightforward than tabular IDS, phishing or malware.</w:t>
      </w:r>
    </w:p>
    <w:p w14:paraId="7B353662" w14:textId="77777777" w:rsidR="00FF43F3" w:rsidRDefault="00FB2F0F">
      <w:pPr>
        <w:pStyle w:val="Heading3"/>
      </w:pPr>
      <w:r>
        <w:t xml:space="preserve">Priority 5 — </w:t>
      </w:r>
      <w:r>
        <w:rPr>
          <w:b/>
          <w:bCs/>
        </w:rPr>
        <w:t>CTI and SOC analyst augmentation</w:t>
      </w:r>
    </w:p>
    <w:p w14:paraId="4044AA78" w14:textId="77777777" w:rsidR="00FF43F3" w:rsidRDefault="00FB2F0F">
      <w:r>
        <w:t xml:space="preserve">CTIBench provides </w:t>
      </w:r>
      <w:r>
        <w:rPr>
          <w:b/>
          <w:bCs/>
        </w:rPr>
        <w:t>4,610 released examples</w:t>
      </w:r>
      <w:r>
        <w:t xml:space="preserve"> spanning CTI knowledge, CWE mapping, CVSS prediction, ATT&amp;CK extraction and threat attribution. Its strongest tested model achieved 71% CTI knowledge accuracy, 72% root-cause mapping accuracy and macro-F1 0.639 on ATT&amp;CK extraction—useful but not evidence for autonomous intelligence production.</w:t>
      </w:r>
      <w:hyperlink r:id="rId18" w:history="1">
        <w:r>
          <w:rPr>
            <w:rStyle w:val="Hyperlink"/>
          </w:rPr>
          <w:t>12</w:t>
        </w:r>
      </w:hyperlink>
      <w:r>
        <w:t xml:space="preserve"> </w:t>
      </w:r>
      <w:hyperlink r:id="rId19" w:history="1">
        <w:r>
          <w:rPr>
            <w:rStyle w:val="Hyperlink"/>
          </w:rPr>
          <w:t>13</w:t>
        </w:r>
      </w:hyperlink>
      <w:r>
        <w:t xml:space="preserve"> More recent work identifies CTI-specific failure mechanisms: superficial correlations, contradictory sources and weak generalisation to emerging threats.</w:t>
      </w:r>
      <w:hyperlink r:id="rId20" w:history="1">
        <w:r>
          <w:rPr>
            <w:rStyle w:val="Hyperlink"/>
          </w:rPr>
          <w:t>14</w:t>
        </w:r>
      </w:hyperlink>
    </w:p>
    <w:p w14:paraId="2310DEA5" w14:textId="77777777" w:rsidR="00FF43F3" w:rsidRDefault="00FB2F0F">
      <w:r>
        <w:t xml:space="preserve">A 2025 longitudinal preprint covering </w:t>
      </w:r>
      <w:r>
        <w:rPr>
          <w:b/>
          <w:bCs/>
        </w:rPr>
        <w:t>3,090 queries from 45 SOC analysts over ten months</w:t>
      </w:r>
      <w:r>
        <w:t xml:space="preserve"> found that analysts mainly used LLMs for sensemaking, telemetry interpretation and communication rather than high-stakes determinations.</w:t>
      </w:r>
      <w:hyperlink r:id="rId21" w:history="1">
        <w:r>
          <w:rPr>
            <w:rStyle w:val="Hyperlink"/>
          </w:rPr>
          <w:t>15</w:t>
        </w:r>
      </w:hyperlink>
      <w:r>
        <w:t xml:space="preserve"> This supports an </w:t>
      </w:r>
      <w:r>
        <w:rPr>
          <w:b/>
          <w:bCs/>
        </w:rPr>
        <w:t>assistive analyst</w:t>
      </w:r>
      <w:r>
        <w:t xml:space="preserve"> project—evidence-grounded extraction, calibrated confidence and human review—not autonomous triage.</w:t>
      </w:r>
    </w:p>
    <w:p w14:paraId="0D8511F9" w14:textId="77777777" w:rsidR="00FF43F3" w:rsidRDefault="00FB2F0F">
      <w:r>
        <w:t>The following diagram shows how the three Generative-Data Science strands fit these priorities and where evaluation controls must sit. General data-science agents still perform modestly on executable analytical benchmarks, while tabular foundation models remain sensitive to shift and uncertainty; cyber agents similarly require paired, temporal and operational evaluation rather than a single headline score.</w:t>
      </w:r>
      <w:hyperlink r:id="rId22" w:history="1">
        <w:r>
          <w:rPr>
            <w:rStyle w:val="Hyperlink"/>
          </w:rPr>
          <w:t>16</w:t>
        </w:r>
      </w:hyperlink>
      <w:r>
        <w:t xml:space="preserve"> </w:t>
      </w:r>
      <w:hyperlink r:id="rId23" w:history="1">
        <w:r>
          <w:rPr>
            <w:rStyle w:val="Hyperlink"/>
          </w:rPr>
          <w:t>1</w:t>
        </w:r>
      </w:hyperlink>
      <w:r>
        <w:t xml:space="preserve"> </w:t>
      </w:r>
      <w:hyperlink r:id="rId24" w:history="1">
        <w:r>
          <w:rPr>
            <w:rStyle w:val="Hyperlink"/>
          </w:rPr>
          <w:t>11</w:t>
        </w:r>
      </w:hyperlink>
    </w:p>
    <w:p w14:paraId="0A37501D" w14:textId="77777777" w:rsidR="00FF43F3" w:rsidRDefault="00FB2F0F">
      <w:r>
        <w:rPr>
          <w:noProof/>
        </w:rPr>
        <w:drawing>
          <wp:inline distT="0" distB="0" distL="0" distR="0" wp14:anchorId="042E6159" wp14:editId="07777777">
            <wp:extent cx="5734050" cy="3819525"/>
            <wp:effectExtent l="0" t="0" r="0" b="0"/>
            <wp:docPr id="2074702968" name="Picture 2074702968" descr="Generative Data Science Cybersecurity Research Map" title="Generative Data Science Cybersecurity Research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1B5B" w14:textId="77777777" w:rsidR="00FF43F3" w:rsidRDefault="00FB2F0F">
      <w:r>
        <w:rPr>
          <w:i/>
          <w:iCs/>
        </w:rPr>
        <w:t>Figure 1: Three Generative-Data Science strands can contribute at different stages, but every cyber experiment should pass temporal, cross-domain, calibration and operational-usefulness checks.</w:t>
      </w:r>
    </w:p>
    <w:p w14:paraId="5DAB6C7B" w14:textId="77777777" w:rsidR="00FF43F3" w:rsidRDefault="00FF43F3">
      <w:pPr>
        <w:pBdr>
          <w:top w:val="single" w:sz="12" w:space="0" w:color="auto"/>
        </w:pBdr>
        <w:spacing w:after="0"/>
      </w:pPr>
    </w:p>
    <w:p w14:paraId="56140F12" w14:textId="77777777" w:rsidR="00FF43F3" w:rsidRDefault="00FB2F0F">
      <w:pPr>
        <w:pStyle w:val="Heading2"/>
      </w:pPr>
      <w:r>
        <w:t>Prioritised comparison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1200"/>
        <w:gridCol w:w="1472"/>
        <w:gridCol w:w="1339"/>
        <w:gridCol w:w="1985"/>
        <w:gridCol w:w="1601"/>
      </w:tblGrid>
      <w:tr w:rsidR="00FF43F3" w14:paraId="606E9B23" w14:textId="77777777" w:rsidTr="00FF4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F4B65F" w14:textId="77777777" w:rsidR="00FF43F3" w:rsidRDefault="00FB2F0F">
            <w:r>
              <w:t>Cybersecurity problem area</w:t>
            </w:r>
          </w:p>
        </w:tc>
        <w:tc>
          <w:tcPr>
            <w:tcW w:w="0" w:type="auto"/>
            <w:vAlign w:val="center"/>
          </w:tcPr>
          <w:p w14:paraId="13E9A181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Challenge</w:t>
            </w:r>
          </w:p>
        </w:tc>
        <w:tc>
          <w:tcPr>
            <w:tcW w:w="0" w:type="auto"/>
            <w:vAlign w:val="center"/>
          </w:tcPr>
          <w:p w14:paraId="24924C10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Methods</w:t>
            </w:r>
          </w:p>
        </w:tc>
        <w:tc>
          <w:tcPr>
            <w:tcW w:w="0" w:type="auto"/>
            <w:vAlign w:val="center"/>
          </w:tcPr>
          <w:p w14:paraId="78567A36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and limitations</w:t>
            </w:r>
          </w:p>
        </w:tc>
        <w:tc>
          <w:tcPr>
            <w:tcW w:w="0" w:type="auto"/>
            <w:vAlign w:val="center"/>
          </w:tcPr>
          <w:p w14:paraId="20528E6E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 gap</w:t>
            </w:r>
          </w:p>
        </w:tc>
        <w:tc>
          <w:tcPr>
            <w:tcW w:w="0" w:type="auto"/>
            <w:vAlign w:val="center"/>
          </w:tcPr>
          <w:p w14:paraId="7198E7C1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 datasets or benchmarks</w:t>
            </w:r>
          </w:p>
        </w:tc>
      </w:tr>
      <w:tr w:rsidR="00FF43F3" w14:paraId="27A6ED3A" w14:textId="77777777" w:rsidTr="00FF4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0654CB" w14:textId="77777777" w:rsidR="00FF43F3" w:rsidRDefault="00FB2F0F">
            <w:r>
              <w:t>1. Intrusion/anomaly detection under shift</w:t>
            </w:r>
          </w:p>
        </w:tc>
        <w:tc>
          <w:tcPr>
            <w:tcW w:w="0" w:type="auto"/>
            <w:vAlign w:val="center"/>
          </w:tcPr>
          <w:p w14:paraId="3F7C54EB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imbalanced attacks; traffic changes by device, network and time; false positives dominate usefulness</w:t>
            </w:r>
          </w:p>
        </w:tc>
        <w:tc>
          <w:tcPr>
            <w:tcW w:w="0" w:type="auto"/>
            <w:vAlign w:val="center"/>
          </w:tcPr>
          <w:p w14:paraId="7D1E781A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GBDT, isolation/anomaly models, deep tabular models, TabPFN/TabICL, conformal prediction, drift detection, active learning</w:t>
            </w:r>
          </w:p>
        </w:tc>
        <w:tc>
          <w:tcPr>
            <w:tcW w:w="0" w:type="auto"/>
            <w:vAlign w:val="center"/>
          </w:tcPr>
          <w:p w14:paraId="4E3B02DB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 outside cyber:</w:t>
            </w:r>
            <w:r>
              <w:t xml:space="preserve"> TFMs are competitive on small tabular problems. </w:t>
            </w:r>
            <w:r>
              <w:rPr>
                <w:b/>
                <w:bCs/>
              </w:rPr>
              <w:t>Emerging in cyber:</w:t>
            </w:r>
            <w:r>
              <w:t xml:space="preserve"> open IDS frameworks now include TabPFN/TabICL. </w:t>
            </w:r>
            <w:r>
              <w:rPr>
                <w:b/>
                <w:bCs/>
              </w:rPr>
              <w:t>Limitation:</w:t>
            </w:r>
            <w:r>
              <w:t xml:space="preserve"> fine-tuned TabPFNv2 was less stable under temporal shift; TFMs showed weaker uncertainty coverage than GBDTs.</w:t>
            </w:r>
            <w:hyperlink r:id="rId26" w:history="1">
              <w:r>
                <w:rPr>
                  <w:rStyle w:val="Hyperlink"/>
                </w:rPr>
                <w:t>1</w:t>
              </w:r>
            </w:hyperlink>
            <w:r>
              <w:t xml:space="preserve"> </w:t>
            </w:r>
            <w:hyperlink r:id="rId27" w:history="1">
              <w:r>
                <w:rPr>
                  <w:rStyle w:val="Hyperlink"/>
                </w:rPr>
                <w:t>2</w:t>
              </w:r>
            </w:hyperlink>
            <w:r>
              <w:t xml:space="preserve"> </w:t>
            </w:r>
            <w:hyperlink r:id="rId28" w:history="1">
              <w:r>
                <w:rPr>
                  <w:rStyle w:val="Hyperlink"/>
                </w:rPr>
                <w:t>3</w:t>
              </w:r>
            </w:hyperlink>
          </w:p>
        </w:tc>
        <w:tc>
          <w:tcPr>
            <w:tcW w:w="0" w:type="auto"/>
            <w:vAlign w:val="center"/>
          </w:tcPr>
          <w:p w14:paraId="0717123E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Compare IID, temporal and device/site-held-out performance; conditional coverage by attack family; calibrated abstention; label-efficient adaptation after drift</w:t>
            </w:r>
          </w:p>
        </w:tc>
        <w:tc>
          <w:tcPr>
            <w:tcW w:w="0" w:type="auto"/>
            <w:vAlign w:val="center"/>
          </w:tcPr>
          <w:p w14:paraId="21E7E982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CIC-IDS2017, N-BaIoT and CIC-UNSW loaders in the open AI-for-IDS framework. Dataset licences, split semantics and raw-capture provenance should be independently checked before freezing the protocol.</w:t>
            </w:r>
            <w:hyperlink r:id="rId29" w:history="1">
              <w:r>
                <w:rPr>
                  <w:rStyle w:val="Hyperlink"/>
                </w:rPr>
                <w:t>3</w:t>
              </w:r>
            </w:hyperlink>
          </w:p>
        </w:tc>
      </w:tr>
      <w:tr w:rsidR="00FF43F3" w14:paraId="069A325D" w14:textId="77777777" w:rsidTr="00FF4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26FAEF" w14:textId="77777777" w:rsidR="00FF43F3" w:rsidRDefault="00FB2F0F">
            <w:r>
              <w:t>2. Malware detection, family and behaviour classification</w:t>
            </w:r>
          </w:p>
        </w:tc>
        <w:tc>
          <w:tcPr>
            <w:tcW w:w="0" w:type="auto"/>
            <w:vAlign w:val="center"/>
          </w:tcPr>
          <w:p w14:paraId="36378E0E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Novel families, temporal drift, evasive samples, noisy antivirus-derived labels and very low acceptable FPR</w:t>
            </w:r>
          </w:p>
        </w:tc>
        <w:tc>
          <w:tcPr>
            <w:tcW w:w="0" w:type="auto"/>
            <w:vAlign w:val="center"/>
          </w:tcPr>
          <w:p w14:paraId="3ECC8E1C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LightGBM/XGBoost, compact neural models, representation learning, TFMs on static features, conformal/selective classifiers, continual learning</w:t>
            </w:r>
          </w:p>
        </w:tc>
        <w:tc>
          <w:tcPr>
            <w:tcW w:w="0" w:type="auto"/>
            <w:vAlign w:val="center"/>
          </w:tcPr>
          <w:p w14:paraId="586935CF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EMBER2024 supplies chronological splits and an evasive challenge set across six formats. </w:t>
            </w:r>
            <w:r>
              <w:rPr>
                <w:b/>
                <w:bCs/>
              </w:rPr>
              <w:t>Limitation:</w:t>
            </w:r>
            <w:r>
              <w:t xml:space="preserve"> labels remain partly derived from antivirus consensus; the full corpus is large and feature-based experiments do not test dynamic behaviour.</w:t>
            </w:r>
            <w:hyperlink r:id="rId30" w:history="1">
              <w:r>
                <w:rPr>
                  <w:rStyle w:val="Hyperlink"/>
                </w:rPr>
                <w:t>5</w:t>
              </w:r>
            </w:hyperlink>
            <w:r>
              <w:t xml:space="preserve"> </w:t>
            </w:r>
            <w:hyperlink r:id="rId31" w:history="1">
              <w:r>
                <w:rPr>
                  <w:rStyle w:val="Hyperlink"/>
                </w:rPr>
                <w:t>6</w:t>
              </w:r>
            </w:hyperlink>
          </w:p>
        </w:tc>
        <w:tc>
          <w:tcPr>
            <w:tcW w:w="0" w:type="auto"/>
            <w:vAlign w:val="center"/>
          </w:tcPr>
          <w:p w14:paraId="4C87C491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Which models retain calibration and recall on later weeks and evasive samples? Can uncertainty identify new-family or label-noise cases? Does adaptation improve drift without forgetting?</w:t>
            </w:r>
          </w:p>
        </w:tc>
        <w:tc>
          <w:tcPr>
            <w:tcW w:w="0" w:type="auto"/>
            <w:vAlign w:val="center"/>
          </w:tcPr>
          <w:p w14:paraId="6FC0C452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EMBER2024:</w:t>
            </w:r>
            <w:r>
              <w:t xml:space="preserve"> &gt;3.2m files, 2.626m train/606k temporal test, 6,315 challenge, Apache-2.0 repository; individual PDF/ELF/APK subsets are practical. </w:t>
            </w:r>
            <w:r>
              <w:rPr>
                <w:b/>
                <w:bCs/>
              </w:rPr>
              <w:t>BODMAS:</w:t>
            </w:r>
            <w:r>
              <w:t xml:space="preserve"> 57,293 malware + 77,142 benign, timestamped, but 2019–20 and binary access is restricted; useful as an older cross-dataset check.</w:t>
            </w:r>
            <w:hyperlink r:id="rId32" w:history="1">
              <w:r>
                <w:rPr>
                  <w:rStyle w:val="Hyperlink"/>
                </w:rPr>
                <w:t>6</w:t>
              </w:r>
            </w:hyperlink>
            <w:r>
              <w:t xml:space="preserve"> </w:t>
            </w:r>
            <w:hyperlink r:id="rId33" w:history="1">
              <w:r>
                <w:rPr>
                  <w:rStyle w:val="Hyperlink"/>
                </w:rPr>
                <w:t>17</w:t>
              </w:r>
            </w:hyperlink>
          </w:p>
        </w:tc>
      </w:tr>
      <w:tr w:rsidR="00FF43F3" w14:paraId="2CEE9AF9" w14:textId="77777777" w:rsidTr="00FF4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92B6DB" w14:textId="77777777" w:rsidR="00FF43F3" w:rsidRDefault="00FB2F0F">
            <w:r>
              <w:t>3. Phishing and AI-generated social engineering</w:t>
            </w:r>
          </w:p>
        </w:tc>
        <w:tc>
          <w:tcPr>
            <w:tcW w:w="0" w:type="auto"/>
            <w:vAlign w:val="center"/>
          </w:tcPr>
          <w:p w14:paraId="261104E5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Legacy corpora look solved; generators, languages, themes and register shift rapidly</w:t>
            </w:r>
          </w:p>
        </w:tc>
        <w:tc>
          <w:tcPr>
            <w:tcW w:w="0" w:type="auto"/>
            <w:vAlign w:val="center"/>
          </w:tcPr>
          <w:p w14:paraId="5266E2F6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TF-IDF/linear models, gradient boosting, transformer embeddings, LLM classifiers, stylometry, calibration and domain adaptation</w:t>
            </w:r>
          </w:p>
        </w:tc>
        <w:tc>
          <w:tcPr>
            <w:tcW w:w="0" w:type="auto"/>
            <w:vAlign w:val="center"/>
          </w:tcPr>
          <w:p w14:paraId="3D7EA06D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same-dataset testing can be near-perfect yet unrepresentative. </w:t>
            </w:r>
            <w:r>
              <w:rPr>
                <w:b/>
                <w:bCs/>
              </w:rPr>
              <w:t>Established recent result:</w:t>
            </w:r>
            <w:r>
              <w:t xml:space="preserve"> cross-generator stylometric F1 degraded by 28 points; recalibration recovered most of the loss. </w:t>
            </w:r>
            <w:r>
              <w:rPr>
                <w:b/>
                <w:bCs/>
              </w:rPr>
              <w:t>Limitation:</w:t>
            </w:r>
            <w:r>
              <w:t xml:space="preserve"> synthetic-email prompts can create obvious artefacts, and authorship detection is not phishing detection.</w:t>
            </w:r>
            <w:hyperlink r:id="rId34" w:history="1">
              <w:r>
                <w:rPr>
                  <w:rStyle w:val="Hyperlink"/>
                </w:rPr>
                <w:t>7</w:t>
              </w:r>
            </w:hyperlink>
            <w:r>
              <w:t xml:space="preserve"> </w:t>
            </w:r>
            <w:hyperlink r:id="rId35" w:history="1">
              <w:r>
                <w:rPr>
                  <w:rStyle w:val="Hyperlink"/>
                </w:rPr>
                <w:t>8</w:t>
              </w:r>
            </w:hyperlink>
          </w:p>
        </w:tc>
        <w:tc>
          <w:tcPr>
            <w:tcW w:w="0" w:type="auto"/>
            <w:vAlign w:val="center"/>
          </w:tcPr>
          <w:p w14:paraId="0BB760C0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Low-label or unsupervised recalibration; leave-one-generator/language/theme-out testing; adversarial register shifting; combined content, URL and header signals; calibrated human-review thresholds</w:t>
            </w:r>
          </w:p>
        </w:tc>
        <w:tc>
          <w:tcPr>
            <w:tcW w:w="0" w:type="auto"/>
            <w:vAlign w:val="center"/>
          </w:tcPr>
          <w:p w14:paraId="7C7BDFA1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E-PhishLLM:</w:t>
            </w:r>
            <w:r>
              <w:t xml:space="preserve"> 16,616 emails, three languages. </w:t>
            </w:r>
            <w:r>
              <w:rPr>
                <w:b/>
                <w:bCs/>
              </w:rPr>
              <w:t>Cross-model corpus:</w:t>
            </w:r>
            <w:r>
              <w:t xml:space="preserve"> 9,986 phishing emails—5,000 human and 4,986 from three LLMs—publicly archived with code. </w:t>
            </w:r>
            <w:r>
              <w:rPr>
                <w:b/>
                <w:bCs/>
              </w:rPr>
              <w:t>MeAJOR:</w:t>
            </w:r>
            <w:r>
              <w:t xml:space="preserve"> 108,685 anonymised multi-source samples, but inherits old TREC/Nazario source distributions.</w:t>
            </w:r>
            <w:hyperlink r:id="rId36" w:history="1">
              <w:r>
                <w:rPr>
                  <w:rStyle w:val="Hyperlink"/>
                </w:rPr>
                <w:t>7</w:t>
              </w:r>
            </w:hyperlink>
            <w:r>
              <w:t xml:space="preserve"> </w:t>
            </w:r>
            <w:hyperlink r:id="rId37" w:history="1">
              <w:r>
                <w:rPr>
                  <w:rStyle w:val="Hyperlink"/>
                </w:rPr>
                <w:t>8</w:t>
              </w:r>
            </w:hyperlink>
            <w:r>
              <w:t xml:space="preserve"> </w:t>
            </w:r>
            <w:hyperlink r:id="rId38" w:history="1">
              <w:r>
                <w:rPr>
                  <w:rStyle w:val="Hyperlink"/>
                </w:rPr>
                <w:t>18</w:t>
              </w:r>
            </w:hyperlink>
          </w:p>
        </w:tc>
      </w:tr>
      <w:tr w:rsidR="00FF43F3" w14:paraId="765B7F4C" w14:textId="77777777" w:rsidTr="00FF4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2F3250" w14:textId="77777777" w:rsidR="00FF43F3" w:rsidRDefault="00FB2F0F">
            <w:r>
              <w:t>4. Software vulnerability detection and triage</w:t>
            </w:r>
          </w:p>
        </w:tc>
        <w:tc>
          <w:tcPr>
            <w:tcW w:w="0" w:type="auto"/>
            <w:vAlign w:val="center"/>
          </w:tcPr>
          <w:p w14:paraId="30B02C58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 class imbalance; vulnerable code differs subtly from its patch; function-only views omit interprocedural context</w:t>
            </w:r>
          </w:p>
        </w:tc>
        <w:tc>
          <w:tcPr>
            <w:tcW w:w="0" w:type="auto"/>
            <w:vAlign w:val="center"/>
          </w:tcPr>
          <w:p w14:paraId="4FD12353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encoders/LLMs, LoRA, graph/static analysis, retrieval, ReAct agents, paired ranking, uncertainty calibration</w:t>
            </w:r>
          </w:p>
        </w:tc>
        <w:tc>
          <w:tcPr>
            <w:tcW w:w="0" w:type="auto"/>
            <w:vAlign w:val="center"/>
          </w:tcPr>
          <w:p w14:paraId="7F397A33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older benchmarks overstate performance. PrimeVul, SecVulEval and JITVul expose large drops, weak statement localisation and low paired consistency. </w:t>
            </w:r>
            <w:r>
              <w:rPr>
                <w:b/>
                <w:bCs/>
              </w:rPr>
              <w:t>Emerging:</w:t>
            </w:r>
            <w:r>
              <w:t xml:space="preserve"> adaptive context retrieval helps compared with indiscriminate context insertion, but autonomy remains unreliable.</w:t>
            </w:r>
            <w:hyperlink r:id="rId39" w:history="1">
              <w:r>
                <w:rPr>
                  <w:rStyle w:val="Hyperlink"/>
                </w:rPr>
                <w:t>9</w:t>
              </w:r>
            </w:hyperlink>
            <w:r>
              <w:t xml:space="preserve"> </w:t>
            </w:r>
            <w:hyperlink r:id="rId40" w:history="1">
              <w:r>
                <w:rPr>
                  <w:rStyle w:val="Hyperlink"/>
                </w:rPr>
                <w:t>10</w:t>
              </w:r>
            </w:hyperlink>
            <w:r>
              <w:t xml:space="preserve"> </w:t>
            </w:r>
            <w:hyperlink r:id="rId41" w:history="1">
              <w:r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vAlign w:val="center"/>
          </w:tcPr>
          <w:p w14:paraId="0D1E7F43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Small-model or hybrid static-analysis/agent methods; calibrated ranking under fixed alert budgets; consistent vulnerable–patched reasoning; project/time-held-out generalisation</w:t>
            </w:r>
          </w:p>
        </w:tc>
        <w:tc>
          <w:tcPr>
            <w:tcW w:w="0" w:type="auto"/>
            <w:vAlign w:val="center"/>
          </w:tcPr>
          <w:p w14:paraId="04E5ECD8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PrimeVul:</w:t>
            </w:r>
            <w:r>
              <w:t xml:space="preserve"> chronological, deduplicated C/C++ functions. </w:t>
            </w:r>
            <w:r>
              <w:rPr>
                <w:b/>
                <w:bCs/>
              </w:rPr>
              <w:t>SecVulEval:</w:t>
            </w:r>
            <w:r>
              <w:t xml:space="preserve"> 25,440 functions/5,867 CVEs, statement labels and context. </w:t>
            </w:r>
            <w:r>
              <w:rPr>
                <w:b/>
                <w:bCs/>
              </w:rPr>
              <w:t>JITVul:</w:t>
            </w:r>
            <w:r>
              <w:t xml:space="preserve"> 1,758 paired commit states/879 CVEs/91 CWEs. CVEfixes is broader but its July 2024 snapshot can be large to process.</w:t>
            </w:r>
            <w:hyperlink r:id="rId42" w:history="1">
              <w:r>
                <w:rPr>
                  <w:rStyle w:val="Hyperlink"/>
                </w:rPr>
                <w:t>10</w:t>
              </w:r>
            </w:hyperlink>
            <w:r>
              <w:t xml:space="preserve"> </w:t>
            </w:r>
            <w:hyperlink r:id="rId43" w:history="1">
              <w:r>
                <w:rPr>
                  <w:rStyle w:val="Hyperlink"/>
                </w:rPr>
                <w:t>11</w:t>
              </w:r>
            </w:hyperlink>
            <w:r>
              <w:t xml:space="preserve"> </w:t>
            </w:r>
            <w:hyperlink r:id="rId44" w:history="1">
              <w:r>
                <w:rPr>
                  <w:rStyle w:val="Hyperlink"/>
                </w:rPr>
                <w:t>19</w:t>
              </w:r>
            </w:hyperlink>
          </w:p>
        </w:tc>
      </w:tr>
      <w:tr w:rsidR="00FF43F3" w14:paraId="03A5DF9F" w14:textId="77777777" w:rsidTr="00FF4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44F43F" w14:textId="77777777" w:rsidR="00FF43F3" w:rsidRDefault="00FB2F0F">
            <w:r>
              <w:t>5. CTI extraction and SOC assistance</w:t>
            </w:r>
          </w:p>
        </w:tc>
        <w:tc>
          <w:tcPr>
            <w:tcW w:w="0" w:type="auto"/>
            <w:vAlign w:val="center"/>
          </w:tcPr>
          <w:p w14:paraId="10C6D90D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Volatile and contradictory sources; long, low-level telemetry; hallucination and attribution risk</w:t>
            </w:r>
          </w:p>
        </w:tc>
        <w:tc>
          <w:tcPr>
            <w:tcW w:w="0" w:type="auto"/>
            <w:vAlign w:val="center"/>
          </w:tcPr>
          <w:p w14:paraId="0E285F2D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RAG, structured extraction, tool-using agents, evidence graphs, ATT&amp;CK/STIX mapping, retrieval-assisted statistical summaries</w:t>
            </w:r>
          </w:p>
        </w:tc>
        <w:tc>
          <w:tcPr>
            <w:tcW w:w="0" w:type="auto"/>
            <w:vAlign w:val="center"/>
          </w:tcPr>
          <w:p w14:paraId="3F62146C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CTIBench shows partial competence, not autonomous reliability. </w:t>
            </w:r>
            <w:r>
              <w:rPr>
                <w:b/>
                <w:bCs/>
              </w:rPr>
              <w:t>Emerging:</w:t>
            </w:r>
            <w:r>
              <w:t xml:space="preserve"> real analysts use LLMs mostly as cognitive aids; recent CTI work documents failure under contradictory and emerging evidence. </w:t>
            </w:r>
            <w:r>
              <w:rPr>
                <w:b/>
                <w:bCs/>
              </w:rPr>
              <w:t>Practitioner evidence:</w:t>
            </w:r>
            <w:r>
              <w:t xml:space="preserve"> current open SOCBench has published detection only; broader SOC capabilities remain roadmap items.</w:t>
            </w:r>
            <w:hyperlink r:id="rId45" w:history="1">
              <w:r>
                <w:rPr>
                  <w:rStyle w:val="Hyperlink"/>
                </w:rPr>
                <w:t>12</w:t>
              </w:r>
            </w:hyperlink>
            <w:r>
              <w:t xml:space="preserve"> </w:t>
            </w:r>
            <w:hyperlink r:id="rId46" w:history="1">
              <w:r>
                <w:rPr>
                  <w:rStyle w:val="Hyperlink"/>
                </w:rPr>
                <w:t>15</w:t>
              </w:r>
            </w:hyperlink>
            <w:r>
              <w:t xml:space="preserve"> </w:t>
            </w:r>
            <w:hyperlink r:id="rId47" w:history="1">
              <w:r>
                <w:rPr>
                  <w:rStyle w:val="Hyperlink"/>
                </w:rPr>
                <w:t>14</w:t>
              </w:r>
            </w:hyperlink>
            <w:r>
              <w:t xml:space="preserve"> </w:t>
            </w:r>
            <w:hyperlink r:id="rId48" w:history="1">
              <w:r>
                <w:rPr>
                  <w:rStyle w:val="Hyperlink"/>
                </w:rPr>
                <w:t>20</w:t>
              </w:r>
            </w:hyperlink>
          </w:p>
        </w:tc>
        <w:tc>
          <w:tcPr>
            <w:tcW w:w="0" w:type="auto"/>
            <w:vAlign w:val="center"/>
          </w:tcPr>
          <w:p w14:paraId="00C2862E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Evidence-cited extraction with calibrated abstention; temporal CTI tests after model cut-off; human–AI workload/accuracy studies; detection of contradictory evidence</w:t>
            </w:r>
          </w:p>
        </w:tc>
        <w:tc>
          <w:tcPr>
            <w:tcW w:w="0" w:type="auto"/>
            <w:vAlign w:val="center"/>
          </w:tcPr>
          <w:p w14:paraId="7F626DF5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CTIBench:</w:t>
            </w:r>
            <w:r>
              <w:t xml:space="preserve"> 4,610 examples, five task families, released responses/logs. </w:t>
            </w:r>
            <w:r>
              <w:rPr>
                <w:b/>
                <w:bCs/>
              </w:rPr>
              <w:t>MITRE ATT&amp;CK STIX:</w:t>
            </w:r>
            <w:r>
              <w:t xml:space="preserve"> versioned machine-readable CTI with research/commercial-use permission. </w:t>
            </w:r>
            <w:r>
              <w:rPr>
                <w:b/>
                <w:bCs/>
              </w:rPr>
              <w:t>SOCBench:</w:t>
            </w:r>
            <w:r>
              <w:t xml:space="preserve"> 1,205 flow units for its current detection lane, Apache-2.0 but vendor-developed.</w:t>
            </w:r>
            <w:hyperlink r:id="rId49" w:history="1">
              <w:r>
                <w:rPr>
                  <w:rStyle w:val="Hyperlink"/>
                </w:rPr>
                <w:t>12</w:t>
              </w:r>
            </w:hyperlink>
            <w:r>
              <w:t xml:space="preserve"> </w:t>
            </w:r>
            <w:hyperlink r:id="rId50" w:history="1">
              <w:r>
                <w:rPr>
                  <w:rStyle w:val="Hyperlink"/>
                </w:rPr>
                <w:t>21</w:t>
              </w:r>
            </w:hyperlink>
            <w:r>
              <w:t xml:space="preserve"> </w:t>
            </w:r>
            <w:hyperlink r:id="rId51" w:history="1">
              <w:r>
                <w:rPr>
                  <w:rStyle w:val="Hyperlink"/>
                </w:rPr>
                <w:t>20</w:t>
              </w:r>
            </w:hyperlink>
          </w:p>
        </w:tc>
      </w:tr>
    </w:tbl>
    <w:p w14:paraId="02EB378F" w14:textId="77777777" w:rsidR="00FF43F3" w:rsidRDefault="00FF43F3">
      <w:pPr>
        <w:pBdr>
          <w:top w:val="single" w:sz="12" w:space="0" w:color="auto"/>
        </w:pBdr>
        <w:spacing w:after="0"/>
      </w:pPr>
    </w:p>
    <w:p w14:paraId="59E7AEED" w14:textId="77777777" w:rsidR="00FF43F3" w:rsidRDefault="00FB2F0F">
      <w:pPr>
        <w:pStyle w:val="Heading2"/>
      </w:pPr>
      <w:r>
        <w:t>Generative-Data Science assessment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2431"/>
        <w:gridCol w:w="2444"/>
        <w:gridCol w:w="2687"/>
      </w:tblGrid>
      <w:tr w:rsidR="00FF43F3" w14:paraId="60B88BE9" w14:textId="77777777" w:rsidTr="00FF4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4B332D" w14:textId="77777777" w:rsidR="00FF43F3" w:rsidRDefault="00FB2F0F">
            <w:r>
              <w:t>Strand</w:t>
            </w:r>
          </w:p>
        </w:tc>
        <w:tc>
          <w:tcPr>
            <w:tcW w:w="0" w:type="auto"/>
            <w:vAlign w:val="center"/>
          </w:tcPr>
          <w:p w14:paraId="12172FB6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Established evidence</w:t>
            </w:r>
          </w:p>
        </w:tc>
        <w:tc>
          <w:tcPr>
            <w:tcW w:w="0" w:type="auto"/>
            <w:vAlign w:val="center"/>
          </w:tcPr>
          <w:p w14:paraId="0F1B1DBF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Most useful contribution to cyber research</w:t>
            </w:r>
          </w:p>
        </w:tc>
        <w:tc>
          <w:tcPr>
            <w:tcW w:w="0" w:type="auto"/>
            <w:vAlign w:val="center"/>
          </w:tcPr>
          <w:p w14:paraId="567CB8D3" w14:textId="77777777" w:rsidR="00FF43F3" w:rsidRDefault="00FB2F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Main limitations and evidence status</w:t>
            </w:r>
          </w:p>
        </w:tc>
      </w:tr>
      <w:tr w:rsidR="00FF43F3" w14:paraId="0C6E8CBE" w14:textId="77777777" w:rsidTr="00FF4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0AA690" w14:textId="77777777" w:rsidR="00FF43F3" w:rsidRDefault="00FB2F0F">
            <w:r>
              <w:t>1. Generative AI supporting data-science work</w:t>
            </w:r>
          </w:p>
        </w:tc>
        <w:tc>
          <w:tcPr>
            <w:tcW w:w="0" w:type="auto"/>
            <w:vAlign w:val="center"/>
          </w:tcPr>
          <w:p w14:paraId="1C4951C5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DA-Code, released October 2024 and accepted at EMNLP 2024, contains 500 executable wrangling, EDA and ML tasks. Its best reported baseline reached only 30.5% total accuracy, despite 76.8% executable code.</w:t>
            </w:r>
            <w:hyperlink r:id="rId52" w:history="1">
              <w:r>
                <w:rPr>
                  <w:rStyle w:val="Hyperlink"/>
                </w:rPr>
                <w:t>16</w:t>
              </w:r>
            </w:hyperlink>
          </w:p>
        </w:tc>
        <w:tc>
          <w:tcPr>
            <w:tcW w:w="0" w:type="auto"/>
            <w:vAlign w:val="center"/>
          </w:tcPr>
          <w:p w14:paraId="1F3CAD5B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reproducible preprocessing code, data dictionaries, leakage checks, metric dashboards, SHAP summaries and experiment documentation—with tests and human approval</w:t>
            </w:r>
          </w:p>
        </w:tc>
        <w:tc>
          <w:tcPr>
            <w:tcW w:w="0" w:type="auto"/>
            <w:vAlign w:val="center"/>
          </w:tcPr>
          <w:p w14:paraId="62E199A1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useful code can be produced. </w:t>
            </w:r>
            <w:r>
              <w:rPr>
                <w:b/>
                <w:bCs/>
              </w:rPr>
              <w:t>Not established:</w:t>
            </w:r>
            <w:r>
              <w:t xml:space="preserve"> autonomous correctness. Cyber use adds risks from poisoned artefacts, unsafe parsing, confidential data and plausible but wrong statistical explanations</w:t>
            </w:r>
          </w:p>
        </w:tc>
      </w:tr>
      <w:tr w:rsidR="00FF43F3" w14:paraId="44DE2868" w14:textId="77777777" w:rsidTr="00FF4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87B45A" w14:textId="77777777" w:rsidR="00FF43F3" w:rsidRDefault="00FB2F0F">
            <w:r>
              <w:t>2. AI systems acting as statistical analysts</w:t>
            </w:r>
          </w:p>
        </w:tc>
        <w:tc>
          <w:tcPr>
            <w:tcW w:w="0" w:type="auto"/>
            <w:vAlign w:val="center"/>
          </w:tcPr>
          <w:p w14:paraId="75AC9048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SOC field study shows genuine use for contextual interpretation and report support, while retaining human authority. JITVul shows agents can retrieve context adaptively yet remain inconsistent.</w:t>
            </w:r>
            <w:hyperlink r:id="rId53" w:history="1">
              <w:r>
                <w:rPr>
                  <w:rStyle w:val="Hyperlink"/>
                </w:rPr>
                <w:t>15</w:t>
              </w:r>
            </w:hyperlink>
            <w:r>
              <w:t xml:space="preserve"> </w:t>
            </w:r>
            <w:hyperlink r:id="rId54" w:history="1">
              <w:r>
                <w:rPr>
                  <w:rStyle w:val="Hyperlink"/>
                </w:rPr>
                <w:t>11</w:t>
              </w:r>
            </w:hyperlink>
          </w:p>
        </w:tc>
        <w:tc>
          <w:tcPr>
            <w:tcW w:w="0" w:type="auto"/>
            <w:vAlign w:val="center"/>
          </w:tcPr>
          <w:p w14:paraId="36D47CFE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“experiment auditor” that inspects splits, imbalance, calibration, confidence intervals and provenance; or a CTI analyst that outputs evidence-linked structured claims</w:t>
            </w:r>
          </w:p>
        </w:tc>
        <w:tc>
          <w:tcPr>
            <w:tcW w:w="0" w:type="auto"/>
            <w:vAlign w:val="center"/>
          </w:tcPr>
          <w:p w14:paraId="1415DB5E" w14:textId="77777777" w:rsidR="00FF43F3" w:rsidRDefault="00FB2F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Emerging hypothesis:</w:t>
            </w:r>
            <w:r>
              <w:t xml:space="preserve"> tool use can improve analytical workflow quality. There is not yet strong evidence that agents autonomously select valid cyber study designs, diagnose leakage or make high-stakes statistical conclusions</w:t>
            </w:r>
          </w:p>
        </w:tc>
      </w:tr>
      <w:tr w:rsidR="00FF43F3" w14:paraId="15DFC326" w14:textId="77777777" w:rsidTr="00FF4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DE8301" w14:textId="77777777" w:rsidR="00FF43F3" w:rsidRDefault="00FB2F0F">
            <w:r>
              <w:t>3. Tabular foundation models, including adaptation</w:t>
            </w:r>
          </w:p>
        </w:tc>
        <w:tc>
          <w:tcPr>
            <w:tcW w:w="0" w:type="auto"/>
            <w:vAlign w:val="center"/>
          </w:tcPr>
          <w:p w14:paraId="6D756ABD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TabPFN’s small-data results appeared in </w:t>
            </w:r>
            <w:r>
              <w:rPr>
                <w:i/>
                <w:iCs/>
              </w:rPr>
              <w:t>Nature</w:t>
            </w:r>
            <w:r>
              <w:t xml:space="preserve"> on 8 January 2025. A June 2025 study found full fine-tuning practical up to 50,000 rows, but weaker stability under temporal shifts; 2026 evidence identifies uncertainty calibration as unresolved.</w:t>
            </w:r>
            <w:hyperlink r:id="rId55" w:history="1">
              <w:r>
                <w:rPr>
                  <w:rStyle w:val="Hyperlink"/>
                </w:rPr>
                <w:t>4</w:t>
              </w:r>
            </w:hyperlink>
            <w:r>
              <w:t xml:space="preserve"> </w:t>
            </w:r>
            <w:hyperlink r:id="rId56" w:history="1">
              <w:r>
                <w:rPr>
                  <w:rStyle w:val="Hyperlink"/>
                </w:rPr>
                <w:t>1</w:t>
              </w:r>
            </w:hyperlink>
            <w:r>
              <w:t xml:space="preserve"> </w:t>
            </w:r>
            <w:hyperlink r:id="rId57" w:history="1">
              <w:r>
                <w:rPr>
                  <w:rStyle w:val="Hyperlink"/>
                </w:rPr>
                <w:t>2</w:t>
              </w:r>
            </w:hyperlink>
          </w:p>
        </w:tc>
        <w:tc>
          <w:tcPr>
            <w:tcW w:w="0" w:type="auto"/>
            <w:vAlign w:val="center"/>
          </w:tcPr>
          <w:p w14:paraId="3F13B5E6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small-data baselines; few-shot adaptation to a new device/site; probabilistic ensembles; data-efficient experiments in IDS, malware-feature and phishing-feature tables</w:t>
            </w:r>
          </w:p>
        </w:tc>
        <w:tc>
          <w:tcPr>
            <w:tcW w:w="0" w:type="auto"/>
            <w:vAlign w:val="center"/>
          </w:tcPr>
          <w:p w14:paraId="2CEB6DE5" w14:textId="77777777" w:rsidR="00FF43F3" w:rsidRDefault="00FB2F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Established:</w:t>
            </w:r>
            <w:r>
              <w:t xml:space="preserve"> strong IID potential. </w:t>
            </w:r>
            <w:r>
              <w:rPr>
                <w:b/>
                <w:bCs/>
              </w:rPr>
              <w:t>Emerging in cyber:</w:t>
            </w:r>
            <w:r>
              <w:t xml:space="preserve"> direct comparisons and open implementations exist, but cross-site robustness is not settled. Fine-tuning may change thresholds without producing robust domain understanding; always retain GBDT and linear baselines</w:t>
            </w:r>
            <w:hyperlink r:id="rId58" w:history="1">
              <w:r>
                <w:rPr>
                  <w:rStyle w:val="Hyperlink"/>
                </w:rPr>
                <w:t>22</w:t>
              </w:r>
            </w:hyperlink>
            <w:r>
              <w:t xml:space="preserve"> </w:t>
            </w:r>
            <w:hyperlink r:id="rId59" w:history="1">
              <w:r>
                <w:rPr>
                  <w:rStyle w:val="Hyperlink"/>
                </w:rPr>
                <w:t>3</w:t>
              </w:r>
            </w:hyperlink>
          </w:p>
        </w:tc>
      </w:tr>
    </w:tbl>
    <w:p w14:paraId="6A05A809" w14:textId="77777777" w:rsidR="00FF43F3" w:rsidRDefault="00FF43F3">
      <w:pPr>
        <w:pBdr>
          <w:top w:val="single" w:sz="12" w:space="0" w:color="auto"/>
        </w:pBdr>
        <w:spacing w:after="0"/>
      </w:pPr>
    </w:p>
    <w:p w14:paraId="1998F77E" w14:textId="77777777" w:rsidR="00FF43F3" w:rsidRDefault="00FB2F0F">
      <w:pPr>
        <w:pStyle w:val="Heading2"/>
      </w:pPr>
      <w:r>
        <w:t>Benchmark comparability: non-negotiable controls</w:t>
      </w:r>
    </w:p>
    <w:p w14:paraId="2AF0E77E" w14:textId="77777777" w:rsidR="00FF43F3" w:rsidRDefault="00FB2F0F">
      <w:r>
        <w:t xml:space="preserve">Reported improvements should </w:t>
      </w:r>
      <w:r>
        <w:rPr>
          <w:b/>
          <w:bCs/>
        </w:rPr>
        <w:t>not</w:t>
      </w:r>
      <w:r>
        <w:t xml:space="preserve"> be treated as comparable unless the following match:</w:t>
      </w:r>
    </w:p>
    <w:p w14:paraId="469601B0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Split unit:</w:t>
      </w:r>
      <w:r>
        <w:t xml:space="preserve"> row-random versus time, host/device, campaign, malware family or software project. PrimeVul and JITVul demonstrate how chronological, deduplicated and paired evaluation can reverse optimistic conclusions.</w:t>
      </w:r>
      <w:hyperlink r:id="rId60" w:history="1">
        <w:r>
          <w:rPr>
            <w:rStyle w:val="Hyperlink"/>
          </w:rPr>
          <w:t>9</w:t>
        </w:r>
      </w:hyperlink>
      <w:r>
        <w:t xml:space="preserve"> </w:t>
      </w:r>
      <w:hyperlink r:id="rId61" w:history="1">
        <w:r>
          <w:rPr>
            <w:rStyle w:val="Hyperlink"/>
          </w:rPr>
          <w:t>11</w:t>
        </w:r>
      </w:hyperlink>
    </w:p>
    <w:p w14:paraId="526187E3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Preprocessing boundary:</w:t>
      </w:r>
      <w:r>
        <w:t xml:space="preserve"> scaling, PCA, feature selection, imputation and SMOTE must be fitted inside each training fold. Synthetic augmentation must never precede splitting.</w:t>
      </w:r>
    </w:p>
    <w:p w14:paraId="0CE5A035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Data version and provenance:</w:t>
      </w:r>
      <w:r>
        <w:t xml:space="preserve"> “CIC-IDS2017” or “Enron phishing” can denote different cleaned derivatives. Record hashes, download date, transformation code and exclusions.</w:t>
      </w:r>
    </w:p>
    <w:p w14:paraId="7A17799D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Task definition:</w:t>
      </w:r>
      <w:r>
        <w:t xml:space="preserve"> LLM-versus-human phishing authorship is not phishing-versus-legitimate detection; function classification is not statement localisation; CTF completion is not SOC triage.</w:t>
      </w:r>
      <w:hyperlink r:id="rId62" w:history="1">
        <w:r>
          <w:rPr>
            <w:rStyle w:val="Hyperlink"/>
          </w:rPr>
          <w:t>8</w:t>
        </w:r>
      </w:hyperlink>
      <w:r>
        <w:t xml:space="preserve"> </w:t>
      </w:r>
      <w:hyperlink r:id="rId63" w:history="1">
        <w:r>
          <w:rPr>
            <w:rStyle w:val="Hyperlink"/>
          </w:rPr>
          <w:t>10</w:t>
        </w:r>
      </w:hyperlink>
      <w:r>
        <w:t xml:space="preserve"> </w:t>
      </w:r>
      <w:hyperlink r:id="rId64" w:history="1">
        <w:r>
          <w:rPr>
            <w:rStyle w:val="Hyperlink"/>
          </w:rPr>
          <w:t>23</w:t>
        </w:r>
      </w:hyperlink>
    </w:p>
    <w:p w14:paraId="2646C17F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Metrics:</w:t>
      </w:r>
      <w:r>
        <w:t xml:space="preserve"> report PR-AUC, per-class recall, MCC, Brier score/ECE, calibration plots and recall at a fixed operational FPR—not accuracy alone. For paired code, include paired accuracy; for agent tasks, include completion, cost, latency and malformed-output rate.</w:t>
      </w:r>
      <w:hyperlink r:id="rId65" w:history="1">
        <w:r>
          <w:rPr>
            <w:rStyle w:val="Hyperlink"/>
          </w:rPr>
          <w:t>11</w:t>
        </w:r>
      </w:hyperlink>
      <w:r>
        <w:t xml:space="preserve"> </w:t>
      </w:r>
      <w:hyperlink r:id="rId66" w:history="1">
        <w:r>
          <w:rPr>
            <w:rStyle w:val="Hyperlink"/>
          </w:rPr>
          <w:t>20</w:t>
        </w:r>
      </w:hyperlink>
    </w:p>
    <w:p w14:paraId="6BD79E81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Repeated uncertainty:</w:t>
      </w:r>
      <w:r>
        <w:t xml:space="preserve"> publish seeds, confidence intervals and paired statistical tests. For stochastic agents, use repeated runs rather than a single success trace.</w:t>
      </w:r>
    </w:p>
    <w:p w14:paraId="290A0299" w14:textId="77777777" w:rsidR="00FF43F3" w:rsidRDefault="00FB2F0F">
      <w:pPr>
        <w:pStyle w:val="ListParagraph"/>
        <w:numPr>
          <w:ilvl w:val="0"/>
          <w:numId w:val="2"/>
        </w:numPr>
      </w:pPr>
      <w:r>
        <w:rPr>
          <w:b/>
          <w:bCs/>
        </w:rPr>
        <w:t>Contamination:</w:t>
      </w:r>
      <w:r>
        <w:t xml:space="preserve"> test examples, CVEs, threat reports and CTF write-ups may be in model training data. Prefer post-cut-off, private-before-release or transformation-resistant tests; do not assume that “new benchmark” means uncontaminated.</w:t>
      </w:r>
    </w:p>
    <w:p w14:paraId="5A39BBE3" w14:textId="77777777" w:rsidR="00FF43F3" w:rsidRDefault="00FF43F3">
      <w:pPr>
        <w:pBdr>
          <w:top w:val="single" w:sz="12" w:space="0" w:color="auto"/>
        </w:pBdr>
        <w:spacing w:after="0"/>
      </w:pPr>
    </w:p>
    <w:p w14:paraId="24CAADAF" w14:textId="77777777" w:rsidR="00FF43F3" w:rsidRDefault="00FB2F0F">
      <w:pPr>
        <w:pStyle w:val="Heading2"/>
      </w:pPr>
      <w:r>
        <w:t>Practitioner and social signals</w:t>
      </w:r>
    </w:p>
    <w:p w14:paraId="3EDA83EF" w14:textId="77777777" w:rsidR="00FF43F3" w:rsidRDefault="00FB2F0F">
      <w:r>
        <w:t xml:space="preserve">These should be treated as </w:t>
      </w:r>
      <w:r>
        <w:rPr>
          <w:b/>
          <w:bCs/>
        </w:rPr>
        <w:t>signals, not established findings</w:t>
      </w:r>
      <w:r>
        <w:t>:</w:t>
      </w:r>
    </w:p>
    <w:p w14:paraId="1025348C" w14:textId="77777777" w:rsidR="00FF43F3" w:rsidRDefault="00FB2F0F">
      <w:pPr>
        <w:pStyle w:val="ListParagraph"/>
        <w:numPr>
          <w:ilvl w:val="0"/>
          <w:numId w:val="3"/>
        </w:numPr>
      </w:pPr>
      <w:r>
        <w:t>A 2025 Hacker News discussion described vulnerability-model results as “hit-or-miss” and SAST-like, requiring additional prompting; the thread also emphasised that remediation ownership and developer confidence can matter more than finding another alert.</w:t>
      </w:r>
      <w:hyperlink r:id="rId67" w:history="1">
        <w:r>
          <w:rPr>
            <w:rStyle w:val="Hyperlink"/>
          </w:rPr>
          <w:t>24</w:t>
        </w:r>
      </w:hyperlink>
    </w:p>
    <w:p w14:paraId="5AE4A80D" w14:textId="77777777" w:rsidR="00FF43F3" w:rsidRDefault="00FB2F0F">
      <w:pPr>
        <w:pStyle w:val="ListParagraph"/>
        <w:numPr>
          <w:ilvl w:val="0"/>
          <w:numId w:val="3"/>
        </w:numPr>
      </w:pPr>
      <w:r>
        <w:t>A 2025 practitioner discussion reported LLM use for understanding commands, generating queries and polishing reports, but raised concerns about sensitive SOC data and explainability.</w:t>
      </w:r>
      <w:hyperlink r:id="rId68" w:history="1">
        <w:r>
          <w:rPr>
            <w:rStyle w:val="Hyperlink"/>
          </w:rPr>
          <w:t>25</w:t>
        </w:r>
      </w:hyperlink>
      <w:r>
        <w:t xml:space="preserve"> This matches the more systematic SOC field study’s finding that LLMs augment sensemaking rather than replace analyst judgement.</w:t>
      </w:r>
      <w:hyperlink r:id="rId69" w:history="1">
        <w:r>
          <w:rPr>
            <w:rStyle w:val="Hyperlink"/>
          </w:rPr>
          <w:t>15</w:t>
        </w:r>
      </w:hyperlink>
    </w:p>
    <w:p w14:paraId="24C23B8D" w14:textId="77777777" w:rsidR="00FF43F3" w:rsidRDefault="00FB2F0F">
      <w:pPr>
        <w:pStyle w:val="ListParagraph"/>
        <w:numPr>
          <w:ilvl w:val="0"/>
          <w:numId w:val="3"/>
        </w:numPr>
      </w:pPr>
      <w:r>
        <w:t>SOCBench is a useful open practitioner initiative because it records efficacy, cost, latency and reliability, but it is developed by a vendor whose own specialised model is part of the comparison, and only its detection capability is currently published. Results should therefore be reproduced independently before being treated as general evidence.</w:t>
      </w:r>
      <w:hyperlink r:id="rId70" w:history="1">
        <w:r>
          <w:rPr>
            <w:rStyle w:val="Hyperlink"/>
          </w:rPr>
          <w:t>20</w:t>
        </w:r>
      </w:hyperlink>
    </w:p>
    <w:p w14:paraId="41C8F396" w14:textId="77777777" w:rsidR="00FF43F3" w:rsidRDefault="00FF43F3">
      <w:pPr>
        <w:pBdr>
          <w:top w:val="single" w:sz="12" w:space="0" w:color="auto"/>
        </w:pBdr>
        <w:spacing w:after="0"/>
      </w:pPr>
    </w:p>
    <w:p w14:paraId="34FA67BC" w14:textId="77777777" w:rsidR="00FF43F3" w:rsidRDefault="00FB2F0F">
      <w:pPr>
        <w:pStyle w:val="Heading2"/>
      </w:pPr>
      <w:r>
        <w:t>Best-supported UCL candidate directions</w:t>
      </w:r>
    </w:p>
    <w:p w14:paraId="2C6D061A" w14:textId="77777777" w:rsidR="00FF43F3" w:rsidRDefault="00FB2F0F">
      <w:pPr>
        <w:pStyle w:val="Heading3"/>
      </w:pPr>
      <w:r>
        <w:rPr>
          <w:b/>
          <w:bCs/>
        </w:rPr>
        <w:t>A. Recommended: uncertainty-aware tabular foundation models for IDS under realistic shift</w:t>
      </w:r>
    </w:p>
    <w:p w14:paraId="2CFDD0DD" w14:textId="77777777" w:rsidR="00FF43F3" w:rsidRDefault="00FB2F0F">
      <w:r>
        <w:rPr>
          <w:b/>
          <w:bCs/>
        </w:rPr>
        <w:t>Core experiment:</w:t>
      </w:r>
      <w:r>
        <w:t xml:space="preserve"> GBDT, logistic/linear, TabPFN and TabICL across IID, temporal and device/site-held-out splits; post-hoc calibration, conformal prediction and abstention; evaluation at fixed false-positive budgets.</w:t>
      </w:r>
    </w:p>
    <w:p w14:paraId="28D18696" w14:textId="77777777" w:rsidR="00FF43F3" w:rsidRDefault="00FB2F0F">
      <w:r>
        <w:rPr>
          <w:b/>
          <w:bCs/>
        </w:rPr>
        <w:t>Why it wins:</w:t>
      </w:r>
      <w:r>
        <w:t xml:space="preserve"> strongest Generative-Data Science fit, modest compute, clear statistical contribution, direct operational relevance and an identifiable evidence gap around TFM reliability under cyber shift.</w:t>
      </w:r>
      <w:hyperlink r:id="rId71" w:history="1">
        <w:r>
          <w:rPr>
            <w:rStyle w:val="Hyperlink"/>
          </w:rPr>
          <w:t>1</w:t>
        </w:r>
      </w:hyperlink>
      <w:r>
        <w:t xml:space="preserve"> </w:t>
      </w:r>
      <w:hyperlink r:id="rId72" w:history="1">
        <w:r>
          <w:rPr>
            <w:rStyle w:val="Hyperlink"/>
          </w:rPr>
          <w:t>2</w:t>
        </w:r>
      </w:hyperlink>
      <w:r>
        <w:t xml:space="preserve"> </w:t>
      </w:r>
      <w:hyperlink r:id="rId73" w:history="1">
        <w:r>
          <w:rPr>
            <w:rStyle w:val="Hyperlink"/>
          </w:rPr>
          <w:t>3</w:t>
        </w:r>
      </w:hyperlink>
    </w:p>
    <w:p w14:paraId="33C10C49" w14:textId="77777777" w:rsidR="00FF43F3" w:rsidRDefault="00FB2F0F">
      <w:pPr>
        <w:pStyle w:val="Heading3"/>
      </w:pPr>
      <w:r>
        <w:rPr>
          <w:b/>
          <w:bCs/>
        </w:rPr>
        <w:t>B. Recommended: calibrated detection of evolving AI-generated phishing</w:t>
      </w:r>
    </w:p>
    <w:p w14:paraId="673B5932" w14:textId="77777777" w:rsidR="00FF43F3" w:rsidRDefault="00FB2F0F">
      <w:r>
        <w:rPr>
          <w:b/>
          <w:bCs/>
        </w:rPr>
        <w:t>Core experiment:</w:t>
      </w:r>
      <w:r>
        <w:t xml:space="preserve"> train on one set of corpora/generators/languages, hold out another; compare recalibration, pooled training and label-efficient adaptation; include a phishing-versus-legitimate task so authorship is not confused with maliciousness.</w:t>
      </w:r>
    </w:p>
    <w:p w14:paraId="7767627F" w14:textId="77777777" w:rsidR="00FF43F3" w:rsidRDefault="00FB2F0F">
      <w:r>
        <w:rPr>
          <w:b/>
          <w:bCs/>
        </w:rPr>
        <w:t>Why it wins:</w:t>
      </w:r>
      <w:r>
        <w:t xml:space="preserve"> recent peer-reviewed evidence already isolates calibration as a major failure mode, while multilingual and multi-generator datasets are openly available and small enough for laptop or modest-GPU experimentation.</w:t>
      </w:r>
      <w:hyperlink r:id="rId74" w:history="1">
        <w:r>
          <w:rPr>
            <w:rStyle w:val="Hyperlink"/>
          </w:rPr>
          <w:t>7</w:t>
        </w:r>
      </w:hyperlink>
      <w:r>
        <w:t xml:space="preserve"> </w:t>
      </w:r>
      <w:hyperlink r:id="rId75" w:history="1">
        <w:r>
          <w:rPr>
            <w:rStyle w:val="Hyperlink"/>
          </w:rPr>
          <w:t>8</w:t>
        </w:r>
      </w:hyperlink>
    </w:p>
    <w:p w14:paraId="290A1E8A" w14:textId="77777777" w:rsidR="00FF43F3" w:rsidRDefault="00FB2F0F">
      <w:pPr>
        <w:pStyle w:val="Heading3"/>
      </w:pPr>
      <w:r>
        <w:rPr>
          <w:b/>
          <w:bCs/>
        </w:rPr>
        <w:t>C. Recommended: selective malware classification under time and evasion</w:t>
      </w:r>
    </w:p>
    <w:p w14:paraId="14B7B398" w14:textId="77777777" w:rsidR="00FF43F3" w:rsidRDefault="00FB2F0F">
      <w:r>
        <w:rPr>
          <w:b/>
          <w:bCs/>
        </w:rPr>
        <w:t>Core experiment:</w:t>
      </w:r>
      <w:r>
        <w:t xml:space="preserve"> use a student-sized EMBER2024 subset; compare temporal performance, evasive challenge-set recall, uncertainty, abstention and family-level error concentration.</w:t>
      </w:r>
    </w:p>
    <w:p w14:paraId="42A20715" w14:textId="77777777" w:rsidR="00FF43F3" w:rsidRDefault="00FB2F0F">
      <w:r>
        <w:rPr>
          <w:b/>
          <w:bCs/>
        </w:rPr>
        <w:t>Why it wins:</w:t>
      </w:r>
      <w:r>
        <w:t xml:space="preserve"> exceptionally strong benchmark design, genuine operational failure modes and reproducible open tooling. The uncertainty/calibration angle is more novel and valuable than another architecture comparison.</w:t>
      </w:r>
      <w:hyperlink r:id="rId76" w:history="1">
        <w:r>
          <w:rPr>
            <w:rStyle w:val="Hyperlink"/>
          </w:rPr>
          <w:t>5</w:t>
        </w:r>
      </w:hyperlink>
      <w:r>
        <w:t xml:space="preserve"> </w:t>
      </w:r>
      <w:hyperlink r:id="rId77" w:history="1">
        <w:r>
          <w:rPr>
            <w:rStyle w:val="Hyperlink"/>
          </w:rPr>
          <w:t>6</w:t>
        </w:r>
      </w:hyperlink>
    </w:p>
    <w:p w14:paraId="5B200A14" w14:textId="77777777" w:rsidR="00FF43F3" w:rsidRDefault="00FB2F0F">
      <w:pPr>
        <w:pStyle w:val="Heading3"/>
      </w:pPr>
      <w:r>
        <w:rPr>
          <w:b/>
          <w:bCs/>
        </w:rPr>
        <w:t>D. High novelty, higher difficulty: context-aware vulnerability triage</w:t>
      </w:r>
    </w:p>
    <w:p w14:paraId="0D9E2FBD" w14:textId="77777777" w:rsidR="00FF43F3" w:rsidRDefault="00FB2F0F">
      <w:r>
        <w:t>Use JITVul or a sampled SecVulEval subset to test whether static-analysis-derived context, paired reasoning and uncertainty-aware ranking improve small/open code models. This is likely the most academically novel direction, but it carries higher software-engineering complexity and potentially greater API/GPU cost.</w:t>
      </w:r>
      <w:hyperlink r:id="rId78" w:history="1">
        <w:r>
          <w:rPr>
            <w:rStyle w:val="Hyperlink"/>
          </w:rPr>
          <w:t>10</w:t>
        </w:r>
      </w:hyperlink>
      <w:r>
        <w:t xml:space="preserve"> </w:t>
      </w:r>
      <w:hyperlink r:id="rId79" w:history="1">
        <w:r>
          <w:rPr>
            <w:rStyle w:val="Hyperlink"/>
          </w:rPr>
          <w:t>11</w:t>
        </w:r>
      </w:hyperlink>
    </w:p>
    <w:p w14:paraId="79C46739" w14:textId="77777777" w:rsidR="00FF43F3" w:rsidRDefault="00FB2F0F">
      <w:pPr>
        <w:pStyle w:val="Heading2"/>
      </w:pPr>
      <w:r>
        <w:t>Bottom line</w:t>
      </w:r>
    </w:p>
    <w:p w14:paraId="11FC0500" w14:textId="77777777" w:rsidR="00FF43F3" w:rsidRDefault="00FB2F0F">
      <w:r>
        <w:t xml:space="preserve">The most defensible project theme is </w:t>
      </w:r>
      <w:r>
        <w:rPr>
          <w:b/>
          <w:bCs/>
        </w:rPr>
        <w:t>not “apply a newer model to a cybersecurity dataset”</w:t>
      </w:r>
      <w:r>
        <w:t>. It is:</w:t>
      </w:r>
    </w:p>
    <w:p w14:paraId="6A36D7F9" w14:textId="77777777" w:rsidR="00FF43F3" w:rsidRDefault="00FB2F0F">
      <w:pPr>
        <w:pBdr>
          <w:left w:val="single" w:sz="18" w:space="4" w:color="A6A6A6"/>
        </w:pBdr>
        <w:ind w:left="180"/>
      </w:pPr>
      <w:r>
        <w:rPr>
          <w:b/>
          <w:bCs/>
        </w:rPr>
        <w:t>Evaluate whether modern tabular or generative models remain calibrated, selective and useful when cyber data changes across time, generator, device, campaign or project—and whether a human-supervised analytical agent can diagnose and communicate those failures.</w:t>
      </w:r>
    </w:p>
    <w:p w14:paraId="784B8FBF" w14:textId="77777777" w:rsidR="00FF43F3" w:rsidRDefault="00FB2F0F">
      <w:r>
        <w:t xml:space="preserve">The strongest starting choice is </w:t>
      </w:r>
      <w:r>
        <w:rPr>
          <w:b/>
          <w:bCs/>
        </w:rPr>
        <w:t>tabular IDS under shift</w:t>
      </w:r>
      <w:r>
        <w:t xml:space="preserve">, with </w:t>
      </w:r>
      <w:r>
        <w:rPr>
          <w:b/>
          <w:bCs/>
        </w:rPr>
        <w:t>modern phishing calibration</w:t>
      </w:r>
      <w:r>
        <w:t xml:space="preserve"> and </w:t>
      </w:r>
      <w:r>
        <w:rPr>
          <w:b/>
          <w:bCs/>
        </w:rPr>
        <w:t>EMBER2024 temporal/evasive malware</w:t>
      </w:r>
      <w:r>
        <w:t xml:space="preserve"> as close alternatives. The unresolved decision is principally the team’s preferred data modality—network tables, email text or malware features—rather than whether enough evidence exists for a meaningful student project.</w:t>
      </w:r>
    </w:p>
    <w:sectPr w:rsidR="00FF43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431F"/>
    <w:multiLevelType w:val="hybridMultilevel"/>
    <w:tmpl w:val="FFFFFFFF"/>
    <w:lvl w:ilvl="0" w:tplc="5816B3F0">
      <w:start w:val="1"/>
      <w:numFmt w:val="bullet"/>
      <w:lvlText w:val="●"/>
      <w:lvlJc w:val="left"/>
      <w:pPr>
        <w:ind w:left="720" w:hanging="360"/>
      </w:pPr>
    </w:lvl>
    <w:lvl w:ilvl="1" w:tplc="B602F168">
      <w:start w:val="1"/>
      <w:numFmt w:val="bullet"/>
      <w:lvlText w:val="○"/>
      <w:lvlJc w:val="left"/>
      <w:pPr>
        <w:ind w:left="1440" w:hanging="360"/>
      </w:pPr>
    </w:lvl>
    <w:lvl w:ilvl="2" w:tplc="AF1A0570">
      <w:start w:val="1"/>
      <w:numFmt w:val="bullet"/>
      <w:lvlText w:val="■"/>
      <w:lvlJc w:val="left"/>
      <w:pPr>
        <w:ind w:left="2160" w:hanging="360"/>
      </w:pPr>
    </w:lvl>
    <w:lvl w:ilvl="3" w:tplc="D57A2972">
      <w:start w:val="1"/>
      <w:numFmt w:val="bullet"/>
      <w:lvlText w:val="●"/>
      <w:lvlJc w:val="left"/>
      <w:pPr>
        <w:ind w:left="2880" w:hanging="360"/>
      </w:pPr>
    </w:lvl>
    <w:lvl w:ilvl="4" w:tplc="80EA076E">
      <w:start w:val="1"/>
      <w:numFmt w:val="bullet"/>
      <w:lvlText w:val="○"/>
      <w:lvlJc w:val="left"/>
      <w:pPr>
        <w:ind w:left="3600" w:hanging="360"/>
      </w:pPr>
    </w:lvl>
    <w:lvl w:ilvl="5" w:tplc="85CA3E34">
      <w:start w:val="1"/>
      <w:numFmt w:val="bullet"/>
      <w:lvlText w:val="■"/>
      <w:lvlJc w:val="left"/>
      <w:pPr>
        <w:ind w:left="4320" w:hanging="360"/>
      </w:pPr>
    </w:lvl>
    <w:lvl w:ilvl="6" w:tplc="AE70A8D4">
      <w:start w:val="1"/>
      <w:numFmt w:val="bullet"/>
      <w:lvlText w:val="●"/>
      <w:lvlJc w:val="left"/>
      <w:pPr>
        <w:ind w:left="5040" w:hanging="360"/>
      </w:pPr>
    </w:lvl>
    <w:lvl w:ilvl="7" w:tplc="4C2814A0">
      <w:start w:val="1"/>
      <w:numFmt w:val="bullet"/>
      <w:lvlText w:val="●"/>
      <w:lvlJc w:val="left"/>
      <w:pPr>
        <w:ind w:left="5760" w:hanging="360"/>
      </w:pPr>
    </w:lvl>
    <w:lvl w:ilvl="8" w:tplc="C12C57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2F816"/>
    <w:multiLevelType w:val="hybridMultilevel"/>
    <w:tmpl w:val="FFFFFFFF"/>
    <w:lvl w:ilvl="0" w:tplc="D1A2E850">
      <w:start w:val="1"/>
      <w:numFmt w:val="decimal"/>
      <w:lvlText w:val="%1."/>
      <w:lvlJc w:val="left"/>
      <w:pPr>
        <w:ind w:left="720" w:hanging="360"/>
      </w:pPr>
    </w:lvl>
    <w:lvl w:ilvl="1" w:tplc="EC3E852E">
      <w:start w:val="1"/>
      <w:numFmt w:val="lowerLetter"/>
      <w:lvlText w:val="%2."/>
      <w:lvlJc w:val="left"/>
      <w:pPr>
        <w:ind w:left="1440" w:hanging="360"/>
      </w:pPr>
    </w:lvl>
    <w:lvl w:ilvl="2" w:tplc="C5EEBF9C">
      <w:start w:val="1"/>
      <w:numFmt w:val="lowerRoman"/>
      <w:lvlText w:val="%3."/>
      <w:lvlJc w:val="right"/>
      <w:pPr>
        <w:ind w:left="2160" w:hanging="180"/>
      </w:pPr>
    </w:lvl>
    <w:lvl w:ilvl="3" w:tplc="33662C62">
      <w:start w:val="1"/>
      <w:numFmt w:val="decimal"/>
      <w:lvlText w:val="%4."/>
      <w:lvlJc w:val="left"/>
      <w:pPr>
        <w:ind w:left="2880" w:hanging="360"/>
      </w:pPr>
    </w:lvl>
    <w:lvl w:ilvl="4" w:tplc="1FF4335A">
      <w:start w:val="1"/>
      <w:numFmt w:val="lowerLetter"/>
      <w:lvlText w:val="%5."/>
      <w:lvlJc w:val="left"/>
      <w:pPr>
        <w:ind w:left="3600" w:hanging="360"/>
      </w:pPr>
    </w:lvl>
    <w:lvl w:ilvl="5" w:tplc="6F325E60">
      <w:start w:val="1"/>
      <w:numFmt w:val="lowerRoman"/>
      <w:lvlText w:val="%6."/>
      <w:lvlJc w:val="right"/>
      <w:pPr>
        <w:ind w:left="4320" w:hanging="180"/>
      </w:pPr>
    </w:lvl>
    <w:lvl w:ilvl="6" w:tplc="09CC1D16">
      <w:start w:val="1"/>
      <w:numFmt w:val="decimal"/>
      <w:lvlText w:val="%7."/>
      <w:lvlJc w:val="left"/>
      <w:pPr>
        <w:ind w:left="5040" w:hanging="360"/>
      </w:pPr>
    </w:lvl>
    <w:lvl w:ilvl="7" w:tplc="3CD8B87E">
      <w:start w:val="1"/>
      <w:numFmt w:val="lowerLetter"/>
      <w:lvlText w:val="%8."/>
      <w:lvlJc w:val="left"/>
      <w:pPr>
        <w:ind w:left="5760" w:hanging="360"/>
      </w:pPr>
    </w:lvl>
    <w:lvl w:ilvl="8" w:tplc="62B2E0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FCB62"/>
    <w:multiLevelType w:val="hybridMultilevel"/>
    <w:tmpl w:val="FFFFFFFF"/>
    <w:lvl w:ilvl="0" w:tplc="0B8672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6A7E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3C25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2C1D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82C4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963A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48CA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188F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383A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06860316">
    <w:abstractNumId w:val="0"/>
    <w:lvlOverride w:ilvl="0">
      <w:startOverride w:val="1"/>
    </w:lvlOverride>
  </w:num>
  <w:num w:numId="2" w16cid:durableId="334187213">
    <w:abstractNumId w:val="1"/>
  </w:num>
  <w:num w:numId="3" w16cid:durableId="2012832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3C21D"/>
    <w:rsid w:val="003A69E2"/>
    <w:rsid w:val="00FB2F0F"/>
    <w:rsid w:val="00FF43F3"/>
    <w:rsid w:val="6FC3C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8DF21"/>
  <w15:docId w15:val="{581A49F2-C0B5-469F-85FF-C3EC0B41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abs/2506.08982" TargetMode="External"/><Relationship Id="rId21" Type="http://schemas.openxmlformats.org/officeDocument/2006/relationships/hyperlink" Target="https://arxiv.org/abs/2508.18947" TargetMode="External"/><Relationship Id="rId42" Type="http://schemas.openxmlformats.org/officeDocument/2006/relationships/hyperlink" Target="https://arxiv.org/abs/2505.19828" TargetMode="External"/><Relationship Id="rId47" Type="http://schemas.openxmlformats.org/officeDocument/2006/relationships/hyperlink" Target="https://arxiv.org/abs/2509.23573" TargetMode="External"/><Relationship Id="rId63" Type="http://schemas.openxmlformats.org/officeDocument/2006/relationships/hyperlink" Target="https://arxiv.org/abs/2505.19828" TargetMode="External"/><Relationship Id="rId68" Type="http://schemas.openxmlformats.org/officeDocument/2006/relationships/hyperlink" Target="https://www.reddit.com/r/cybersecurity/comments/1n2cazp/using_llms_in_soc/" TargetMode="External"/><Relationship Id="rId16" Type="http://schemas.openxmlformats.org/officeDocument/2006/relationships/hyperlink" Target="https://arxiv.org/abs/2505.19828" TargetMode="External"/><Relationship Id="rId11" Type="http://schemas.openxmlformats.org/officeDocument/2006/relationships/hyperlink" Target="https://github.com/FutureComputing4AI/EMBER2024/" TargetMode="External"/><Relationship Id="rId32" Type="http://schemas.openxmlformats.org/officeDocument/2006/relationships/hyperlink" Target="https://github.com/FutureComputing4AI/EMBER2024/" TargetMode="External"/><Relationship Id="rId37" Type="http://schemas.openxmlformats.org/officeDocument/2006/relationships/hyperlink" Target="https://www.frontiersin.org/journals/big-data/articles/10.3389/fdata.2026.1883452/full" TargetMode="External"/><Relationship Id="rId53" Type="http://schemas.openxmlformats.org/officeDocument/2006/relationships/hyperlink" Target="https://arxiv.org/abs/2508.18947" TargetMode="External"/><Relationship Id="rId58" Type="http://schemas.openxmlformats.org/officeDocument/2006/relationships/hyperlink" Target="https://arxiv.org/abs/2606.20502" TargetMode="External"/><Relationship Id="rId74" Type="http://schemas.openxmlformats.org/officeDocument/2006/relationships/hyperlink" Target="https://arxiv.org/abs/2509.01791" TargetMode="External"/><Relationship Id="rId79" Type="http://schemas.openxmlformats.org/officeDocument/2006/relationships/hyperlink" Target="https://aclanthology.org/2025.acl-long.1490.pdf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aclanthology.org/2025.acl-long.1490.pdf" TargetMode="External"/><Relationship Id="rId19" Type="http://schemas.openxmlformats.org/officeDocument/2006/relationships/hyperlink" Target="https://maveryn.github.io/cti-bench/" TargetMode="External"/><Relationship Id="rId14" Type="http://schemas.openxmlformats.org/officeDocument/2006/relationships/hyperlink" Target="https://www.frontiersin.org/journals/big-data/articles/10.3389/fdata.2026.1883452/full" TargetMode="External"/><Relationship Id="rId22" Type="http://schemas.openxmlformats.org/officeDocument/2006/relationships/hyperlink" Target="https://da-code-bench.github.io/" TargetMode="External"/><Relationship Id="rId27" Type="http://schemas.openxmlformats.org/officeDocument/2006/relationships/hyperlink" Target="https://arxiv.org/abs/2605.28554" TargetMode="External"/><Relationship Id="rId30" Type="http://schemas.openxmlformats.org/officeDocument/2006/relationships/hyperlink" Target="https://arxiv.org/abs/2506.05074" TargetMode="External"/><Relationship Id="rId35" Type="http://schemas.openxmlformats.org/officeDocument/2006/relationships/hyperlink" Target="https://www.frontiersin.org/journals/big-data/articles/10.3389/fdata.2026.1883452/full" TargetMode="External"/><Relationship Id="rId43" Type="http://schemas.openxmlformats.org/officeDocument/2006/relationships/hyperlink" Target="https://aclanthology.org/2025.acl-long.1490.pdf" TargetMode="External"/><Relationship Id="rId48" Type="http://schemas.openxmlformats.org/officeDocument/2006/relationships/hyperlink" Target="https://socbench.org/" TargetMode="External"/><Relationship Id="rId56" Type="http://schemas.openxmlformats.org/officeDocument/2006/relationships/hyperlink" Target="https://arxiv.org/abs/2506.08982" TargetMode="External"/><Relationship Id="rId64" Type="http://schemas.openxmlformats.org/officeDocument/2006/relationships/hyperlink" Target="https://cybench.github.io/" TargetMode="External"/><Relationship Id="rId69" Type="http://schemas.openxmlformats.org/officeDocument/2006/relationships/hyperlink" Target="https://arxiv.org/abs/2508.18947" TargetMode="External"/><Relationship Id="rId77" Type="http://schemas.openxmlformats.org/officeDocument/2006/relationships/hyperlink" Target="https://github.com/FutureComputing4AI/EMBER2024/" TargetMode="External"/><Relationship Id="rId8" Type="http://schemas.openxmlformats.org/officeDocument/2006/relationships/hyperlink" Target="https://github.com/pablogarciaamolina/AI-for-IDS" TargetMode="External"/><Relationship Id="rId51" Type="http://schemas.openxmlformats.org/officeDocument/2006/relationships/hyperlink" Target="https://socbench.org/" TargetMode="External"/><Relationship Id="rId72" Type="http://schemas.openxmlformats.org/officeDocument/2006/relationships/hyperlink" Target="https://arxiv.org/abs/2605.28554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ithub.com/FutureComputing4AI/EMBER2024/" TargetMode="External"/><Relationship Id="rId17" Type="http://schemas.openxmlformats.org/officeDocument/2006/relationships/hyperlink" Target="https://aclanthology.org/2025.acl-long.1490.pdf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whyisyoung.github.io/BODMAS/" TargetMode="External"/><Relationship Id="rId38" Type="http://schemas.openxmlformats.org/officeDocument/2006/relationships/hyperlink" Target="https://zenodo.org/records/18471483" TargetMode="External"/><Relationship Id="rId46" Type="http://schemas.openxmlformats.org/officeDocument/2006/relationships/hyperlink" Target="https://arxiv.org/abs/2508.18947" TargetMode="External"/><Relationship Id="rId59" Type="http://schemas.openxmlformats.org/officeDocument/2006/relationships/hyperlink" Target="https://github.com/pablogarciaamolina/AI-for-IDS" TargetMode="External"/><Relationship Id="rId67" Type="http://schemas.openxmlformats.org/officeDocument/2006/relationships/hyperlink" Target="https://news.ycombinator.com/item?id=41562034" TargetMode="External"/><Relationship Id="rId20" Type="http://schemas.openxmlformats.org/officeDocument/2006/relationships/hyperlink" Target="https://arxiv.org/abs/2509.23573" TargetMode="External"/><Relationship Id="rId41" Type="http://schemas.openxmlformats.org/officeDocument/2006/relationships/hyperlink" Target="https://aclanthology.org/2025.acl-long.1490.pdf" TargetMode="External"/><Relationship Id="rId54" Type="http://schemas.openxmlformats.org/officeDocument/2006/relationships/hyperlink" Target="https://aclanthology.org/2025.acl-long.1490.pdf" TargetMode="External"/><Relationship Id="rId62" Type="http://schemas.openxmlformats.org/officeDocument/2006/relationships/hyperlink" Target="https://www.frontiersin.org/journals/big-data/articles/10.3389/fdata.2026.1883452/full" TargetMode="External"/><Relationship Id="rId70" Type="http://schemas.openxmlformats.org/officeDocument/2006/relationships/hyperlink" Target="https://socbench.org/" TargetMode="External"/><Relationship Id="rId75" Type="http://schemas.openxmlformats.org/officeDocument/2006/relationships/hyperlink" Target="https://www.frontiersin.org/journals/big-data/articles/10.3389/fdata.2026.1883452/fu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506.08982" TargetMode="External"/><Relationship Id="rId15" Type="http://schemas.openxmlformats.org/officeDocument/2006/relationships/hyperlink" Target="https://arxiv.org/pdf/2403.18624" TargetMode="External"/><Relationship Id="rId23" Type="http://schemas.openxmlformats.org/officeDocument/2006/relationships/hyperlink" Target="https://arxiv.org/abs/2506.08982" TargetMode="External"/><Relationship Id="rId28" Type="http://schemas.openxmlformats.org/officeDocument/2006/relationships/hyperlink" Target="https://github.com/pablogarciaamolina/AI-for-IDS" TargetMode="External"/><Relationship Id="rId36" Type="http://schemas.openxmlformats.org/officeDocument/2006/relationships/hyperlink" Target="https://arxiv.org/abs/2509.01791" TargetMode="External"/><Relationship Id="rId49" Type="http://schemas.openxmlformats.org/officeDocument/2006/relationships/hyperlink" Target="https://github.com/maveryn/cti-bench" TargetMode="External"/><Relationship Id="rId57" Type="http://schemas.openxmlformats.org/officeDocument/2006/relationships/hyperlink" Target="https://arxiv.org/abs/2605.28554" TargetMode="External"/><Relationship Id="rId10" Type="http://schemas.openxmlformats.org/officeDocument/2006/relationships/hyperlink" Target="https://arxiv.org/abs/2506.05074" TargetMode="External"/><Relationship Id="rId31" Type="http://schemas.openxmlformats.org/officeDocument/2006/relationships/hyperlink" Target="https://github.com/FutureComputing4AI/EMBER2024/" TargetMode="External"/><Relationship Id="rId44" Type="http://schemas.openxmlformats.org/officeDocument/2006/relationships/hyperlink" Target="https://github.com/secureIT-project/CVEfixes" TargetMode="External"/><Relationship Id="rId52" Type="http://schemas.openxmlformats.org/officeDocument/2006/relationships/hyperlink" Target="https://da-code-bench.github.io/" TargetMode="External"/><Relationship Id="rId60" Type="http://schemas.openxmlformats.org/officeDocument/2006/relationships/hyperlink" Target="https://arxiv.org/pdf/2403.18624" TargetMode="External"/><Relationship Id="rId65" Type="http://schemas.openxmlformats.org/officeDocument/2006/relationships/hyperlink" Target="https://aclanthology.org/2025.acl-long.1490.pdf" TargetMode="External"/><Relationship Id="rId73" Type="http://schemas.openxmlformats.org/officeDocument/2006/relationships/hyperlink" Target="https://github.com/pablogarciaamolina/AI-for-IDS" TargetMode="External"/><Relationship Id="rId78" Type="http://schemas.openxmlformats.org/officeDocument/2006/relationships/hyperlink" Target="https://arxiv.org/abs/2505.19828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86-024-08328-6" TargetMode="External"/><Relationship Id="rId13" Type="http://schemas.openxmlformats.org/officeDocument/2006/relationships/hyperlink" Target="https://arxiv.org/abs/2509.01791" TargetMode="External"/><Relationship Id="rId18" Type="http://schemas.openxmlformats.org/officeDocument/2006/relationships/hyperlink" Target="https://github.com/maveryn/cti-bench" TargetMode="External"/><Relationship Id="rId39" Type="http://schemas.openxmlformats.org/officeDocument/2006/relationships/hyperlink" Target="https://arxiv.org/pdf/2403.18624" TargetMode="External"/><Relationship Id="rId34" Type="http://schemas.openxmlformats.org/officeDocument/2006/relationships/hyperlink" Target="https://arxiv.org/abs/2509.01791" TargetMode="External"/><Relationship Id="rId50" Type="http://schemas.openxmlformats.org/officeDocument/2006/relationships/hyperlink" Target="https://github.com/mitre-attack/attack-stix-data/blob/master/LICENSE.txt" TargetMode="External"/><Relationship Id="rId55" Type="http://schemas.openxmlformats.org/officeDocument/2006/relationships/hyperlink" Target="https://www.nature.com/articles/s41586-024-08328-6" TargetMode="External"/><Relationship Id="rId76" Type="http://schemas.openxmlformats.org/officeDocument/2006/relationships/hyperlink" Target="https://arxiv.org/abs/2506.05074" TargetMode="External"/><Relationship Id="rId7" Type="http://schemas.openxmlformats.org/officeDocument/2006/relationships/hyperlink" Target="https://arxiv.org/abs/2605.28554" TargetMode="External"/><Relationship Id="rId71" Type="http://schemas.openxmlformats.org/officeDocument/2006/relationships/hyperlink" Target="https://arxiv.org/abs/2506.089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pablogarciaamolina/AI-for-IDS" TargetMode="External"/><Relationship Id="rId24" Type="http://schemas.openxmlformats.org/officeDocument/2006/relationships/hyperlink" Target="https://aclanthology.org/2025.acl-long.1490.pdf" TargetMode="External"/><Relationship Id="rId40" Type="http://schemas.openxmlformats.org/officeDocument/2006/relationships/hyperlink" Target="https://arxiv.org/abs/2505.19828" TargetMode="External"/><Relationship Id="rId45" Type="http://schemas.openxmlformats.org/officeDocument/2006/relationships/hyperlink" Target="https://github.com/maveryn/cti-bench" TargetMode="External"/><Relationship Id="rId66" Type="http://schemas.openxmlformats.org/officeDocument/2006/relationships/hyperlink" Target="https://socbench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3410</Words>
  <Characters>19441</Characters>
  <Application>Microsoft Office Word</Application>
  <DocSecurity>0</DocSecurity>
  <Lines>162</Lines>
  <Paragraphs>45</Paragraphs>
  <ScaleCrop>false</ScaleCrop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Eli Kling</cp:lastModifiedBy>
  <cp:revision>2</cp:revision>
  <dcterms:created xsi:type="dcterms:W3CDTF">2026-10-07T11:55:00Z</dcterms:created>
  <dcterms:modified xsi:type="dcterms:W3CDTF">2026-10-07T11:55:00Z</dcterms:modified>
</cp:coreProperties>
</file>