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F766E"/>
          <w:sz w:val="18"/>
        </w:rPr>
        <w:t>ARCHITECTURE &amp; VISION BOOK  ·  v0.2</w:t>
      </w:r>
    </w:p>
    <w:p>
      <w:pPr>
        <w:spacing w:after="60"/>
      </w:pPr>
      <w:r>
        <w:rPr>
          <w:rFonts w:ascii="Calibri" w:hAnsi="Calibri"/>
          <w:b/>
          <w:color w:val="17324D"/>
          <w:sz w:val="52"/>
        </w:rPr>
        <w:t>Waaxalma</w:t>
      </w:r>
    </w:p>
    <w:p>
      <w:pPr>
        <w:spacing w:after="100"/>
      </w:pPr>
      <w:r>
        <w:rPr>
          <w:rFonts w:ascii="Calibri" w:hAnsi="Calibri"/>
          <w:color w:val="2E74B5"/>
          <w:sz w:val="27"/>
        </w:rPr>
        <w:t>Mission and first high-level architecture</w:t>
      </w:r>
    </w:p>
    <w:p>
      <w:pPr>
        <w:spacing w:after="160"/>
        <w:pBdr>
          <w:bottom w:val="single" w:sz="10" w:space="5" w:color="2E74B5"/>
        </w:pBdr>
      </w:pPr>
      <w:r>
        <w:rPr>
          <w:rFonts w:ascii="Calibri" w:hAnsi="Calibri"/>
          <w:color w:val="667085"/>
          <w:sz w:val="18"/>
        </w:rPr>
        <w:t>28 June 2026  ·  Elimane DIOP  ·  Laffaxexeul SA  ·  Early Development</w:t>
      </w:r>
    </w:p>
    <w:p>
      <w:pPr>
        <w:spacing w:before="80" w:after="140" w:line="264" w:lineRule="auto"/>
        <w:ind w:left="115" w:right="115"/>
        <w:shd w:fill="E9F5F1"/>
        <w:pBdr>
          <w:top w:val="single" w:sz="10" w:space="5" w:color="E9F5F1"/>
          <w:bottom w:val="single" w:sz="10" w:space="5" w:color="E9F5F1"/>
          <w:end w:val="single" w:sz="10" w:space="5" w:color="E9F5F1"/>
          <w:start w:val="single" w:sz="18" w:space="7" w:color="0F766E"/>
        </w:pBdr>
        <w:keepLines w:val="1"/>
      </w:pPr>
      <w:r>
        <w:rPr>
          <w:rFonts w:ascii="Calibri" w:hAnsi="Calibri"/>
          <w:b/>
          <w:color w:val="0F766E"/>
          <w:sz w:val="19"/>
        </w:rPr>
        <w:t xml:space="preserve">MISSION  </w:t>
      </w:r>
      <w:r>
        <w:rPr>
          <w:rFonts w:ascii="Calibri" w:hAnsi="Calibri"/>
          <w:color w:val="1F2937"/>
          <w:sz w:val="20"/>
        </w:rPr>
        <w:t>Speak naturally. Speak through AI. Enable seamless multilingual communication through intelligent AI voice agents.</w:t>
      </w:r>
    </w:p>
    <w:p>
      <w:pPr>
        <w:pStyle w:val="Heading1"/>
      </w:pPr>
      <w:r>
        <w:t>1. Overview</w:t>
      </w:r>
    </w:p>
    <w:p>
      <w:pPr>
        <w:spacing w:after="100"/>
      </w:pPr>
      <w:r>
        <w:t>Waaxalma is an AI Voice Agent Framework that enables people to communicate naturally across languages. Instead of acting as a traditional translator, it understands the speaker’s intent, preserves conversational context, and speaks naturally in the target language.</w:t>
      </w:r>
    </w:p>
    <w:p>
      <w:pPr>
        <w:spacing w:after="100"/>
      </w:pPr>
      <w:r>
        <w:t>The project aims to provide an extensible framework for multilingual voice agents powered by Large Language Models, speech recognition, speech synthesis and conversational memory. Waaxalma means “Speak for me” in Wolof: an intelligent voice companion rather than a simple translation tool.</w:t>
      </w:r>
    </w:p>
    <w:p>
      <w:pPr>
        <w:pStyle w:val="Heading1"/>
      </w:pPr>
      <w:r>
        <w:t>2. Goals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17324D"/>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FFFFFF"/>
                <w:sz w:val="18"/>
              </w:rPr>
              <w:t>Primary goals</w:t>
            </w:r>
          </w:p>
        </w:tc>
        <w:tc>
          <w:tcPr>
            <w:tcW w:type="dxa" w:w="4680"/>
            <w:shd w:fill="17324D"/>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FFFFFF"/>
                <w:sz w:val="18"/>
              </w:rPr>
              <w:t>Secondary goals</w:t>
            </w:r>
          </w:p>
        </w:tc>
      </w:tr>
      <w:tr>
        <w:trPr>
          <w:cantSplit/>
        </w:trPr>
        <w:tc>
          <w:tcPr>
            <w:tcW w:type="dxa" w:w="468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pStyle w:val="ListBullet"/>
              <w:spacing w:after="50"/>
              <w:ind w:left="360" w:hanging="259"/>
            </w:pPr>
            <w:r>
              <w:rPr>
                <w:rFonts w:ascii="Calibri" w:hAnsi="Calibri"/>
                <w:color w:val="1F2937"/>
                <w:sz w:val="17"/>
              </w:rPr>
              <w:t>Build an extensible AI Voice Agent Framework.</w:t>
            </w:r>
          </w:p>
          <w:p>
            <w:pPr>
              <w:pStyle w:val="ListBullet"/>
              <w:spacing w:after="50"/>
              <w:ind w:left="360" w:hanging="259"/>
            </w:pPr>
            <w:r>
              <w:rPr>
                <w:rFonts w:ascii="Calibri" w:hAnsi="Calibri"/>
                <w:color w:val="1F2937"/>
                <w:sz w:val="17"/>
              </w:rPr>
              <w:t>Enable multilingual real-time conversations.</w:t>
            </w:r>
          </w:p>
          <w:p>
            <w:pPr>
              <w:pStyle w:val="ListBullet"/>
              <w:spacing w:after="50"/>
              <w:ind w:left="360" w:hanging="259"/>
            </w:pPr>
            <w:r>
              <w:rPr>
                <w:rFonts w:ascii="Calibri" w:hAnsi="Calibri"/>
                <w:color w:val="1F2937"/>
                <w:sz w:val="17"/>
              </w:rPr>
              <w:t>Support multiple AI providers through a unified abstraction.</w:t>
            </w:r>
          </w:p>
          <w:p>
            <w:pPr>
              <w:pStyle w:val="ListBullet"/>
              <w:spacing w:after="50"/>
              <w:ind w:left="360" w:hanging="259"/>
            </w:pPr>
            <w:r>
              <w:rPr>
                <w:rFonts w:ascii="Calibri" w:hAnsi="Calibri"/>
                <w:color w:val="1F2937"/>
                <w:sz w:val="17"/>
              </w:rPr>
              <w:t>Keep conversation context across sessions.</w:t>
            </w:r>
          </w:p>
          <w:p>
            <w:pPr>
              <w:pStyle w:val="ListBullet"/>
              <w:spacing w:after="50"/>
              <w:ind w:left="360" w:hanging="259"/>
            </w:pPr>
            <w:r>
              <w:rPr>
                <w:rFonts w:ascii="Calibri" w:hAnsi="Calibri"/>
                <w:color w:val="1F2937"/>
                <w:sz w:val="17"/>
              </w:rPr>
              <w:t>Offer a modular architecture for custom voice agents.</w:t>
            </w:r>
          </w:p>
        </w:tc>
        <w:tc>
          <w:tcPr>
            <w:tcW w:type="dxa" w:w="468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pStyle w:val="ListBullet"/>
              <w:spacing w:after="50"/>
              <w:ind w:left="360" w:hanging="259"/>
            </w:pPr>
            <w:r>
              <w:rPr>
                <w:rFonts w:ascii="Calibri" w:hAnsi="Calibri"/>
                <w:color w:val="1F2937"/>
                <w:sz w:val="17"/>
              </w:rPr>
              <w:t>Support on-premise and cloud LLM providers.</w:t>
            </w:r>
          </w:p>
          <w:p>
            <w:pPr>
              <w:pStyle w:val="ListBullet"/>
              <w:spacing w:after="50"/>
              <w:ind w:left="360" w:hanging="259"/>
            </w:pPr>
            <w:r>
              <w:rPr>
                <w:rFonts w:ascii="Calibri" w:hAnsi="Calibri"/>
                <w:color w:val="1F2937"/>
                <w:sz w:val="17"/>
              </w:rPr>
              <w:t>Enable voice cloning.</w:t>
            </w:r>
          </w:p>
          <w:p>
            <w:pPr>
              <w:pStyle w:val="ListBullet"/>
              <w:spacing w:after="50"/>
              <w:ind w:left="360" w:hanging="259"/>
            </w:pPr>
            <w:r>
              <w:rPr>
                <w:rFonts w:ascii="Calibri" w:hAnsi="Calibri"/>
                <w:color w:val="1F2937"/>
                <w:sz w:val="17"/>
              </w:rPr>
              <w:t>Provide streaming voice conversations.</w:t>
            </w:r>
          </w:p>
          <w:p>
            <w:pPr>
              <w:pStyle w:val="ListBullet"/>
              <w:spacing w:after="50"/>
              <w:ind w:left="360" w:hanging="259"/>
            </w:pPr>
            <w:r>
              <w:rPr>
                <w:rFonts w:ascii="Calibri" w:hAnsi="Calibri"/>
                <w:color w:val="1F2937"/>
                <w:sz w:val="17"/>
              </w:rPr>
              <w:t>Expose REST and WebSocket APIs.</w:t>
            </w:r>
          </w:p>
          <w:p>
            <w:pPr>
              <w:pStyle w:val="ListBullet"/>
              <w:spacing w:after="50"/>
              <w:ind w:left="360" w:hanging="259"/>
            </w:pPr>
            <w:r>
              <w:rPr>
                <w:rFonts w:ascii="Calibri" w:hAnsi="Calibri"/>
                <w:color w:val="1F2937"/>
                <w:sz w:val="17"/>
              </w:rPr>
              <w:t>Offer a Python SDK.</w:t>
            </w:r>
          </w:p>
        </w:tc>
      </w:tr>
    </w:tbl>
    <w:p>
      <w:pPr>
        <w:spacing w:before="80" w:after="140" w:line="264" w:lineRule="auto"/>
        <w:ind w:left="115" w:right="115"/>
        <w:shd w:fill="EAF3FA"/>
        <w:pBdr>
          <w:top w:val="single" w:sz="10" w:space="5" w:color="EAF3FA"/>
          <w:bottom w:val="single" w:sz="10" w:space="5" w:color="EAF3FA"/>
          <w:end w:val="single" w:sz="10" w:space="5" w:color="EAF3FA"/>
          <w:start w:val="single" w:sz="18" w:space="7" w:color="2E74B5"/>
        </w:pBdr>
        <w:keepLines w:val="1"/>
      </w:pPr>
      <w:r>
        <w:rPr>
          <w:rFonts w:ascii="Calibri" w:hAnsi="Calibri"/>
          <w:b/>
          <w:color w:val="2E74B5"/>
          <w:sz w:val="19"/>
        </w:rPr>
        <w:t xml:space="preserve">PROBLEM STATEMENT  </w:t>
      </w:r>
      <w:r>
        <w:rPr>
          <w:rFonts w:ascii="Calibri" w:hAnsi="Calibri"/>
          <w:color w:val="1F2937"/>
          <w:sz w:val="20"/>
        </w:rPr>
        <w:t>The goal is not to translate words. The goal is to communicate intentions.</w:t>
      </w:r>
    </w:p>
    <w:p>
      <w:r>
        <w:br w:type="page"/>
      </w:r>
    </w:p>
    <w:p>
      <w:pPr>
        <w:pStyle w:val="Heading1"/>
      </w:pPr>
      <w:r>
        <w:t>3. Core principles</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cantSplit/>
        </w:trPr>
        <w:tc>
          <w:tcPr>
            <w:tcW w:type="dxa" w:w="2450"/>
            <w:shd w:fill="17324D"/>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FFFFFF"/>
                <w:sz w:val="18"/>
              </w:rPr>
              <w:t>Principle</w:t>
            </w:r>
          </w:p>
        </w:tc>
        <w:tc>
          <w:tcPr>
            <w:tcW w:type="dxa" w:w="6910"/>
            <w:shd w:fill="17324D"/>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FFFFFF"/>
                <w:sz w:val="18"/>
              </w:rPr>
              <w:t>Meaning</w:t>
            </w:r>
          </w:p>
        </w:tc>
      </w:tr>
      <w:tr>
        <w:trPr>
          <w:cantSplit/>
        </w:trPr>
        <w:tc>
          <w:tcPr>
            <w:tcW w:type="dxa" w:w="24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2E74B5"/>
                <w:sz w:val="17"/>
              </w:rPr>
              <w:t>Agent-first</w:t>
            </w:r>
          </w:p>
        </w:tc>
        <w:tc>
          <w:tcPr>
            <w:tcW w:type="dxa" w:w="691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color w:val="1F2937"/>
                <w:sz w:val="17"/>
              </w:rPr>
              <w:t>Everything is an Agent.</w:t>
            </w:r>
          </w:p>
        </w:tc>
      </w:tr>
      <w:tr>
        <w:trPr>
          <w:cantSplit/>
        </w:trPr>
        <w:tc>
          <w:tcPr>
            <w:tcW w:type="dxa" w:w="245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2E74B5"/>
                <w:sz w:val="17"/>
              </w:rPr>
              <w:t>Skills-based</w:t>
            </w:r>
          </w:p>
        </w:tc>
        <w:tc>
          <w:tcPr>
            <w:tcW w:type="dxa" w:w="691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color w:val="1F2937"/>
                <w:sz w:val="17"/>
              </w:rPr>
              <w:t>Agents are composed of reusable skills.</w:t>
            </w:r>
          </w:p>
        </w:tc>
      </w:tr>
      <w:tr>
        <w:trPr>
          <w:cantSplit/>
        </w:trPr>
        <w:tc>
          <w:tcPr>
            <w:tcW w:type="dxa" w:w="24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2E74B5"/>
                <w:sz w:val="17"/>
              </w:rPr>
              <w:t>Provider-independent</w:t>
            </w:r>
          </w:p>
        </w:tc>
        <w:tc>
          <w:tcPr>
            <w:tcW w:type="dxa" w:w="691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color w:val="1F2937"/>
                <w:sz w:val="17"/>
              </w:rPr>
              <w:t>Agents never depend directly on OpenAI, Gemini, or another specific provider.</w:t>
            </w:r>
          </w:p>
        </w:tc>
      </w:tr>
      <w:tr>
        <w:trPr>
          <w:cantSplit/>
        </w:trPr>
        <w:tc>
          <w:tcPr>
            <w:tcW w:type="dxa" w:w="245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2E74B5"/>
                <w:sz w:val="17"/>
              </w:rPr>
              <w:t>Conversation-aware</w:t>
            </w:r>
          </w:p>
        </w:tc>
        <w:tc>
          <w:tcPr>
            <w:tcW w:type="dxa" w:w="691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color w:val="1F2937"/>
                <w:sz w:val="17"/>
              </w:rPr>
              <w:t>Every interaction belongs to a conversation.</w:t>
            </w:r>
          </w:p>
        </w:tc>
      </w:tr>
      <w:tr>
        <w:trPr>
          <w:cantSplit/>
        </w:trPr>
        <w:tc>
          <w:tcPr>
            <w:tcW w:type="dxa" w:w="24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2E74B5"/>
                <w:sz w:val="17"/>
              </w:rPr>
              <w:t>Extensible</w:t>
            </w:r>
          </w:p>
        </w:tc>
        <w:tc>
          <w:tcPr>
            <w:tcW w:type="dxa" w:w="691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color w:val="1F2937"/>
                <w:sz w:val="17"/>
              </w:rPr>
              <w:t>New Agents, Skills, Providers and Memories can be added without modifying existing code.</w:t>
            </w:r>
          </w:p>
        </w:tc>
      </w:tr>
    </w:tbl>
    <w:p>
      <w:pPr>
        <w:pStyle w:val="Heading1"/>
      </w:pPr>
      <w:r>
        <w:t>4. Architecture</w:t>
      </w:r>
    </w:p>
    <w:p>
      <w:pPr>
        <w:spacing w:after="60"/>
        <w:jc w:val="center"/>
      </w:pPr>
      <w:r>
        <w:drawing>
          <wp:inline xmlns:a="http://schemas.openxmlformats.org/drawingml/2006/main" xmlns:pic="http://schemas.openxmlformats.org/drawingml/2006/picture">
            <wp:extent cx="5943600" cy="2575560"/>
            <wp:docPr id="1" name="Picture 1" descr="Waaxalma v0.2 architecture showing REST and Streamlit API, Agent Manager, TranslationAgent, InterpreterAgent, reusable skills and providers."/>
            <wp:cNvGraphicFramePr>
              <a:graphicFrameLocks noChangeAspect="1"/>
            </wp:cNvGraphicFramePr>
            <a:graphic>
              <a:graphicData uri="http://schemas.openxmlformats.org/drawingml/2006/picture">
                <pic:pic>
                  <pic:nvPicPr>
                    <pic:cNvPr id="0" name="waaxalma_architecture_v0.2.png"/>
                    <pic:cNvPicPr/>
                  </pic:nvPicPr>
                  <pic:blipFill>
                    <a:blip r:embed="rId11"/>
                    <a:stretch>
                      <a:fillRect/>
                    </a:stretch>
                  </pic:blipFill>
                  <pic:spPr>
                    <a:xfrm>
                      <a:off x="0" y="0"/>
                      <a:ext cx="5943600" cy="2575560"/>
                    </a:xfrm>
                    <a:prstGeom prst="rect"/>
                  </pic:spPr>
                </pic:pic>
              </a:graphicData>
            </a:graphic>
          </wp:inline>
        </w:drawing>
      </w:r>
    </w:p>
    <w:p>
      <w:pPr>
        <w:spacing w:after="40"/>
      </w:pPr>
      <w:r>
        <w:rPr>
          <w:rFonts w:ascii="Calibri" w:hAnsi="Calibri"/>
          <w:b/>
          <w:color w:val="17324D"/>
          <w:sz w:val="17"/>
        </w:rPr>
        <w:t xml:space="preserve">Figure 1. </w:t>
      </w:r>
      <w:r>
        <w:rPr>
          <w:rFonts w:ascii="Calibri" w:hAnsi="Calibri"/>
          <w:color w:val="667085"/>
          <w:sz w:val="17"/>
        </w:rPr>
        <w:t>Waaxalma high-level architecture, restyled without changing the original component boundaries.</w:t>
      </w:r>
    </w:p>
    <w:p>
      <w:r>
        <w:br w:type="page"/>
      </w:r>
    </w:p>
    <w:p>
      <w:pPr>
        <w:pStyle w:val="Heading1"/>
      </w:pPr>
      <w:r>
        <w:t>5. Roadmap</w:t>
      </w:r>
    </w:p>
    <w:p>
      <w:pPr>
        <w:spacing w:after="100"/>
      </w:pPr>
      <w:r>
        <w:t>The roadmap progresses from a validated translation foundation toward contextual, real-time and reusable voice experiences.</w:t>
      </w:r>
    </w:p>
    <w:tbl>
      <w:tblPr>
        <w:tblStyle w:val="TableGrid"/>
        <w:tblW w:type="dxa" w:w="9360"/>
        <w:jc w:val="left"/>
        <w:tblLayout w:type="fixed"/>
        <w:tblLook w:firstColumn="1" w:firstRow="1" w:lastColumn="0" w:lastRow="0" w:noHBand="0" w:noVBand="1" w:val="04A0"/>
        <w:tblInd w:w="120" w:type="dxa"/>
      </w:tblPr>
      <w:tblGrid>
        <w:gridCol w:w="1750"/>
        <w:gridCol w:w="5350"/>
        <w:gridCol w:w="2260"/>
      </w:tblGrid>
      <w:tr>
        <w:trPr>
          <w:tblHeader w:val="true"/>
          <w:cantSplit/>
        </w:trPr>
        <w:tc>
          <w:tcPr>
            <w:tcW w:type="dxa" w:w="1750"/>
            <w:shd w:fill="17324D"/>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FFFFFF"/>
                <w:sz w:val="18"/>
              </w:rPr>
              <w:t>Stage</w:t>
            </w:r>
          </w:p>
        </w:tc>
        <w:tc>
          <w:tcPr>
            <w:tcW w:type="dxa" w:w="5350"/>
            <w:shd w:fill="17324D"/>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FFFFFF"/>
                <w:sz w:val="18"/>
              </w:rPr>
              <w:t>Capability</w:t>
            </w:r>
          </w:p>
        </w:tc>
        <w:tc>
          <w:tcPr>
            <w:tcW w:type="dxa" w:w="2260"/>
            <w:shd w:fill="17324D"/>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FFFFFF"/>
                <w:sz w:val="18"/>
              </w:rPr>
              <w:t>Status</w:t>
            </w:r>
          </w:p>
        </w:tc>
      </w:tr>
      <w:tr>
        <w:trPr>
          <w:cantSplit/>
        </w:trPr>
        <w:tc>
          <w:tcPr>
            <w:tcW w:type="dxa" w:w="17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324D"/>
                <w:sz w:val="17"/>
              </w:rPr>
              <w:t>Sprint 1</w:t>
            </w:r>
          </w:p>
        </w:tc>
        <w:tc>
          <w:tcPr>
            <w:tcW w:type="dxa" w:w="53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val="0"/>
                <w:color w:val="1F2937"/>
                <w:sz w:val="17"/>
              </w:rPr>
              <w:t>Core Translation API</w:t>
            </w:r>
          </w:p>
        </w:tc>
        <w:tc>
          <w:tcPr>
            <w:tcW w:type="dxa" w:w="226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805C"/>
                <w:sz w:val="17"/>
              </w:rPr>
              <w:t>Validated</w:t>
            </w:r>
          </w:p>
        </w:tc>
      </w:tr>
      <w:tr>
        <w:trPr>
          <w:cantSplit/>
        </w:trPr>
        <w:tc>
          <w:tcPr>
            <w:tcW w:type="dxa" w:w="175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324D"/>
                <w:sz w:val="17"/>
              </w:rPr>
              <w:t>Sprint 2</w:t>
            </w:r>
          </w:p>
        </w:tc>
        <w:tc>
          <w:tcPr>
            <w:tcW w:type="dxa" w:w="535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val="0"/>
                <w:color w:val="1F2937"/>
                <w:sz w:val="17"/>
              </w:rPr>
              <w:t>Agent Framework</w:t>
            </w:r>
          </w:p>
        </w:tc>
        <w:tc>
          <w:tcPr>
            <w:tcW w:type="dxa" w:w="226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805C"/>
                <w:sz w:val="17"/>
              </w:rPr>
              <w:t>Validated</w:t>
            </w:r>
          </w:p>
        </w:tc>
      </w:tr>
      <w:tr>
        <w:trPr>
          <w:cantSplit/>
        </w:trPr>
        <w:tc>
          <w:tcPr>
            <w:tcW w:type="dxa" w:w="17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324D"/>
                <w:sz w:val="17"/>
              </w:rPr>
              <w:t>Sprint 3</w:t>
            </w:r>
          </w:p>
        </w:tc>
        <w:tc>
          <w:tcPr>
            <w:tcW w:type="dxa" w:w="53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val="0"/>
                <w:color w:val="1F2937"/>
                <w:sz w:val="17"/>
              </w:rPr>
              <w:t>Multi-Agent &amp; Session Framework</w:t>
            </w:r>
          </w:p>
        </w:tc>
        <w:tc>
          <w:tcPr>
            <w:tcW w:type="dxa" w:w="226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805C"/>
                <w:sz w:val="17"/>
              </w:rPr>
              <w:t>Validated</w:t>
            </w:r>
          </w:p>
        </w:tc>
      </w:tr>
      <w:tr>
        <w:trPr>
          <w:cantSplit/>
        </w:trPr>
        <w:tc>
          <w:tcPr>
            <w:tcW w:type="dxa" w:w="175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324D"/>
                <w:sz w:val="17"/>
              </w:rPr>
              <w:t>Sprint 4</w:t>
            </w:r>
          </w:p>
        </w:tc>
        <w:tc>
          <w:tcPr>
            <w:tcW w:type="dxa" w:w="535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val="0"/>
                <w:color w:val="1F2937"/>
                <w:sz w:val="17"/>
              </w:rPr>
              <w:t>Voice Pipeline</w:t>
            </w:r>
          </w:p>
        </w:tc>
        <w:tc>
          <w:tcPr>
            <w:tcW w:type="dxa" w:w="226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2E74B5"/>
                <w:sz w:val="17"/>
              </w:rPr>
              <w:t>In progress</w:t>
            </w:r>
          </w:p>
        </w:tc>
      </w:tr>
      <w:tr>
        <w:trPr>
          <w:cantSplit/>
        </w:trPr>
        <w:tc>
          <w:tcPr>
            <w:tcW w:type="dxa" w:w="17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324D"/>
                <w:sz w:val="17"/>
              </w:rPr>
              <w:t>Sprint 5</w:t>
            </w:r>
          </w:p>
        </w:tc>
        <w:tc>
          <w:tcPr>
            <w:tcW w:type="dxa" w:w="53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val="0"/>
                <w:color w:val="1F2937"/>
                <w:sz w:val="17"/>
              </w:rPr>
              <w:t>Conversation Memory</w:t>
            </w:r>
          </w:p>
        </w:tc>
        <w:tc>
          <w:tcPr>
            <w:tcW w:type="dxa" w:w="226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667085"/>
                <w:sz w:val="17"/>
              </w:rPr>
              <w:t>Planned</w:t>
            </w:r>
          </w:p>
        </w:tc>
      </w:tr>
      <w:tr>
        <w:trPr>
          <w:cantSplit/>
        </w:trPr>
        <w:tc>
          <w:tcPr>
            <w:tcW w:type="dxa" w:w="175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324D"/>
                <w:sz w:val="17"/>
              </w:rPr>
              <w:t>Sprint 6</w:t>
            </w:r>
          </w:p>
        </w:tc>
        <w:tc>
          <w:tcPr>
            <w:tcW w:type="dxa" w:w="535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val="0"/>
                <w:color w:val="1F2937"/>
                <w:sz w:val="17"/>
              </w:rPr>
              <w:t>Streaming</w:t>
            </w:r>
          </w:p>
        </w:tc>
        <w:tc>
          <w:tcPr>
            <w:tcW w:type="dxa" w:w="226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667085"/>
                <w:sz w:val="17"/>
              </w:rPr>
              <w:t>Planned</w:t>
            </w:r>
          </w:p>
        </w:tc>
      </w:tr>
      <w:tr>
        <w:trPr>
          <w:cantSplit/>
        </w:trPr>
        <w:tc>
          <w:tcPr>
            <w:tcW w:type="dxa" w:w="17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324D"/>
                <w:sz w:val="17"/>
              </w:rPr>
              <w:t>Sprint 7</w:t>
            </w:r>
          </w:p>
        </w:tc>
        <w:tc>
          <w:tcPr>
            <w:tcW w:type="dxa" w:w="535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val="0"/>
                <w:color w:val="1F2937"/>
                <w:sz w:val="17"/>
              </w:rPr>
              <w:t>Voice Clone</w:t>
            </w:r>
          </w:p>
        </w:tc>
        <w:tc>
          <w:tcPr>
            <w:tcW w:type="dxa" w:w="2260"/>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667085"/>
                <w:sz w:val="17"/>
              </w:rPr>
              <w:t>Planned</w:t>
            </w:r>
          </w:p>
        </w:tc>
      </w:tr>
      <w:tr>
        <w:trPr>
          <w:cantSplit/>
        </w:trPr>
        <w:tc>
          <w:tcPr>
            <w:tcW w:type="dxa" w:w="175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17324D"/>
                <w:sz w:val="17"/>
              </w:rPr>
              <w:t>Sprint 8</w:t>
            </w:r>
          </w:p>
        </w:tc>
        <w:tc>
          <w:tcPr>
            <w:tcW w:type="dxa" w:w="535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val="0"/>
                <w:color w:val="1F2937"/>
                <w:sz w:val="17"/>
              </w:rPr>
              <w:t>Meeting Assistant</w:t>
            </w:r>
          </w:p>
        </w:tc>
        <w:tc>
          <w:tcPr>
            <w:tcW w:type="dxa" w:w="2260"/>
            <w:shd w:fill="F5F7FA"/>
            <w:tcBorders>
              <w:top w:val="single" w:sz="6" w:space="0" w:color="CFD8E3"/>
              <w:start w:val="single" w:sz="6" w:space="0" w:color="CFD8E3"/>
              <w:bottom w:val="single" w:sz="6" w:space="0" w:color="CFD8E3"/>
              <w:end w:val="single" w:sz="6" w:space="0" w:color="CFD8E3"/>
              <w:insideH w:val="single" w:sz="6" w:space="0" w:color="CFD8E3"/>
              <w:insideV w:val="single" w:sz="6" w:space="0" w:color="CFD8E3"/>
            </w:tcBorders>
            <w:vAlign w:val="center"/>
            <w:tcMar>
              <w:top w:w="80" w:type="dxa"/>
              <w:start w:w="120" w:type="dxa"/>
              <w:bottom w:w="80" w:type="dxa"/>
              <w:end w:w="120" w:type="dxa"/>
            </w:tcMar>
          </w:tcPr>
          <w:p>
            <w:pPr>
              <w:spacing w:after="0"/>
            </w:pPr>
            <w:r>
              <w:rPr>
                <w:rFonts w:ascii="Calibri" w:hAnsi="Calibri"/>
                <w:b/>
                <w:color w:val="667085"/>
                <w:sz w:val="17"/>
              </w:rPr>
              <w:t>Planned</w:t>
            </w:r>
          </w:p>
        </w:tc>
      </w:tr>
    </w:tbl>
    <w:p>
      <w:pPr>
        <w:pStyle w:val="Heading1"/>
      </w:pPr>
      <w:r>
        <w:t>6. Future vision</w:t>
      </w:r>
    </w:p>
    <w:p>
      <w:pPr>
        <w:spacing w:after="120"/>
      </w:pPr>
      <w:r>
        <w:t>Waaxalma is designed to become a complete ecosystem for AI-powered voice agents. The framework will support multilingual conversations, meeting assistants, real-time interpreters, customer-service agents, travel assistants and domain-specific voice copilots. Developers will compose reusable capabilities instead of implementing complete applications from scratch.</w:t>
      </w:r>
    </w:p>
    <w:p>
      <w:pPr>
        <w:spacing w:before="80" w:after="140" w:line="264" w:lineRule="auto"/>
        <w:ind w:left="115" w:right="115"/>
        <w:shd w:fill="E9F5F1"/>
        <w:pBdr>
          <w:top w:val="single" w:sz="10" w:space="5" w:color="E9F5F1"/>
          <w:bottom w:val="single" w:sz="10" w:space="5" w:color="E9F5F1"/>
          <w:end w:val="single" w:sz="10" w:space="5" w:color="E9F5F1"/>
          <w:start w:val="single" w:sz="18" w:space="7" w:color="0F766E"/>
        </w:pBdr>
        <w:keepLines w:val="1"/>
      </w:pPr>
      <w:r>
        <w:rPr>
          <w:rFonts w:ascii="Calibri" w:hAnsi="Calibri"/>
          <w:b/>
          <w:color w:val="0F766E"/>
          <w:sz w:val="19"/>
        </w:rPr>
        <w:t xml:space="preserve">VERSION FOCUS  </w:t>
      </w:r>
      <w:r>
        <w:rPr>
          <w:rFonts w:ascii="Calibri" w:hAnsi="Calibri"/>
          <w:color w:val="1F2937"/>
          <w:sz w:val="20"/>
        </w:rPr>
        <w:t>This second version adds a clear slogan, an explicit mission and the first detailed high-level architecture.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667085"/>
        <w:sz w:val="17"/>
      </w:rPr>
      <w:t xml:space="preserve">Waaxalma v0.2   ·   </w:t>
    </w:r>
    <w:r>
      <w:rPr>
        <w:rFonts w:ascii="Calibri" w:hAnsi="Calibri"/>
        <w:color w:val="667085"/>
        <w:sz w:val="17"/>
      </w:rPr>
      <w:fldChar w:fldCharType="begin"/>
      <w:instrText xml:space="preserve">PAGE</w:instrText>
      <w:fldChar w:fldCharType="separate"/>
      <w:t>1</w:t>
      <w:fldChar w:fldCharType="end"/>
    </w:r>
    <w:r>
      <w:rPr>
        <w:rFonts w:ascii="Calibri" w:hAnsi="Calibri"/>
        <w:color w:val="667085"/>
        <w:sz w:val="17"/>
      </w:rPr>
      <w:t xml:space="preserve"> / </w:t>
    </w:r>
    <w:r>
      <w:rPr>
        <w:rFonts w:ascii="Calibri" w:hAnsi="Calibri"/>
        <w:color w:val="66708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667085"/>
        <w:sz w:val="17"/>
      </w:rPr>
      <w:t>WAAXALMA  ·  ARCHITECTURE &amp; VISION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720" w:hanging="3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ind w:left="720" w:hanging="360"/>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 Architecture &amp; Vision Book v0.2</dc:title>
  <dc:subject>Vision, goals, principles, architecture and roadmap</dc:subject>
  <dc:creator>Elimane DIOP</dc:creator>
  <cp:keywords>Waaxalma, voice agents, Python, architecture, multilingual AI</cp:keywords>
  <dc:description>Restyled to the Waaxalma v0.3 visual template while preserving v0.2 content.</dc:description>
  <cp:lastModifiedBy/>
  <cp:revision>1</cp:revision>
  <dcterms:created xsi:type="dcterms:W3CDTF">2013-12-23T23:15:00Z</dcterms:created>
  <dcterms:modified xsi:type="dcterms:W3CDTF">2013-12-23T23:15:00Z</dcterms:modified>
  <cp:category/>
</cp:coreProperties>
</file>