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0F766E"/>
          <w:sz w:val="18"/>
        </w:rPr>
        <w:t>ARCHITECTURE &amp; VISION BOOK  ·  v0.3</w:t>
      </w:r>
    </w:p>
    <w:p>
      <w:pPr>
        <w:spacing w:after="60"/>
      </w:pPr>
      <w:r>
        <w:rPr>
          <w:rFonts w:ascii="Calibri" w:hAnsi="Calibri"/>
          <w:b/>
          <w:color w:val="17324D"/>
          <w:sz w:val="52"/>
        </w:rPr>
        <w:t>Waaxalma</w:t>
      </w:r>
    </w:p>
    <w:p>
      <w:pPr>
        <w:spacing w:after="160"/>
      </w:pPr>
      <w:r>
        <w:rPr>
          <w:rFonts w:ascii="Calibri" w:hAnsi="Calibri"/>
          <w:color w:val="2E74B5"/>
          <w:sz w:val="27"/>
        </w:rPr>
        <w:t>Du prototype de traduction vocale à un framework d’agents vocaux</w:t>
      </w:r>
    </w:p>
    <w:p>
      <w:pPr>
        <w:spacing w:after="160"/>
        <w:pBdr>
          <w:bottom w:val="single" w:sz="10" w:space="5" w:color="2E74B5"/>
        </w:pBdr>
      </w:pPr>
      <w:r>
        <w:rPr>
          <w:rFonts w:ascii="Calibri" w:hAnsi="Calibri"/>
          <w:color w:val="667085"/>
          <w:sz w:val="18"/>
        </w:rPr>
        <w:t>17 juillet 2026  ·  Cadrage consolidé  ·  Document de travail</w:t>
      </w:r>
    </w:p>
    <w:p>
      <w:pPr>
        <w:spacing w:before="80" w:after="140" w:line="264" w:lineRule="auto"/>
        <w:ind w:left="115" w:right="115"/>
        <w:shd w:fill="E9F5F1"/>
        <w:pBdr>
          <w:top w:val="single" w:sz="10" w:space="5" w:color="E9F5F1"/>
          <w:bottom w:val="single" w:sz="10" w:space="5" w:color="E9F5F1"/>
          <w:end w:val="single" w:sz="10" w:space="5" w:color="E9F5F1"/>
          <w:start w:val="single" w:sz="18" w:space="7" w:color="0F766E"/>
        </w:pBdr>
        <w:keepLines w:val="1"/>
      </w:pPr>
      <w:r>
        <w:rPr>
          <w:rFonts w:ascii="Calibri" w:hAnsi="Calibri"/>
          <w:b/>
          <w:color w:val="0F766E"/>
          <w:sz w:val="19"/>
        </w:rPr>
        <w:t xml:space="preserve">VISION  </w:t>
      </w:r>
      <w:r>
        <w:rPr>
          <w:rFonts w:ascii="Calibri" w:hAnsi="Calibri"/>
          <w:color w:val="1F2937"/>
          <w:sz w:val="20"/>
        </w:rPr>
        <w:t>Waaxalma (« parle pour moi ») transforme une voix — notamment en wolof — en texte anglais puis en audio anglais. Le produit devient progressivement un framework réutilisable pour composer, observer et faire évoluer des agents vocaux.</w:t>
      </w:r>
    </w:p>
    <w:p>
      <w:pPr>
        <w:pStyle w:val="Heading1"/>
        <w:keepNext w:val="1"/>
      </w:pPr>
      <w:r>
        <w:t>1. Vision et périmètre</w:t>
      </w:r>
    </w:p>
    <w:p>
      <w:pPr>
        <w:spacing w:after="100"/>
      </w:pPr>
      <w:r>
        <w:t>Le cœur de valeur reste simple : capturer la parole, préserver l’intention, produire une traduction exploitable et restituer une voix naturelle. L’architecture doit permettre d’améliorer chaque capacité indépendamment sans casser les interfaces publiques.</w:t>
      </w:r>
    </w:p>
    <w:p>
      <w:pPr>
        <w:pStyle w:val="ListBullet"/>
      </w:pPr>
      <w:r>
        <w:rPr>
          <w:rFonts w:ascii="Calibri" w:hAnsi="Calibri"/>
          <w:b/>
          <w:color w:val="17324D"/>
          <w:sz w:val="20"/>
        </w:rPr>
        <w:t xml:space="preserve">Entrées — </w:t>
      </w:r>
      <w:r>
        <w:rPr>
          <w:rFonts w:ascii="Calibri" w:hAnsi="Calibri"/>
          <w:color w:val="1F2937"/>
          <w:sz w:val="20"/>
        </w:rPr>
        <w:t>audio micro ou fichier, avec un mode texte pour les tests et les usages sans voix.</w:t>
      </w:r>
    </w:p>
    <w:p>
      <w:pPr>
        <w:pStyle w:val="ListBullet"/>
      </w:pPr>
      <w:r>
        <w:rPr>
          <w:rFonts w:ascii="Calibri" w:hAnsi="Calibri"/>
          <w:b/>
          <w:color w:val="17324D"/>
          <w:sz w:val="20"/>
        </w:rPr>
        <w:t xml:space="preserve">Sorties — </w:t>
      </w:r>
      <w:r>
        <w:rPr>
          <w:rFonts w:ascii="Calibri" w:hAnsi="Calibri"/>
          <w:color w:val="1F2937"/>
          <w:sz w:val="20"/>
        </w:rPr>
        <w:t>texte source, traduction anglaise, audio anglais et métadonnées de session.</w:t>
      </w:r>
    </w:p>
    <w:p>
      <w:pPr>
        <w:pStyle w:val="ListBullet"/>
      </w:pPr>
      <w:r>
        <w:rPr>
          <w:rFonts w:ascii="Calibri" w:hAnsi="Calibri"/>
          <w:b/>
          <w:color w:val="17324D"/>
          <w:sz w:val="20"/>
        </w:rPr>
        <w:t xml:space="preserve">Direction — </w:t>
      </w:r>
      <w:r>
        <w:rPr>
          <w:rFonts w:ascii="Calibri" w:hAnsi="Calibri"/>
          <w:color w:val="1F2937"/>
          <w:sz w:val="20"/>
        </w:rPr>
        <w:t>passer d’appels de services dans les routes à un pipeline d’agents orchestré et extensible.</w:t>
      </w:r>
    </w:p>
    <w:p>
      <w:pPr>
        <w:pStyle w:val="Heading2"/>
      </w:pPr>
      <w:r>
        <w:t>2. Socle déjà construit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900"/>
        <w:gridCol w:w="59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24D"/>
            <w:tcBorders>
              <w:top w:val="single" w:sz="6" w:space="0" w:color="CFD8E3"/>
              <w:start w:val="single" w:sz="6" w:space="0" w:color="CFD8E3"/>
              <w:bottom w:val="single" w:sz="6" w:space="0" w:color="CFD8E3"/>
              <w:end w:val="single" w:sz="6" w:space="0" w:color="CFD8E3"/>
              <w:insideH w:val="single" w:sz="6" w:space="0" w:color="CFD8E3"/>
              <w:insideV w:val="single" w:sz="6" w:space="0" w:color="CFD8E3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Couche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24D"/>
            <w:tcBorders>
              <w:top w:val="single" w:sz="6" w:space="0" w:color="CFD8E3"/>
              <w:start w:val="single" w:sz="6" w:space="0" w:color="CFD8E3"/>
              <w:bottom w:val="single" w:sz="6" w:space="0" w:color="CFD8E3"/>
              <w:end w:val="single" w:sz="6" w:space="0" w:color="CFD8E3"/>
              <w:insideH w:val="single" w:sz="6" w:space="0" w:color="CFD8E3"/>
              <w:insideV w:val="single" w:sz="6" w:space="0" w:color="CFD8E3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État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24D"/>
            <w:tcBorders>
              <w:top w:val="single" w:sz="6" w:space="0" w:color="CFD8E3"/>
              <w:start w:val="single" w:sz="6" w:space="0" w:color="CFD8E3"/>
              <w:bottom w:val="single" w:sz="6" w:space="0" w:color="CFD8E3"/>
              <w:end w:val="single" w:sz="6" w:space="0" w:color="CFD8E3"/>
              <w:insideH w:val="single" w:sz="6" w:space="0" w:color="CFD8E3"/>
              <w:insideV w:val="single" w:sz="6" w:space="0" w:color="CFD8E3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Lecture d’architecture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6" w:space="0" w:color="CFD8E3"/>
              <w:start w:val="single" w:sz="6" w:space="0" w:color="CFD8E3"/>
              <w:bottom w:val="single" w:sz="6" w:space="0" w:color="CFD8E3"/>
              <w:end w:val="single" w:sz="6" w:space="0" w:color="CFD8E3"/>
              <w:insideH w:val="single" w:sz="6" w:space="0" w:color="CFD8E3"/>
              <w:insideV w:val="single" w:sz="6" w:space="0" w:color="CFD8E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17"/>
              </w:rPr>
              <w:t>API</w:t>
            </w:r>
          </w:p>
        </w:tc>
        <w:tc>
          <w:tcPr>
            <w:tcW w:type="dxa" w:w="1900"/>
            <w:tcBorders>
              <w:top w:val="single" w:sz="6" w:space="0" w:color="CFD8E3"/>
              <w:start w:val="single" w:sz="6" w:space="0" w:color="CFD8E3"/>
              <w:bottom w:val="single" w:sz="6" w:space="0" w:color="CFD8E3"/>
              <w:end w:val="single" w:sz="6" w:space="0" w:color="CFD8E3"/>
              <w:insideH w:val="single" w:sz="6" w:space="0" w:color="CFD8E3"/>
              <w:insideV w:val="single" w:sz="6" w:space="0" w:color="CFD8E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FastAPI</w:t>
            </w:r>
          </w:p>
        </w:tc>
        <w:tc>
          <w:tcPr>
            <w:tcW w:type="dxa" w:w="5960"/>
            <w:tcBorders>
              <w:top w:val="single" w:sz="6" w:space="0" w:color="CFD8E3"/>
              <w:start w:val="single" w:sz="6" w:space="0" w:color="CFD8E3"/>
              <w:bottom w:val="single" w:sz="6" w:space="0" w:color="CFD8E3"/>
              <w:end w:val="single" w:sz="6" w:space="0" w:color="CFD8E3"/>
              <w:insideH w:val="single" w:sz="6" w:space="0" w:color="CFD8E3"/>
              <w:insideV w:val="single" w:sz="6" w:space="0" w:color="CFD8E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4 parcours : traduction texte, synthèse vocale, traduction vocale et retour texte.</w:t>
            </w:r>
          </w:p>
        </w:tc>
      </w:tr>
      <w:tr>
        <w:trPr>
          <w:cantSplit/>
        </w:trPr>
        <w:tc>
          <w:tcPr>
            <w:tcW w:type="dxa" w:w="1500"/>
            <w:shd w:fill="F5F7FA"/>
            <w:tcBorders>
              <w:top w:val="single" w:sz="6" w:space="0" w:color="CFD8E3"/>
              <w:start w:val="single" w:sz="6" w:space="0" w:color="CFD8E3"/>
              <w:bottom w:val="single" w:sz="6" w:space="0" w:color="CFD8E3"/>
              <w:end w:val="single" w:sz="6" w:space="0" w:color="CFD8E3"/>
              <w:insideH w:val="single" w:sz="6" w:space="0" w:color="CFD8E3"/>
              <w:insideV w:val="single" w:sz="6" w:space="0" w:color="CFD8E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17"/>
              </w:rPr>
              <w:t>Interface</w:t>
            </w:r>
          </w:p>
        </w:tc>
        <w:tc>
          <w:tcPr>
            <w:tcW w:type="dxa" w:w="1900"/>
            <w:shd w:fill="F5F7FA"/>
            <w:tcBorders>
              <w:top w:val="single" w:sz="6" w:space="0" w:color="CFD8E3"/>
              <w:start w:val="single" w:sz="6" w:space="0" w:color="CFD8E3"/>
              <w:bottom w:val="single" w:sz="6" w:space="0" w:color="CFD8E3"/>
              <w:end w:val="single" w:sz="6" w:space="0" w:color="CFD8E3"/>
              <w:insideH w:val="single" w:sz="6" w:space="0" w:color="CFD8E3"/>
              <w:insideV w:val="single" w:sz="6" w:space="0" w:color="CFD8E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Streamlit</w:t>
            </w:r>
          </w:p>
        </w:tc>
        <w:tc>
          <w:tcPr>
            <w:tcW w:type="dxa" w:w="5960"/>
            <w:shd w:fill="F5F7FA"/>
            <w:tcBorders>
              <w:top w:val="single" w:sz="6" w:space="0" w:color="CFD8E3"/>
              <w:start w:val="single" w:sz="6" w:space="0" w:color="CFD8E3"/>
              <w:bottom w:val="single" w:sz="6" w:space="0" w:color="CFD8E3"/>
              <w:end w:val="single" w:sz="6" w:space="0" w:color="CFD8E3"/>
              <w:insideH w:val="single" w:sz="6" w:space="0" w:color="CFD8E3"/>
              <w:insideV w:val="single" w:sz="6" w:space="0" w:color="CFD8E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Saisie micro validée pour tester le parcours de bout en bout en Python.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6" w:space="0" w:color="CFD8E3"/>
              <w:start w:val="single" w:sz="6" w:space="0" w:color="CFD8E3"/>
              <w:bottom w:val="single" w:sz="6" w:space="0" w:color="CFD8E3"/>
              <w:end w:val="single" w:sz="6" w:space="0" w:color="CFD8E3"/>
              <w:insideH w:val="single" w:sz="6" w:space="0" w:color="CFD8E3"/>
              <w:insideV w:val="single" w:sz="6" w:space="0" w:color="CFD8E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17"/>
              </w:rPr>
              <w:t>Agents</w:t>
            </w:r>
          </w:p>
        </w:tc>
        <w:tc>
          <w:tcPr>
            <w:tcW w:type="dxa" w:w="1900"/>
            <w:tcBorders>
              <w:top w:val="single" w:sz="6" w:space="0" w:color="CFD8E3"/>
              <w:start w:val="single" w:sz="6" w:space="0" w:color="CFD8E3"/>
              <w:bottom w:val="single" w:sz="6" w:space="0" w:color="CFD8E3"/>
              <w:end w:val="single" w:sz="6" w:space="0" w:color="CFD8E3"/>
              <w:insideH w:val="single" w:sz="6" w:space="0" w:color="CFD8E3"/>
              <w:insideV w:val="single" w:sz="6" w:space="0" w:color="CFD8E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InterpreterAgent</w:t>
            </w:r>
          </w:p>
        </w:tc>
        <w:tc>
          <w:tcPr>
            <w:tcW w:type="dxa" w:w="5960"/>
            <w:tcBorders>
              <w:top w:val="single" w:sz="6" w:space="0" w:color="CFD8E3"/>
              <w:start w:val="single" w:sz="6" w:space="0" w:color="CFD8E3"/>
              <w:bottom w:val="single" w:sz="6" w:space="0" w:color="CFD8E3"/>
              <w:end w:val="single" w:sz="6" w:space="0" w:color="CFD8E3"/>
              <w:insideH w:val="single" w:sz="6" w:space="0" w:color="CFD8E3"/>
              <w:insideV w:val="single" w:sz="6" w:space="0" w:color="CFD8E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Framework de session multi-agent validé ; un agent métier est actif aujourd’hui.</w:t>
            </w:r>
          </w:p>
        </w:tc>
      </w:tr>
      <w:tr>
        <w:trPr>
          <w:cantSplit/>
        </w:trPr>
        <w:tc>
          <w:tcPr>
            <w:tcW w:type="dxa" w:w="1500"/>
            <w:shd w:fill="F5F7FA"/>
            <w:tcBorders>
              <w:top w:val="single" w:sz="6" w:space="0" w:color="CFD8E3"/>
              <w:start w:val="single" w:sz="6" w:space="0" w:color="CFD8E3"/>
              <w:bottom w:val="single" w:sz="6" w:space="0" w:color="CFD8E3"/>
              <w:end w:val="single" w:sz="6" w:space="0" w:color="CFD8E3"/>
              <w:insideH w:val="single" w:sz="6" w:space="0" w:color="CFD8E3"/>
              <w:insideV w:val="single" w:sz="6" w:space="0" w:color="CFD8E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17"/>
              </w:rPr>
              <w:t>Services</w:t>
            </w:r>
          </w:p>
        </w:tc>
        <w:tc>
          <w:tcPr>
            <w:tcW w:type="dxa" w:w="1900"/>
            <w:shd w:fill="F5F7FA"/>
            <w:tcBorders>
              <w:top w:val="single" w:sz="6" w:space="0" w:color="CFD8E3"/>
              <w:start w:val="single" w:sz="6" w:space="0" w:color="CFD8E3"/>
              <w:bottom w:val="single" w:sz="6" w:space="0" w:color="CFD8E3"/>
              <w:end w:val="single" w:sz="6" w:space="0" w:color="CFD8E3"/>
              <w:insideH w:val="single" w:sz="6" w:space="0" w:color="CFD8E3"/>
              <w:insideV w:val="single" w:sz="6" w:space="0" w:color="CFD8E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Translate + TTS</w:t>
            </w:r>
          </w:p>
        </w:tc>
        <w:tc>
          <w:tcPr>
            <w:tcW w:type="dxa" w:w="5960"/>
            <w:shd w:fill="F5F7FA"/>
            <w:tcBorders>
              <w:top w:val="single" w:sz="6" w:space="0" w:color="CFD8E3"/>
              <w:start w:val="single" w:sz="6" w:space="0" w:color="CFD8E3"/>
              <w:bottom w:val="single" w:sz="6" w:space="0" w:color="CFD8E3"/>
              <w:end w:val="single" w:sz="6" w:space="0" w:color="CFD8E3"/>
              <w:insideH w:val="single" w:sz="6" w:space="0" w:color="CFD8E3"/>
              <w:insideV w:val="single" w:sz="6" w:space="0" w:color="CFD8E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Capacités existantes à encapsuler derrière des contrats d’agents et des adaptateurs.</w:t>
            </w:r>
          </w:p>
        </w:tc>
      </w:tr>
    </w:tbl>
    <w:p>
      <w:pPr>
        <w:pStyle w:val="Heading2"/>
      </w:pPr>
      <w:r>
        <w:t>3. Principes directeurs</w:t>
      </w:r>
    </w:p>
    <w:p>
      <w:pPr>
        <w:pStyle w:val="ListBullet"/>
      </w:pPr>
      <w:r>
        <w:rPr>
          <w:rFonts w:ascii="Calibri" w:hAnsi="Calibri"/>
          <w:b/>
          <w:color w:val="17324D"/>
          <w:sz w:val="20"/>
        </w:rPr>
        <w:t xml:space="preserve">API stable — </w:t>
      </w:r>
      <w:r>
        <w:rPr>
          <w:rFonts w:ascii="Calibri" w:hAnsi="Calibri"/>
          <w:color w:val="1F2937"/>
          <w:sz w:val="20"/>
        </w:rPr>
        <w:t>les routes FastAPI restent minces ; les décisions métier appartiennent aux agents.</w:t>
      </w:r>
    </w:p>
    <w:p>
      <w:pPr>
        <w:pStyle w:val="ListBullet"/>
      </w:pPr>
      <w:r>
        <w:rPr>
          <w:rFonts w:ascii="Calibri" w:hAnsi="Calibri"/>
          <w:b/>
          <w:color w:val="17324D"/>
          <w:sz w:val="20"/>
        </w:rPr>
        <w:t xml:space="preserve">Providers remplaçables — </w:t>
      </w:r>
      <w:r>
        <w:rPr>
          <w:rFonts w:ascii="Calibri" w:hAnsi="Calibri"/>
          <w:color w:val="1F2937"/>
          <w:sz w:val="20"/>
        </w:rPr>
        <w:t>STT, traduction/LLM et TTS sont accessibles par des adaptateurs.</w:t>
      </w:r>
    </w:p>
    <w:p>
      <w:pPr>
        <w:pStyle w:val="ListBullet"/>
      </w:pPr>
      <w:r>
        <w:rPr>
          <w:rFonts w:ascii="Calibri" w:hAnsi="Calibri"/>
          <w:b/>
          <w:color w:val="17324D"/>
          <w:sz w:val="20"/>
        </w:rPr>
        <w:t xml:space="preserve">Session traçable — </w:t>
      </w:r>
      <w:r>
        <w:rPr>
          <w:rFonts w:ascii="Calibri" w:hAnsi="Calibri"/>
          <w:color w:val="1F2937"/>
          <w:sz w:val="20"/>
        </w:rPr>
        <w:t>chaque exécution partage contexte, identifiant, erreurs, durée et résultats.</w:t>
      </w:r>
    </w:p>
    <w:p>
      <w:pPr>
        <w:pStyle w:val="ListBullet"/>
      </w:pPr>
      <w:r>
        <w:rPr>
          <w:rFonts w:ascii="Calibri" w:hAnsi="Calibri"/>
          <w:b/>
          <w:color w:val="17324D"/>
          <w:sz w:val="20"/>
        </w:rPr>
        <w:t xml:space="preserve">Confidentialité par défaut — </w:t>
      </w:r>
      <w:r>
        <w:rPr>
          <w:rFonts w:ascii="Calibri" w:hAnsi="Calibri"/>
          <w:color w:val="1F2937"/>
          <w:sz w:val="20"/>
        </w:rPr>
        <w:t>collecte minimale, rétention explicite et aucun audio persistant sans besoin défini.</w:t>
      </w:r>
    </w:p>
    <w:p>
      <w:r>
        <w:br w:type="page"/>
      </w:r>
    </w:p>
    <w:p>
      <w:pPr>
        <w:pStyle w:val="Heading1"/>
      </w:pPr>
      <w:r>
        <w:t>4. Architecture cible</w:t>
      </w:r>
    </w:p>
    <w:p>
      <w:pPr>
        <w:spacing w:after="80"/>
      </w:pPr>
      <w:r>
        <w:t>Le système sépare l’expérience, l’API, l’orchestration, les agents et les fournisseurs techniques. Les badges indiquent ce qui existe déjà et ce qui doit être introduit par étapes.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3407664"/>
            <wp:docPr id="1" name="Picture 1" descr="Architecture logique Waaxalma en quatre couches : expérience, API et orchestration, agents, puis adaptateurs et plateform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axalma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7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Calibri" w:hAnsi="Calibri"/>
          <w:b/>
          <w:color w:val="17324D"/>
          <w:sz w:val="17"/>
        </w:rPr>
        <w:t xml:space="preserve">Lecture : </w:t>
      </w:r>
      <w:r>
        <w:rPr>
          <w:rFonts w:ascii="Calibri" w:hAnsi="Calibri"/>
          <w:color w:val="667085"/>
          <w:sz w:val="17"/>
        </w:rPr>
        <w:t>InterpreterAgent est déjà validé ; Transcription Agent, Speech Agent, orchestrateur et gestionnaire de session représentent l’étape d’industrialisation suivante.</w:t>
      </w:r>
    </w:p>
    <w:p>
      <w:pPr>
        <w:pStyle w:val="Heading2"/>
      </w:pPr>
      <w:r>
        <w:t>5. Interactions entre agents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1386840"/>
            <wp:docPr id="2" name="Picture 2" descr="Flux nominal : audio, transcription, traduction par InterpreterAgent, synthèse vocale, puis restitution du texte, de l’audio et des métadonné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axalma_agent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6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40" w:line="264" w:lineRule="auto"/>
        <w:ind w:left="115" w:right="115"/>
        <w:shd w:fill="EAF3FA"/>
        <w:pBdr>
          <w:top w:val="single" w:sz="10" w:space="5" w:color="EAF3FA"/>
          <w:bottom w:val="single" w:sz="10" w:space="5" w:color="EAF3FA"/>
          <w:end w:val="single" w:sz="10" w:space="5" w:color="EAF3FA"/>
          <w:start w:val="single" w:sz="18" w:space="7" w:color="2E74B5"/>
        </w:pBdr>
        <w:keepLines w:val="1"/>
      </w:pPr>
      <w:r>
        <w:rPr>
          <w:rFonts w:ascii="Calibri" w:hAnsi="Calibri"/>
          <w:b/>
          <w:color w:val="2E74B5"/>
          <w:sz w:val="19"/>
        </w:rPr>
        <w:t xml:space="preserve">CONTRAT DE PIPELINE  </w:t>
      </w:r>
      <w:r>
        <w:rPr>
          <w:rFonts w:ascii="Calibri" w:hAnsi="Calibri"/>
          <w:color w:val="1F2937"/>
          <w:sz w:val="20"/>
        </w:rPr>
        <w:t>Un SessionContext circule entre les étapes. Chaque agent reçoit une entrée typée et renvoie un AgentResult contenant résultat, statut, durée, erreurs normalisées et métadonnées — sans dépendre directement de FastAPI.</w:t>
      </w:r>
    </w:p>
    <w:p>
      <w:r>
        <w:br w:type="page"/>
      </w:r>
    </w:p>
    <w:p>
      <w:pPr>
        <w:pStyle w:val="Heading1"/>
      </w:pPr>
      <w:r>
        <w:t>6. Feuille de route technique</w:t>
      </w:r>
    </w:p>
    <w:p>
      <w:pPr>
        <w:spacing w:after="100"/>
      </w:pPr>
      <w:r>
        <w:t>La trajectoire conserve le prototype fonctionnel, stabilise ensuite l’orchestration, puis ouvre l’architecture aux nouveaux agents et aux contraintes de production.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1050"/>
        <w:gridCol w:w="2050"/>
        <w:gridCol w:w="3200"/>
        <w:gridCol w:w="1510"/>
      </w:tblGrid>
      <w:tr>
        <w:trPr>
          <w:tblHeader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24D"/>
            <w:tcBorders>
              <w:top w:val="single" w:sz="6" w:space="0" w:color="CFD8E3"/>
              <w:start w:val="single" w:sz="6" w:space="0" w:color="CFD8E3"/>
              <w:bottom w:val="single" w:sz="6" w:space="0" w:color="CFD8E3"/>
              <w:end w:val="single" w:sz="6" w:space="0" w:color="CFD8E3"/>
              <w:insideH w:val="single" w:sz="6" w:space="0" w:color="CFD8E3"/>
              <w:insideV w:val="single" w:sz="6" w:space="0" w:color="CFD8E3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Étape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24D"/>
            <w:tcBorders>
              <w:top w:val="single" w:sz="6" w:space="0" w:color="CFD8E3"/>
              <w:start w:val="single" w:sz="6" w:space="0" w:color="CFD8E3"/>
              <w:bottom w:val="single" w:sz="6" w:space="0" w:color="CFD8E3"/>
              <w:end w:val="single" w:sz="6" w:space="0" w:color="CFD8E3"/>
              <w:insideH w:val="single" w:sz="6" w:space="0" w:color="CFD8E3"/>
              <w:insideV w:val="single" w:sz="6" w:space="0" w:color="CFD8E3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Statut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24D"/>
            <w:tcBorders>
              <w:top w:val="single" w:sz="6" w:space="0" w:color="CFD8E3"/>
              <w:start w:val="single" w:sz="6" w:space="0" w:color="CFD8E3"/>
              <w:bottom w:val="single" w:sz="6" w:space="0" w:color="CFD8E3"/>
              <w:end w:val="single" w:sz="6" w:space="0" w:color="CFD8E3"/>
              <w:insideH w:val="single" w:sz="6" w:space="0" w:color="CFD8E3"/>
              <w:insideV w:val="single" w:sz="6" w:space="0" w:color="CFD8E3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Objectif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24D"/>
            <w:tcBorders>
              <w:top w:val="single" w:sz="6" w:space="0" w:color="CFD8E3"/>
              <w:start w:val="single" w:sz="6" w:space="0" w:color="CFD8E3"/>
              <w:bottom w:val="single" w:sz="6" w:space="0" w:color="CFD8E3"/>
              <w:end w:val="single" w:sz="6" w:space="0" w:color="CFD8E3"/>
              <w:insideH w:val="single" w:sz="6" w:space="0" w:color="CFD8E3"/>
              <w:insideV w:val="single" w:sz="6" w:space="0" w:color="CFD8E3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Livrables techniques</w:t>
            </w:r>
          </w:p>
        </w:tc>
        <w:tc>
          <w:tcPr>
            <w:tcW w:type="dxa" w:w="1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24D"/>
            <w:tcBorders>
              <w:top w:val="single" w:sz="6" w:space="0" w:color="CFD8E3"/>
              <w:start w:val="single" w:sz="6" w:space="0" w:color="CFD8E3"/>
              <w:bottom w:val="single" w:sz="6" w:space="0" w:color="CFD8E3"/>
              <w:end w:val="single" w:sz="6" w:space="0" w:color="CFD8E3"/>
              <w:insideH w:val="single" w:sz="6" w:space="0" w:color="CFD8E3"/>
              <w:insideV w:val="single" w:sz="6" w:space="0" w:color="CFD8E3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Critère de sortie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sz="6" w:space="0" w:color="CFD8E3"/>
              <w:start w:val="single" w:sz="6" w:space="0" w:color="CFD8E3"/>
              <w:bottom w:val="single" w:sz="6" w:space="0" w:color="CFD8E3"/>
              <w:end w:val="single" w:sz="6" w:space="0" w:color="CFD8E3"/>
              <w:insideH w:val="single" w:sz="6" w:space="0" w:color="CFD8E3"/>
              <w:insideV w:val="single" w:sz="6" w:space="0" w:color="CFD8E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6"/>
              </w:rPr>
              <w:t>0 · Prototype</w:t>
            </w:r>
          </w:p>
        </w:tc>
        <w:tc>
          <w:tcPr>
            <w:tcW w:type="dxa" w:w="1050"/>
            <w:tcBorders>
              <w:top w:val="single" w:sz="6" w:space="0" w:color="CFD8E3"/>
              <w:start w:val="single" w:sz="6" w:space="0" w:color="CFD8E3"/>
              <w:bottom w:val="single" w:sz="6" w:space="0" w:color="CFD8E3"/>
              <w:end w:val="single" w:sz="6" w:space="0" w:color="CFD8E3"/>
              <w:insideH w:val="single" w:sz="6" w:space="0" w:color="CFD8E3"/>
              <w:insideV w:val="single" w:sz="6" w:space="0" w:color="CFD8E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805C"/>
                <w:sz w:val="16"/>
              </w:rPr>
              <w:t>Validé</w:t>
            </w:r>
          </w:p>
        </w:tc>
        <w:tc>
          <w:tcPr>
            <w:tcW w:type="dxa" w:w="2050"/>
            <w:tcBorders>
              <w:top w:val="single" w:sz="6" w:space="0" w:color="CFD8E3"/>
              <w:start w:val="single" w:sz="6" w:space="0" w:color="CFD8E3"/>
              <w:bottom w:val="single" w:sz="6" w:space="0" w:color="CFD8E3"/>
              <w:end w:val="single" w:sz="6" w:space="0" w:color="CFD8E3"/>
              <w:insideH w:val="single" w:sz="6" w:space="0" w:color="CFD8E3"/>
              <w:insideV w:val="single" w:sz="6" w:space="0" w:color="CFD8E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Prouver la chaîne voix → traduction → audio</w:t>
            </w:r>
          </w:p>
        </w:tc>
        <w:tc>
          <w:tcPr>
            <w:tcW w:type="dxa" w:w="3200"/>
            <w:tcBorders>
              <w:top w:val="single" w:sz="6" w:space="0" w:color="CFD8E3"/>
              <w:start w:val="single" w:sz="6" w:space="0" w:color="CFD8E3"/>
              <w:bottom w:val="single" w:sz="6" w:space="0" w:color="CFD8E3"/>
              <w:end w:val="single" w:sz="6" w:space="0" w:color="CFD8E3"/>
              <w:insideH w:val="single" w:sz="6" w:space="0" w:color="CFD8E3"/>
              <w:insideV w:val="single" w:sz="6" w:space="0" w:color="CFD8E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API FastAPI, services translate/TTS, interface Streamlit, endpoints texte et voix</w:t>
            </w:r>
          </w:p>
        </w:tc>
        <w:tc>
          <w:tcPr>
            <w:tcW w:type="dxa" w:w="1510"/>
            <w:tcBorders>
              <w:top w:val="single" w:sz="6" w:space="0" w:color="CFD8E3"/>
              <w:start w:val="single" w:sz="6" w:space="0" w:color="CFD8E3"/>
              <w:bottom w:val="single" w:sz="6" w:space="0" w:color="CFD8E3"/>
              <w:end w:val="single" w:sz="6" w:space="0" w:color="CFD8E3"/>
              <w:insideH w:val="single" w:sz="6" w:space="0" w:color="CFD8E3"/>
              <w:insideV w:val="single" w:sz="6" w:space="0" w:color="CFD8E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Parcours fonctionnels testés</w:t>
            </w:r>
          </w:p>
        </w:tc>
      </w:tr>
      <w:tr>
        <w:trPr>
          <w:cantSplit/>
        </w:trPr>
        <w:tc>
          <w:tcPr>
            <w:tcW w:type="dxa" w:w="1550"/>
            <w:shd w:fill="F5F7FA"/>
            <w:tcBorders>
              <w:top w:val="single" w:sz="6" w:space="0" w:color="CFD8E3"/>
              <w:start w:val="single" w:sz="6" w:space="0" w:color="CFD8E3"/>
              <w:bottom w:val="single" w:sz="6" w:space="0" w:color="CFD8E3"/>
              <w:end w:val="single" w:sz="6" w:space="0" w:color="CFD8E3"/>
              <w:insideH w:val="single" w:sz="6" w:space="0" w:color="CFD8E3"/>
              <w:insideV w:val="single" w:sz="6" w:space="0" w:color="CFD8E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6"/>
              </w:rPr>
              <w:t>1 · Orchestration</w:t>
            </w:r>
          </w:p>
        </w:tc>
        <w:tc>
          <w:tcPr>
            <w:tcW w:type="dxa" w:w="1050"/>
            <w:shd w:fill="F5F7FA"/>
            <w:tcBorders>
              <w:top w:val="single" w:sz="6" w:space="0" w:color="CFD8E3"/>
              <w:start w:val="single" w:sz="6" w:space="0" w:color="CFD8E3"/>
              <w:bottom w:val="single" w:sz="6" w:space="0" w:color="CFD8E3"/>
              <w:end w:val="single" w:sz="6" w:space="0" w:color="CFD8E3"/>
              <w:insideH w:val="single" w:sz="6" w:space="0" w:color="CFD8E3"/>
              <w:insideV w:val="single" w:sz="6" w:space="0" w:color="CFD8E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16"/>
              </w:rPr>
              <w:t>Prochain</w:t>
            </w:r>
          </w:p>
        </w:tc>
        <w:tc>
          <w:tcPr>
            <w:tcW w:type="dxa" w:w="2050"/>
            <w:shd w:fill="F5F7FA"/>
            <w:tcBorders>
              <w:top w:val="single" w:sz="6" w:space="0" w:color="CFD8E3"/>
              <w:start w:val="single" w:sz="6" w:space="0" w:color="CFD8E3"/>
              <w:bottom w:val="single" w:sz="6" w:space="0" w:color="CFD8E3"/>
              <w:end w:val="single" w:sz="6" w:space="0" w:color="CFD8E3"/>
              <w:insideH w:val="single" w:sz="6" w:space="0" w:color="CFD8E3"/>
              <w:insideV w:val="single" w:sz="6" w:space="0" w:color="CFD8E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Unifier l’exécution derrière les agents</w:t>
            </w:r>
          </w:p>
        </w:tc>
        <w:tc>
          <w:tcPr>
            <w:tcW w:type="dxa" w:w="3200"/>
            <w:shd w:fill="F5F7FA"/>
            <w:tcBorders>
              <w:top w:val="single" w:sz="6" w:space="0" w:color="CFD8E3"/>
              <w:start w:val="single" w:sz="6" w:space="0" w:color="CFD8E3"/>
              <w:bottom w:val="single" w:sz="6" w:space="0" w:color="CFD8E3"/>
              <w:end w:val="single" w:sz="6" w:space="0" w:color="CFD8E3"/>
              <w:insideH w:val="single" w:sz="6" w:space="0" w:color="CFD8E3"/>
              <w:insideV w:val="single" w:sz="6" w:space="0" w:color="CFD8E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Contrats Pydantic, Agent Orchestrator, SessionContext, adaptateurs, tests d’intégration</w:t>
            </w:r>
          </w:p>
        </w:tc>
        <w:tc>
          <w:tcPr>
            <w:tcW w:type="dxa" w:w="1510"/>
            <w:shd w:fill="F5F7FA"/>
            <w:tcBorders>
              <w:top w:val="single" w:sz="6" w:space="0" w:color="CFD8E3"/>
              <w:start w:val="single" w:sz="6" w:space="0" w:color="CFD8E3"/>
              <w:bottom w:val="single" w:sz="6" w:space="0" w:color="CFD8E3"/>
              <w:end w:val="single" w:sz="6" w:space="0" w:color="CFD8E3"/>
              <w:insideH w:val="single" w:sz="6" w:space="0" w:color="CFD8E3"/>
              <w:insideV w:val="single" w:sz="6" w:space="0" w:color="CFD8E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Un pipeline unique pour texte et voix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sz="6" w:space="0" w:color="CFD8E3"/>
              <w:start w:val="single" w:sz="6" w:space="0" w:color="CFD8E3"/>
              <w:bottom w:val="single" w:sz="6" w:space="0" w:color="CFD8E3"/>
              <w:end w:val="single" w:sz="6" w:space="0" w:color="CFD8E3"/>
              <w:insideH w:val="single" w:sz="6" w:space="0" w:color="CFD8E3"/>
              <w:insideV w:val="single" w:sz="6" w:space="0" w:color="CFD8E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6"/>
              </w:rPr>
              <w:t>2 · Robustesse</w:t>
            </w:r>
          </w:p>
        </w:tc>
        <w:tc>
          <w:tcPr>
            <w:tcW w:type="dxa" w:w="1050"/>
            <w:tcBorders>
              <w:top w:val="single" w:sz="6" w:space="0" w:color="CFD8E3"/>
              <w:start w:val="single" w:sz="6" w:space="0" w:color="CFD8E3"/>
              <w:bottom w:val="single" w:sz="6" w:space="0" w:color="CFD8E3"/>
              <w:end w:val="single" w:sz="6" w:space="0" w:color="CFD8E3"/>
              <w:insideH w:val="single" w:sz="6" w:space="0" w:color="CFD8E3"/>
              <w:insideV w:val="single" w:sz="6" w:space="0" w:color="CFD8E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766E"/>
                <w:sz w:val="16"/>
              </w:rPr>
              <w:t>Planifié</w:t>
            </w:r>
          </w:p>
        </w:tc>
        <w:tc>
          <w:tcPr>
            <w:tcW w:type="dxa" w:w="2050"/>
            <w:tcBorders>
              <w:top w:val="single" w:sz="6" w:space="0" w:color="CFD8E3"/>
              <w:start w:val="single" w:sz="6" w:space="0" w:color="CFD8E3"/>
              <w:bottom w:val="single" w:sz="6" w:space="0" w:color="CFD8E3"/>
              <w:end w:val="single" w:sz="6" w:space="0" w:color="CFD8E3"/>
              <w:insideH w:val="single" w:sz="6" w:space="0" w:color="CFD8E3"/>
              <w:insideV w:val="single" w:sz="6" w:space="0" w:color="CFD8E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Fiabiliser les usages réels</w:t>
            </w:r>
          </w:p>
        </w:tc>
        <w:tc>
          <w:tcPr>
            <w:tcW w:type="dxa" w:w="3200"/>
            <w:tcBorders>
              <w:top w:val="single" w:sz="6" w:space="0" w:color="CFD8E3"/>
              <w:start w:val="single" w:sz="6" w:space="0" w:color="CFD8E3"/>
              <w:bottom w:val="single" w:sz="6" w:space="0" w:color="CFD8E3"/>
              <w:end w:val="single" w:sz="6" w:space="0" w:color="CFD8E3"/>
              <w:insideH w:val="single" w:sz="6" w:space="0" w:color="CFD8E3"/>
              <w:insideV w:val="single" w:sz="6" w:space="0" w:color="CFD8E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Validation audio, async, timeouts/retries, traces, historique court, métriques qualité/latence</w:t>
            </w:r>
          </w:p>
        </w:tc>
        <w:tc>
          <w:tcPr>
            <w:tcW w:type="dxa" w:w="1510"/>
            <w:tcBorders>
              <w:top w:val="single" w:sz="6" w:space="0" w:color="CFD8E3"/>
              <w:start w:val="single" w:sz="6" w:space="0" w:color="CFD8E3"/>
              <w:bottom w:val="single" w:sz="6" w:space="0" w:color="CFD8E3"/>
              <w:end w:val="single" w:sz="6" w:space="0" w:color="CFD8E3"/>
              <w:insideH w:val="single" w:sz="6" w:space="0" w:color="CFD8E3"/>
              <w:insideV w:val="single" w:sz="6" w:space="0" w:color="CFD8E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Erreurs observables et reprises maîtrisées</w:t>
            </w:r>
          </w:p>
        </w:tc>
      </w:tr>
      <w:tr>
        <w:trPr>
          <w:cantSplit/>
        </w:trPr>
        <w:tc>
          <w:tcPr>
            <w:tcW w:type="dxa" w:w="1550"/>
            <w:shd w:fill="F5F7FA"/>
            <w:tcBorders>
              <w:top w:val="single" w:sz="6" w:space="0" w:color="CFD8E3"/>
              <w:start w:val="single" w:sz="6" w:space="0" w:color="CFD8E3"/>
              <w:bottom w:val="single" w:sz="6" w:space="0" w:color="CFD8E3"/>
              <w:end w:val="single" w:sz="6" w:space="0" w:color="CFD8E3"/>
              <w:insideH w:val="single" w:sz="6" w:space="0" w:color="CFD8E3"/>
              <w:insideV w:val="single" w:sz="6" w:space="0" w:color="CFD8E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6"/>
              </w:rPr>
              <w:t>3 · Framework</w:t>
            </w:r>
          </w:p>
        </w:tc>
        <w:tc>
          <w:tcPr>
            <w:tcW w:type="dxa" w:w="1050"/>
            <w:shd w:fill="F5F7FA"/>
            <w:tcBorders>
              <w:top w:val="single" w:sz="6" w:space="0" w:color="CFD8E3"/>
              <w:start w:val="single" w:sz="6" w:space="0" w:color="CFD8E3"/>
              <w:bottom w:val="single" w:sz="6" w:space="0" w:color="CFD8E3"/>
              <w:end w:val="single" w:sz="6" w:space="0" w:color="CFD8E3"/>
              <w:insideH w:val="single" w:sz="6" w:space="0" w:color="CFD8E3"/>
              <w:insideV w:val="single" w:sz="6" w:space="0" w:color="CFD8E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667085"/>
                <w:sz w:val="16"/>
              </w:rPr>
              <w:t>Cible</w:t>
            </w:r>
          </w:p>
        </w:tc>
        <w:tc>
          <w:tcPr>
            <w:tcW w:type="dxa" w:w="2050"/>
            <w:shd w:fill="F5F7FA"/>
            <w:tcBorders>
              <w:top w:val="single" w:sz="6" w:space="0" w:color="CFD8E3"/>
              <w:start w:val="single" w:sz="6" w:space="0" w:color="CFD8E3"/>
              <w:bottom w:val="single" w:sz="6" w:space="0" w:color="CFD8E3"/>
              <w:end w:val="single" w:sz="6" w:space="0" w:color="CFD8E3"/>
              <w:insideH w:val="single" w:sz="6" w:space="0" w:color="CFD8E3"/>
              <w:insideV w:val="single" w:sz="6" w:space="0" w:color="CFD8E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Rendre l’architecture extensible</w:t>
            </w:r>
          </w:p>
        </w:tc>
        <w:tc>
          <w:tcPr>
            <w:tcW w:type="dxa" w:w="3200"/>
            <w:shd w:fill="F5F7FA"/>
            <w:tcBorders>
              <w:top w:val="single" w:sz="6" w:space="0" w:color="CFD8E3"/>
              <w:start w:val="single" w:sz="6" w:space="0" w:color="CFD8E3"/>
              <w:bottom w:val="single" w:sz="6" w:space="0" w:color="CFD8E3"/>
              <w:end w:val="single" w:sz="6" w:space="0" w:color="CFD8E3"/>
              <w:insideH w:val="single" w:sz="6" w:space="0" w:color="CFD8E3"/>
              <w:insideV w:val="single" w:sz="6" w:space="0" w:color="CFD8E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Registre d’agents, providers interchangeables, pipelines configurables, agents qualité/contexte</w:t>
            </w:r>
          </w:p>
        </w:tc>
        <w:tc>
          <w:tcPr>
            <w:tcW w:type="dxa" w:w="1510"/>
            <w:shd w:fill="F5F7FA"/>
            <w:tcBorders>
              <w:top w:val="single" w:sz="6" w:space="0" w:color="CFD8E3"/>
              <w:start w:val="single" w:sz="6" w:space="0" w:color="CFD8E3"/>
              <w:bottom w:val="single" w:sz="6" w:space="0" w:color="CFD8E3"/>
              <w:end w:val="single" w:sz="6" w:space="0" w:color="CFD8E3"/>
              <w:insideH w:val="single" w:sz="6" w:space="0" w:color="CFD8E3"/>
              <w:insideV w:val="single" w:sz="6" w:space="0" w:color="CFD8E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Ajouter un agent sans modifier l’API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sz="6" w:space="0" w:color="CFD8E3"/>
              <w:start w:val="single" w:sz="6" w:space="0" w:color="CFD8E3"/>
              <w:bottom w:val="single" w:sz="6" w:space="0" w:color="CFD8E3"/>
              <w:end w:val="single" w:sz="6" w:space="0" w:color="CFD8E3"/>
              <w:insideH w:val="single" w:sz="6" w:space="0" w:color="CFD8E3"/>
              <w:insideV w:val="single" w:sz="6" w:space="0" w:color="CFD8E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6"/>
              </w:rPr>
              <w:t>4 · Produit</w:t>
            </w:r>
          </w:p>
        </w:tc>
        <w:tc>
          <w:tcPr>
            <w:tcW w:type="dxa" w:w="1050"/>
            <w:tcBorders>
              <w:top w:val="single" w:sz="6" w:space="0" w:color="CFD8E3"/>
              <w:start w:val="single" w:sz="6" w:space="0" w:color="CFD8E3"/>
              <w:bottom w:val="single" w:sz="6" w:space="0" w:color="CFD8E3"/>
              <w:end w:val="single" w:sz="6" w:space="0" w:color="CFD8E3"/>
              <w:insideH w:val="single" w:sz="6" w:space="0" w:color="CFD8E3"/>
              <w:insideV w:val="single" w:sz="6" w:space="0" w:color="CFD8E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667085"/>
                <w:sz w:val="16"/>
              </w:rPr>
              <w:t>Cible</w:t>
            </w:r>
          </w:p>
        </w:tc>
        <w:tc>
          <w:tcPr>
            <w:tcW w:type="dxa" w:w="2050"/>
            <w:tcBorders>
              <w:top w:val="single" w:sz="6" w:space="0" w:color="CFD8E3"/>
              <w:start w:val="single" w:sz="6" w:space="0" w:color="CFD8E3"/>
              <w:bottom w:val="single" w:sz="6" w:space="0" w:color="CFD8E3"/>
              <w:end w:val="single" w:sz="6" w:space="0" w:color="CFD8E3"/>
              <w:insideH w:val="single" w:sz="6" w:space="0" w:color="CFD8E3"/>
              <w:insideV w:val="single" w:sz="6" w:space="0" w:color="CFD8E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Préparer le déploiement durable</w:t>
            </w:r>
          </w:p>
        </w:tc>
        <w:tc>
          <w:tcPr>
            <w:tcW w:type="dxa" w:w="3200"/>
            <w:tcBorders>
              <w:top w:val="single" w:sz="6" w:space="0" w:color="CFD8E3"/>
              <w:start w:val="single" w:sz="6" w:space="0" w:color="CFD8E3"/>
              <w:bottom w:val="single" w:sz="6" w:space="0" w:color="CFD8E3"/>
              <w:end w:val="single" w:sz="6" w:space="0" w:color="CFD8E3"/>
              <w:insideH w:val="single" w:sz="6" w:space="0" w:color="CFD8E3"/>
              <w:insideV w:val="single" w:sz="6" w:space="0" w:color="CFD8E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Sessions persistées, sécurité et confidentialité, CI/CD, packaging, observabilité opérationnelle</w:t>
            </w:r>
          </w:p>
        </w:tc>
        <w:tc>
          <w:tcPr>
            <w:tcW w:type="dxa" w:w="1510"/>
            <w:tcBorders>
              <w:top w:val="single" w:sz="6" w:space="0" w:color="CFD8E3"/>
              <w:start w:val="single" w:sz="6" w:space="0" w:color="CFD8E3"/>
              <w:bottom w:val="single" w:sz="6" w:space="0" w:color="CFD8E3"/>
              <w:end w:val="single" w:sz="6" w:space="0" w:color="CFD8E3"/>
              <w:insideH w:val="single" w:sz="6" w:space="0" w:color="CFD8E3"/>
              <w:insideV w:val="single" w:sz="6" w:space="0" w:color="CFD8E3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Version déployable et gouvernée</w:t>
            </w:r>
          </w:p>
        </w:tc>
      </w:tr>
    </w:tbl>
    <w:p>
      <w:pPr>
        <w:pStyle w:val="Heading2"/>
      </w:pPr>
      <w:r>
        <w:t>7. Prochaine tranche recommandée</w:t>
      </w:r>
    </w:p>
    <w:p>
      <w:pPr>
        <w:pStyle w:val="ListBullet"/>
      </w:pPr>
      <w:r>
        <w:rPr>
          <w:rFonts w:ascii="Calibri" w:hAnsi="Calibri"/>
          <w:b/>
          <w:color w:val="17324D"/>
          <w:sz w:val="20"/>
        </w:rPr>
        <w:t xml:space="preserve">Définir les contrats — </w:t>
      </w:r>
      <w:r>
        <w:rPr>
          <w:rFonts w:ascii="Calibri" w:hAnsi="Calibri"/>
          <w:color w:val="1F2937"/>
          <w:sz w:val="20"/>
        </w:rPr>
        <w:t>SessionContext, AgentInput, AgentResult et erreurs communes avec Pydantic.</w:t>
      </w:r>
    </w:p>
    <w:p>
      <w:pPr>
        <w:pStyle w:val="ListBullet"/>
      </w:pPr>
      <w:r>
        <w:rPr>
          <w:rFonts w:ascii="Calibri" w:hAnsi="Calibri"/>
          <w:b/>
          <w:color w:val="17324D"/>
          <w:sz w:val="20"/>
        </w:rPr>
        <w:t xml:space="preserve">Créer l’orchestrateur — </w:t>
      </w:r>
      <w:r>
        <w:rPr>
          <w:rFonts w:ascii="Calibri" w:hAnsi="Calibri"/>
          <w:color w:val="1F2937"/>
          <w:sz w:val="20"/>
        </w:rPr>
        <w:t>pipeline séquentiel, corrélation par session_id et points d’extension explicites.</w:t>
      </w:r>
    </w:p>
    <w:p>
      <w:pPr>
        <w:pStyle w:val="ListBullet"/>
      </w:pPr>
      <w:r>
        <w:rPr>
          <w:rFonts w:ascii="Calibri" w:hAnsi="Calibri"/>
          <w:b/>
          <w:color w:val="17324D"/>
          <w:sz w:val="20"/>
        </w:rPr>
        <w:t xml:space="preserve">Encapsuler l’existant — </w:t>
      </w:r>
      <w:r>
        <w:rPr>
          <w:rFonts w:ascii="Calibri" w:hAnsi="Calibri"/>
          <w:color w:val="1F2937"/>
          <w:sz w:val="20"/>
        </w:rPr>
        <w:t>adaptateurs autour de translate() et generate_speech(), sans réécrire les capacités validées.</w:t>
      </w:r>
    </w:p>
    <w:p>
      <w:pPr>
        <w:pStyle w:val="ListBullet"/>
      </w:pPr>
      <w:r>
        <w:rPr>
          <w:rFonts w:ascii="Calibri" w:hAnsi="Calibri"/>
          <w:b/>
          <w:color w:val="17324D"/>
          <w:sz w:val="20"/>
        </w:rPr>
        <w:t xml:space="preserve">Amincir les routes — </w:t>
      </w:r>
      <w:r>
        <w:rPr>
          <w:rFonts w:ascii="Calibri" w:hAnsi="Calibri"/>
          <w:color w:val="1F2937"/>
          <w:sz w:val="20"/>
        </w:rPr>
        <w:t>text.py et voice.py appellent l’orchestrateur et ne portent plus la logique métier.</w:t>
      </w:r>
    </w:p>
    <w:p>
      <w:pPr>
        <w:pStyle w:val="ListBullet"/>
      </w:pPr>
      <w:r>
        <w:rPr>
          <w:rFonts w:ascii="Calibri" w:hAnsi="Calibri"/>
          <w:b/>
          <w:color w:val="17324D"/>
          <w:sz w:val="20"/>
        </w:rPr>
        <w:t xml:space="preserve">Verrouiller par les tests — </w:t>
      </w:r>
      <w:r>
        <w:rPr>
          <w:rFonts w:ascii="Calibri" w:hAnsi="Calibri"/>
          <w:color w:val="1F2937"/>
          <w:sz w:val="20"/>
        </w:rPr>
        <w:t>unitaires par agent, intégration texte/voix et test de non-régression Streamlit.</w:t>
      </w:r>
    </w:p>
    <w:p>
      <w:pPr>
        <w:spacing w:before="80" w:after="140" w:line="264" w:lineRule="auto"/>
        <w:ind w:left="115" w:right="115"/>
        <w:shd w:fill="E9F5F1"/>
        <w:pBdr>
          <w:top w:val="single" w:sz="10" w:space="5" w:color="E9F5F1"/>
          <w:bottom w:val="single" w:sz="10" w:space="5" w:color="E9F5F1"/>
          <w:end w:val="single" w:sz="10" w:space="5" w:color="E9F5F1"/>
          <w:start w:val="single" w:sz="18" w:space="7" w:color="0F766E"/>
        </w:pBdr>
        <w:keepLines w:val="1"/>
      </w:pPr>
      <w:r>
        <w:rPr>
          <w:rFonts w:ascii="Calibri" w:hAnsi="Calibri"/>
          <w:b/>
          <w:color w:val="0F766E"/>
          <w:sz w:val="19"/>
        </w:rPr>
        <w:t xml:space="preserve">DÉFINITION DE TERMINÉ  </w:t>
      </w:r>
      <w:r>
        <w:rPr>
          <w:rFonts w:ascii="Calibri" w:hAnsi="Calibri"/>
          <w:color w:val="1F2937"/>
          <w:sz w:val="20"/>
        </w:rPr>
        <w:t>Les parcours texte et voix utilisent le même pipeline, chaque requête est corrélée à une session, les providers sont substituables par configuration et les tests couvrent succès, timeout et erreur fournisseur.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right"/>
    </w:pPr>
    <w:r>
      <w:rPr>
        <w:rFonts w:ascii="Calibri" w:hAnsi="Calibri"/>
        <w:color w:val="667085"/>
        <w:sz w:val="17"/>
      </w:rPr>
      <w:t xml:space="preserve">Waaxalma v0.3   ·   </w:t>
    </w:r>
    <w:r>
      <w:rPr>
        <w:rFonts w:ascii="Calibri" w:hAnsi="Calibri"/>
        <w:color w:val="667085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/>
        <w:color w:val="667085"/>
        <w:sz w:val="17"/>
      </w:rPr>
      <w:t xml:space="preserve"> / </w:t>
    </w:r>
    <w:r>
      <w:rPr>
        <w:rFonts w:ascii="Calibri" w:hAnsi="Calibri"/>
        <w:color w:val="667085"/>
        <w:sz w:val="17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</w:pPr>
    <w:r>
      <w:rPr>
        <w:rFonts w:ascii="Calibri" w:hAnsi="Calibri"/>
        <w:b/>
        <w:color w:val="667085"/>
        <w:sz w:val="17"/>
      </w:rPr>
      <w:t>WAAXALMA  ·  ARCHITECTURE &amp; VISION 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59" w:lineRule="auto"/>
    </w:pPr>
    <w:rPr>
      <w:rFonts w:ascii="Calibri" w:hAnsi="Calibri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59" w:lineRule="auto"/>
      <w:ind w:left="720" w:hanging="360"/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59" w:lineRule="auto"/>
      <w:ind w:left="720" w:hanging="360"/>
      <w:contextualSpacing/>
    </w:pPr>
    <w:rPr>
      <w:rFonts w:ascii="Calibri" w:hAnsi="Calibr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Waaxalma — Architecture &amp; Vision Book v0.3</dc:title>
  <dc:subject>Vision, composants, interactions entre agents et feuille de route technique</dc:subject>
  <dc:creator>Elimane Diop</dc:creator>
  <cp:keywords>Waaxalma, voice agents, FastAPI, Streamlit, multi-agent, architecture</cp:keywords>
  <dc:description>Consolidation des travaux Waaxalma — juillet 2026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