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ARCHITECTURE &amp; VISION BOOK  ·  v0.4.4  ·  ENGLISH EDITION</w:t>
      </w:r>
    </w:p>
    <w:p>
      <w:pPr>
        <w:pStyle w:val="Title"/>
      </w:pPr>
      <w:r>
        <w:t>Waaxalma</w:t>
      </w:r>
    </w:p>
    <w:p>
      <w:pPr>
        <w:pStyle w:val="Subtitle"/>
      </w:pPr>
      <w:r>
        <w:t>Conferencing Audio and Device Control</w:t>
      </w:r>
    </w:p>
    <w:p>
      <w:r>
        <w:t>1 October 2026  ·  Conferencing Audio and Device Control</w:t>
      </w:r>
    </w:p>
    <w:p>
      <w:r>
        <w:rPr>
          <w:b/>
          <w:color w:val="07847E"/>
        </w:rPr>
        <w:t xml:space="preserve">VISION  </w:t>
      </w:r>
      <w:r>
        <w:t>Waaxalma (“speak for me”) turns speech, particularly in Wolof, into understandable translated text and natural audio. The product seeks to preserve intent; the framework separates replaceable agents, pipelines and provider capabilities.</w:t>
      </w:r>
    </w:p>
    <w:p>
      <w:pPr>
        <w:pStyle w:val="Heading1"/>
      </w:pPr>
      <w:r>
        <w:t>1. Vision and scope</w:t>
      </w:r>
    </w:p>
    <w:p>
      <w:r>
        <w:t>This edition records the v0.4.4 milestone. It retains the architecture template from v0.4 and the capabilities delivered at this point; later milestones remain future work in this historical edition.</w:t>
      </w:r>
    </w:p>
    <w:p>
      <w:pPr>
        <w:pStyle w:val="ListBullet"/>
      </w:pPr>
      <w:r>
        <w:t>AudioInputManager selects an explicit physical microphone using persisted audioInputDeviceId. Direct and Enhanced stop relying on the Windows default input.</w:t>
      </w:r>
    </w:p>
    <w:p>
      <w:pPr>
        <w:pStyle w:val="ListBullet"/>
      </w:pPr>
      <w:r>
        <w:t>Conference output remains shared across Standard, Direct and Enhanced. monitorOutputDeviceId and monitorEnabled select a separate local headphone sink without Windows “Listen to this device”.</w:t>
      </w:r>
    </w:p>
    <w:p>
      <w:pPr>
        <w:pStyle w:val="Heading2"/>
      </w:pPr>
      <w:r>
        <w:t>2. Foundation now built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744"/>
        <w:gridCol w:w="4752"/>
      </w:tblGrid>
      <w:tr>
        <w:trPr>
          <w:cantSplit/>
          <w:tblHeader/>
        </w:trPr>
        <w:tc>
          <w:tcPr>
            <w:tcW w:type="dxa" w:w="1584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744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475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API</w:t>
            </w:r>
          </w:p>
        </w:tc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FastAPI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Generic registered-agent execution; text/voice routes.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Orchestration</w:t>
            </w:r>
          </w:p>
        </w:tc>
        <w:tc>
          <w:tcPr>
            <w:tcW w:type="dxa" w:w="374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AgentOrchestrator</w:t>
            </w:r>
          </w:p>
        </w:tc>
        <w:tc>
          <w:tcPr>
            <w:tcW w:type="dxa" w:w="475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Results, errors, timing and cancellation.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Discovery</w:t>
            </w:r>
          </w:p>
        </w:tc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AgentRegistry / ProviderRegistry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Explicit resolution by name and capability.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Composition</w:t>
            </w:r>
          </w:p>
        </w:tc>
        <w:tc>
          <w:tcPr>
            <w:tcW w:type="dxa" w:w="374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PipelineRegistry / SequentialPipeline</w:t>
            </w:r>
          </w:p>
        </w:tc>
        <w:tc>
          <w:tcPr>
            <w:tcW w:type="dxa" w:w="475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Ordered reusable stages.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</w:t>
            </w:r>
          </w:p>
        </w:tc>
        <w:tc>
          <w:tcPr>
            <w:tcW w:type="dxa" w:w="374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Direct / Enhanced</w:t>
            </w:r>
          </w:p>
        </w:tc>
        <w:tc>
          <w:tcPr>
            <w:tcW w:type="dxa" w:w="475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Dedicated session and live capability paths.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Audio devices</w:t>
            </w:r>
          </w:p>
        </w:tc>
        <w:tc>
          <w:tcPr>
            <w:tcW w:type="dxa" w:w="374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Input / Output / Local Monitor</w:t>
            </w:r>
          </w:p>
        </w:tc>
        <w:tc>
          <w:tcPr>
            <w:tcW w:type="dxa" w:w="475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Browser-side device integration.</w:t>
            </w:r>
          </w:p>
        </w:tc>
      </w:tr>
    </w:tbl>
    <w:p>
      <w:pPr>
        <w:spacing w:after="0"/>
      </w:pPr>
    </w:p>
    <w:p>
      <w:pPr>
        <w:pStyle w:val="Heading2"/>
      </w:pPr>
      <w:r>
        <w:t>3. Guiding principles</w:t>
      </w:r>
    </w:p>
    <w:p>
      <w:pPr>
        <w:pStyle w:val="ListBullet"/>
      </w:pPr>
      <w:r>
        <w:t>Extend through contracts, registration and composition; fail early for unknown providers/pipelines.</w:t>
      </w:r>
    </w:p>
    <w:p>
      <w:pPr>
        <w:pStyle w:val="ListBullet"/>
      </w:pPr>
      <w:r>
        <w:t>Skills depend on capability contracts. Reliability and observability stay cross-cutting. Context/Quality defaults add no extra LLM call.</w:t>
      </w:r>
    </w:p>
    <w:p>
      <w:pPr>
        <w:pStyle w:val="ListBullet"/>
      </w:pPr>
      <w:r>
        <w:t>Separate standard workflows, realtime transports and browser devices; describe validation limits explicitly.</w:t>
      </w:r>
    </w:p>
    <w:p>
      <w:r>
        <w:br w:type="page"/>
      </w:r>
    </w:p>
    <w:p>
      <w:pPr>
        <w:pStyle w:val="Heading1"/>
      </w:pPr>
      <w:r>
        <w:t>4. Current architecture</w:t>
      </w:r>
    </w:p>
    <w:p>
      <w:r>
        <w:t>The composition root assembles concrete providers, Skills, stages, pipelines and agents. Registries resolve dependencies rather than adding processing stages to every request.</w:t>
      </w:r>
    </w:p>
    <w:p>
      <w:r>
        <w:drawing>
          <wp:inline xmlns:a="http://schemas.openxmlformats.org/drawingml/2006/main" xmlns:pic="http://schemas.openxmlformats.org/drawingml/2006/picture">
            <wp:extent cx="6400800" cy="3400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.4.4_architecture_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AgentOrchestrator executes registered agents; InterpreterAgent receives its configured text/audio pipelines. Realtime services, where delivered, remain separate from this standard chain.</w:t>
      </w:r>
    </w:p>
    <w:p>
      <w:pPr>
        <w:pStyle w:val="Heading2"/>
      </w:pPr>
      <w:r>
        <w:t>5. Interpreter execution flows</w:t>
      </w:r>
    </w:p>
    <w:p>
      <w:r>
        <w:drawing>
          <wp:inline xmlns:a="http://schemas.openxmlformats.org/drawingml/2006/main" xmlns:pic="http://schemas.openxmlformats.org/drawingml/2006/picture">
            <wp:extent cx="6400800" cy="1800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.4.4_standard_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7847E"/>
        </w:rPr>
        <w:t xml:space="preserve">PIPELINE CONTRACT  </w:t>
      </w:r>
      <w:r>
        <w:t>Each stage receives PipelineState and SessionContext and returns updated state. SequentialPipeline awaits stages in order; configured workflows can evolve without rewriting InterpreterAgent.</w:t>
      </w:r>
    </w:p>
    <w:p>
      <w:r>
        <w:br w:type="page"/>
      </w:r>
    </w:p>
    <w:p>
      <w:pPr>
        <w:pStyle w:val="Heading1"/>
      </w:pPr>
      <w:r>
        <w:t>6. Framework extensibility model</w:t>
      </w:r>
    </w:p>
    <w:p>
      <w:r>
        <w:t>Extension happens through explicit registration and composition, preserving the generic API and orchestration core. Provider adapters can change behind capability contracts.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4392"/>
        <w:gridCol w:w="3672"/>
      </w:tblGrid>
      <w:tr>
        <w:trPr>
          <w:cantSplit/>
          <w:tblHeader/>
        </w:trPr>
        <w:tc>
          <w:tcPr>
            <w:tcW w:type="dxa" w:w="2016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Extension</w:t>
            </w:r>
          </w:p>
        </w:tc>
        <w:tc>
          <w:tcPr>
            <w:tcW w:type="dxa" w:w="439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Required change</w:t>
            </w:r>
          </w:p>
        </w:tc>
        <w:tc>
          <w:tcPr>
            <w:tcW w:type="dxa" w:w="367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Boundary preserved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New agent</w:t>
            </w:r>
          </w:p>
        </w:tc>
        <w:tc>
          <w:tcPr>
            <w:tcW w:type="dxa" w:w="439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BaseAgent + AgentRegistry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API / AgentOrchestrator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New provider</w:t>
            </w:r>
          </w:p>
        </w:tc>
        <w:tc>
          <w:tcPr>
            <w:tcW w:type="dxa" w:w="439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Implement capability contract; register capability + name.</w:t>
            </w:r>
          </w:p>
        </w:tc>
        <w:tc>
          <w:tcPr>
            <w:tcW w:type="dxa" w:w="36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Skill / Agent / API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New pipeline</w:t>
            </w:r>
          </w:p>
        </w:tc>
        <w:tc>
          <w:tcPr>
            <w:tcW w:type="dxa" w:w="439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Compose stages and register its name.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SequentialPipeline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New stage</w:t>
            </w:r>
          </w:p>
        </w:tc>
        <w:tc>
          <w:tcPr>
            <w:tcW w:type="dxa" w:w="439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PipelineStage</w:t>
            </w:r>
          </w:p>
        </w:tc>
        <w:tc>
          <w:tcPr>
            <w:tcW w:type="dxa" w:w="36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InterpreterAgent / API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Context/quality strategy</w:t>
            </w:r>
          </w:p>
        </w:tc>
        <w:tc>
          <w:tcPr>
            <w:tcW w:type="dxa" w:w="439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ContextProvider / QualityProvider</w:t>
            </w:r>
          </w:p>
        </w:tc>
        <w:tc>
          <w:tcPr>
            <w:tcW w:type="dxa" w:w="36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Configured stage structure.</w:t>
            </w:r>
          </w:p>
        </w:tc>
      </w:tr>
    </w:tbl>
    <w:p>
      <w:pPr>
        <w:spacing w:after="0"/>
      </w:pPr>
    </w:p>
    <w:p>
      <w:r>
        <w:t>RealtimeTranslationProvider is resolved by capability and name without routing live sessions through SequentialPipeline.</w:t>
      </w:r>
    </w:p>
    <w:p>
      <w:r>
        <w:t>StreamingTranscriptionProvider, StreamingTranslationProvider and StreamingSpeechProvider isolate Enhanced adapters from processor orchestration and playback.</w:t>
      </w:r>
    </w:p>
    <w:p>
      <w:pPr>
        <w:pStyle w:val="Heading2"/>
      </w:pPr>
      <w:r>
        <w:t>7. Context and Quality as first class capabilities</w:t>
      </w:r>
    </w:p>
    <w:p>
      <w:pPr>
        <w:pStyle w:val="ListBullet"/>
      </w:pPr>
      <w:r>
        <w:t>PassthroughContextProvider preserves source text/metadata. TranslationStage prefers enriched_text when supplied and preserves source_text.</w:t>
      </w:r>
    </w:p>
    <w:p>
      <w:pPr>
        <w:pStyle w:val="ListBullet"/>
      </w:pPr>
      <w:r>
        <w:t>DeterministicQualityProvider evaluates structure, not semantic translation correctness. accepted, score, issues and quality metadata are returned; rejection does not create an implicit blocking policy.</w:t>
      </w:r>
    </w:p>
    <w:p>
      <w:pPr>
        <w:pStyle w:val="ListBullet"/>
      </w:pPr>
      <w:r>
        <w:t>Direct bypasses standard Context/Quality to keep its provider-native latency path.</w:t>
      </w:r>
    </w:p>
    <w:p>
      <w:pPr>
        <w:pStyle w:val="ListBullet"/>
      </w:pPr>
      <w:r>
        <w:t>Enhanced uses terminology and three prior final source segments as reference-only context; it does not add an extra semantic quality evaluator.</w:t>
      </w:r>
    </w:p>
    <w:p>
      <w:r>
        <w:br w:type="page"/>
      </w:r>
    </w:p>
    <w:p>
      <w:pPr>
        <w:pStyle w:val="Heading2"/>
      </w:pPr>
      <w:r>
        <w:t>Realtime architecture and execution</w:t>
      </w:r>
    </w:p>
    <w:p>
      <w:r>
        <w:t>Direct creates a short-lived provider session through the backend. The browser then negotiates SDP and WebRTC and receives live translated text/audio. Session creation and browser/provider media exchange are distinct responsibilities.</w:t>
      </w:r>
    </w:p>
    <w:p>
      <w:r>
        <w:drawing>
          <wp:inline xmlns:a="http://schemas.openxmlformats.org/drawingml/2006/main" xmlns:pic="http://schemas.openxmlformats.org/drawingml/2006/picture">
            <wp:extent cx="6400800" cy="28403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.4.4_live_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0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Enhanced creates an ephemeral transcription session, commits final text over /api/realtime/enhanced/stream, and composes streaming translation and TTS. The default adapters use gpt-live-transcribe, gpt-4.1-mini and gpt-4o-mini-tts; these names record the historical configuration, not a new provider availability guarantee.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7200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Execution boundary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Session setup</w:t>
            </w:r>
          </w:p>
        </w:tc>
        <w:tc>
          <w:tcPr>
            <w:tcW w:type="dxa" w:w="720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Backend issues an ephemeral provider credential.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Direct media</w:t>
            </w:r>
          </w:p>
        </w:tc>
        <w:tc>
          <w:tcPr>
            <w:tcW w:type="dxa" w:w="7200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Browser and provider exchange WebRTC media.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Enhanced orchestration</w:t>
            </w:r>
          </w:p>
        </w:tc>
        <w:tc>
          <w:tcPr>
            <w:tcW w:type="dxa" w:w="7200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Final transcript → streaming translation → TTS.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Realtime measurements and transcript handling</w:t>
      </w:r>
    </w:p>
    <w:p>
      <w:pPr>
        <w:pStyle w:val="Heading2"/>
      </w:pPr>
      <w:r>
        <w:t>Direct historical measured baseline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912"/>
        <w:gridCol w:w="3168"/>
      </w:tblGrid>
      <w:tr>
        <w:trPr>
          <w:cantSplit/>
          <w:tblHeader/>
        </w:trPr>
        <w:tc>
          <w:tcPr>
            <w:tcW w:type="dxa" w:w="691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3168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Observed value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Session request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~1.61 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Microphone acquisition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~0.47 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WebRTC establishment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~1.84 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Speech → first translated text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~0.39 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Speech → first translated audio</w:t>
            </w:r>
          </w:p>
        </w:tc>
        <w:tc>
          <w:tcPr>
            <w:tcW w:type="dxa" w:w="316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~1.35 s</w:t>
            </w:r>
          </w:p>
        </w:tc>
      </w:tr>
      <w:tr>
        <w:trPr>
          <w:cantSplit/>
        </w:trPr>
        <w:tc>
          <w:tcPr>
            <w:tcW w:type="dxa" w:w="691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Translated text → audio</w:t>
            </w:r>
          </w:p>
        </w:tc>
        <w:tc>
          <w:tcPr>
            <w:tcW w:type="dxa" w:w="316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~0.96 s</w:t>
            </w:r>
          </w:p>
        </w:tc>
      </w:tr>
    </w:tbl>
    <w:p>
      <w:pPr>
        <w:spacing w:after="0"/>
      </w:pPr>
    </w:p>
    <w:p>
      <w:pPr>
        <w:pStyle w:val="Heading2"/>
      </w:pPr>
      <w:r>
        <w:t>Enhanced historical warm path sample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336"/>
        <w:gridCol w:w="1872"/>
        <w:gridCol w:w="1872"/>
      </w:tblGrid>
      <w:tr>
        <w:trPr>
          <w:cantSplit/>
          <w:tblHeader/>
        </w:trPr>
        <w:tc>
          <w:tcPr>
            <w:tcW w:type="dxa" w:w="6336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87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p50</w:t>
            </w:r>
          </w:p>
        </w:tc>
        <w:tc>
          <w:tcPr>
            <w:tcW w:type="dxa" w:w="187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p95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Commit → translation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~0.55 s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~0.75 s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Translation → audio</w:t>
            </w:r>
          </w:p>
        </w:tc>
        <w:tc>
          <w:tcPr>
            <w:tcW w:type="dxa" w:w="18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~0.60 s</w:t>
            </w:r>
          </w:p>
        </w:tc>
        <w:tc>
          <w:tcPr>
            <w:tcW w:type="dxa" w:w="18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~0.81 s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Commit → audio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~1.17 s</w:t>
            </w:r>
          </w:p>
        </w:tc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~1.46 s</w:t>
            </w:r>
          </w:p>
        </w:tc>
      </w:tr>
      <w:tr>
        <w:trPr>
          <w:cantSplit/>
        </w:trPr>
        <w:tc>
          <w:tcPr>
            <w:tcW w:type="dxa" w:w="633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TTS start → audio</w:t>
            </w:r>
          </w:p>
        </w:tc>
        <w:tc>
          <w:tcPr>
            <w:tcW w:type="dxa" w:w="18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~0.51 s</w:t>
            </w:r>
          </w:p>
        </w:tc>
        <w:tc>
          <w:tcPr>
            <w:tcW w:type="dxa" w:w="18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~0.69 s</w:t>
            </w:r>
          </w:p>
        </w:tc>
      </w:tr>
    </w:tbl>
    <w:p>
      <w:pPr>
        <w:spacing w:after="0"/>
      </w:pPr>
    </w:p>
    <w:p>
      <w:r>
        <w:t>These are historical local observations: Enhanced used a ten-segment warm-path sample. Startup, recognition, translation and audio latency are separate measurements. They are not SLAs or newly rerun benchmarks.</w:t>
      </w:r>
    </w:p>
    <w:p>
      <w:pPr>
        <w:pStyle w:val="Heading2"/>
      </w:pPr>
      <w:r>
        <w:t>Final transcript and context contract</w:t>
      </w:r>
    </w:p>
    <w:p>
      <w:pPr>
        <w:pStyle w:val="ListBullet"/>
      </w:pPr>
      <w:r>
        <w:t>Terminology and the previous three final source segments are reference-only context. They are not translated again. Source language, STT prompt and keywords are configurable.</w:t>
      </w:r>
    </w:p>
    <w:p>
      <w:pPr>
        <w:pStyle w:val="ListBullet"/>
      </w:pPr>
      <w:r>
        <w:t>SpeakableTextBuffer overlaps translation and TTS. PCM16 carry-byte continuity and a 20 ms jitter buffer preserve playback. The browser commits after an approximately 320 ms RMS silence window.</w:t>
      </w:r>
    </w:p>
    <w:p>
      <w:r>
        <w:br w:type="page"/>
      </w:r>
    </w:p>
    <w:p>
      <w:pPr>
        <w:pStyle w:val="Heading2"/>
      </w:pPr>
      <w:r>
        <w:t>Audio output and conferencing</w:t>
      </w:r>
    </w:p>
    <w:p>
      <w:r>
        <w:drawing>
          <wp:inline xmlns:a="http://schemas.openxmlformats.org/drawingml/2006/main" xmlns:pic="http://schemas.openxmlformats.org/drawingml/2006/picture">
            <wp:extent cx="6400800" cy="28403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.4.4_audio_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0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AudioInputManager selects an explicit physical microphone using persisted audioInputDeviceId. Direct and Enhanced stop relying on the Windows default input.</w:t>
      </w:r>
    </w:p>
    <w:p>
      <w:pPr>
        <w:pStyle w:val="ListBullet"/>
      </w:pPr>
      <w:r>
        <w:t>Conference output remains shared across Standard, Direct and Enhanced. monitorOutputDeviceId and monitorEnabled select a separate local headphone sink without Windows “Listen to this device”.</w:t>
      </w:r>
    </w:p>
    <w:p>
      <w:pPr>
        <w:pStyle w:val="ListBullet"/>
      </w:pPr>
      <w:r>
        <w:t>The wide Streamlit workspace consolidates Microphone, Conference Output, Local Monitor and Conference Input controls. Virtual drivers remain external prerequisites, documented under tools/README.md.</w:t>
      </w:r>
    </w:p>
    <w:p>
      <w:pPr>
        <w:pStyle w:val="ListBullet"/>
      </w:pPr>
      <w:r>
        <w:t>The supported release path is outbound audio to Teams/Meet/Zoom through browser devices and a virtual cable. Edge retains the real Teams outbound validation.</w:t>
      </w:r>
    </w:p>
    <w:p>
      <w:r>
        <w:t>ConferenceInputManager, inbound STT/translation/TTS and Full Duplex coordination remain experimental. Full end-to-end validation needs a second independent virtual path; native meeting joining and Graph calling are not release blockers.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8208"/>
      </w:tblGrid>
      <w:tr>
        <w:trPr>
          <w:cantSplit/>
          <w:tblHeader/>
        </w:trPr>
        <w:tc>
          <w:tcPr>
            <w:tcW w:type="dxa" w:w="187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8208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Audio bridge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Standard</w:t>
            </w:r>
          </w:p>
        </w:tc>
        <w:tc>
          <w:tcPr>
            <w:tcW w:type="dxa" w:w="82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Audio URL → managed HTML audio element.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Direct</w:t>
            </w:r>
          </w:p>
        </w:tc>
        <w:tc>
          <w:tcPr>
            <w:tcW w:type="dxa" w:w="82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WebRTC translated MediaStream → managed playback.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Enhanced</w:t>
            </w:r>
          </w:p>
        </w:tc>
        <w:tc>
          <w:tcPr>
            <w:tcW w:type="dxa" w:w="82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Web Audio → MediaStream destination → managed playback.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Conferencing</w:t>
            </w:r>
          </w:p>
        </w:tc>
        <w:tc>
          <w:tcPr>
            <w:tcW w:type="dxa" w:w="82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CABLE Input → VB-CABLE → CABLE Output meeting microphone.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Reliability and observability inheritance</w:t>
      </w:r>
    </w:p>
    <w:p>
      <w:pPr>
        <w:pStyle w:val="ListBullet"/>
      </w:pPr>
      <w:r>
        <w:t>Provider retry/timeout policies remain centralized where supported. AgentOrchestrator normalizes failures and preserves cancellation.</w:t>
      </w:r>
    </w:p>
    <w:p>
      <w:pPr>
        <w:pStyle w:val="ListBullet"/>
      </w:pPr>
      <w:r>
        <w:t>ExecutionTrace records stage/provider duration, outcome and error information. Prometheus covers executions, stage timing and retries.</w:t>
      </w:r>
    </w:p>
    <w:p>
      <w:r>
        <w:t>Realtime session creation uses normalized errors and provider/model/outcome metrics. Browser QoE reports bounded latency signals without request_id, session_id or client_secret metric labels. Stop releases live resources; reconnect uses a new ephemeral secret.</w:t>
      </w:r>
    </w:p>
    <w:p>
      <w:r>
        <w:t>Per-utterance metrics separate recognition, translation and audio. Detailed backend timings move to DEBUG; WebSocket disconnects terminate output without secondary send failures.</w:t>
      </w:r>
    </w:p>
    <w:p>
      <w:r>
        <w:br w:type="page"/>
      </w:r>
    </w:p>
    <w:p>
      <w:pPr>
        <w:pStyle w:val="Heading1"/>
      </w:pPr>
      <w:r>
        <w:t>9. Technical roadmap</w:t>
      </w:r>
    </w:p>
    <w:p>
      <w:r>
        <w:t>Each milestone builds on the preceding architecture. The table records capability delivery, not an assertion that an unseen public Git tag exists. Future scope is preserved from the historical milestone.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472"/>
      </w:tblGrid>
      <w:tr>
        <w:trPr>
          <w:cantSplit/>
          <w:tblHeader/>
        </w:trPr>
        <w:tc>
          <w:tcPr>
            <w:tcW w:type="dxa" w:w="4608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5472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Position in this edition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Prototype and orchestration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Foundation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Reliability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Foundation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Framework Next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Foundation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 Direct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Foundation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 Enhanced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Foundation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Universal Audio Output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Foundation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Device Control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Milestone documented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Product Readiness</w:t>
            </w:r>
          </w:p>
        </w:tc>
        <w:tc>
          <w:tcPr>
            <w:tcW w:type="dxa" w:w="5472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Future at this version</w:t>
            </w:r>
          </w:p>
        </w:tc>
      </w:tr>
      <w:tr>
        <w:trPr>
          <w:cantSplit/>
        </w:trPr>
        <w:tc>
          <w:tcPr>
            <w:tcW w:type="dxa" w:w="4608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Stable Framework</w:t>
            </w:r>
          </w:p>
        </w:tc>
        <w:tc>
          <w:tcPr>
            <w:tcW w:type="dxa" w:w="5472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Future at this version</w:t>
            </w:r>
          </w:p>
        </w:tc>
      </w:tr>
    </w:tbl>
    <w:p>
      <w:pPr>
        <w:spacing w:after="0"/>
      </w:pPr>
    </w:p>
    <w:p>
      <w:pPr>
        <w:pStyle w:val="Heading2"/>
      </w:pPr>
      <w:r>
        <w:t>10. Git release 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8064"/>
      </w:tblGrid>
      <w:tr>
        <w:trPr>
          <w:cantSplit/>
          <w:tblHeader/>
        </w:trPr>
        <w:tc>
          <w:tcPr>
            <w:tcW w:type="dxa" w:w="2016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8064"/>
            <w:vAlign w:val="center"/>
            <w:shd w:fill="19364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v0.1.0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Prototype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v0.2.0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Agent Orchestration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v0.3.0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Reliability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v0.4.0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Framework Next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v0.4.1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 Translation and Voice Configuration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v0.4.2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Realtime Enhanced Streaming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v0.4.3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Universal Audio Output and Conferencing Bridge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v0.4.4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Conferencing Audio and Device Control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v0.5.0</w:t>
            </w:r>
          </w:p>
        </w:tc>
        <w:tc>
          <w:tcPr>
            <w:tcW w:type="dxa" w:w="8064"/>
            <w:vAlign w:val="center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Product Readiness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v1.0.0</w:t>
            </w:r>
          </w:p>
        </w:tc>
        <w:tc>
          <w:tcPr>
            <w:tcW w:type="dxa" w:w="8064"/>
            <w:vAlign w:val="center"/>
            <w:shd w:fill="F3F6F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60" w:line="240" w:lineRule="auto"/>
            </w:pPr>
            <w:r>
              <w:rPr>
                <w:b w:val="0"/>
                <w:color w:val="273444"/>
                <w:sz w:val="18"/>
              </w:rPr>
              <w:t>Stable Framework Release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11. v0.4.4 definition of done</w:t>
      </w:r>
    </w:p>
    <w:p>
      <w:pPr>
        <w:pStyle w:val="ListBullet"/>
      </w:pPr>
      <w:r>
        <w:t>AudioInputManager selects an explicit physical microphone using persisted audioInputDeviceId. Direct and Enhanced stop relying on the Windows default input.</w:t>
      </w:r>
    </w:p>
    <w:p>
      <w:pPr>
        <w:pStyle w:val="ListBullet"/>
      </w:pPr>
      <w:r>
        <w:t>Conference output remains shared across Standard, Direct and Enhanced. monitorOutputDeviceId and monitorEnabled select a separate local headphone sink without Windows “Listen to this device”.</w:t>
      </w:r>
    </w:p>
    <w:p>
      <w:pPr>
        <w:pStyle w:val="ListBullet"/>
      </w:pPr>
      <w:r>
        <w:t>The wide Streamlit workspace consolidates Microphone, Conference Output, Local Monitor and Conference Input controls. Virtual drivers remain external prerequisites, documented under tools/README.md.</w:t>
      </w:r>
    </w:p>
    <w:p>
      <w:pPr>
        <w:pStyle w:val="ListBullet"/>
      </w:pPr>
      <w:r>
        <w:t>The supported release path is outbound audio to Teams/Meet/Zoom through browser devices and a virtual cable. Edge retains the real Teams outbound validation.</w:t>
      </w:r>
    </w:p>
    <w:p>
      <w:pPr>
        <w:pStyle w:val="ListBullet"/>
      </w:pPr>
      <w:r>
        <w:t>ConferenceInputManager, inbound STT/translation/TTS and Full Duplex coordination remain experimental. Full end-to-end validation needs a second independent virtual path; native meeting joining and Graph calling are not release blockers.</w:t>
      </w:r>
    </w:p>
    <w:p>
      <w:pPr>
        <w:pStyle w:val="ListBullet"/>
      </w:pPr>
      <w:r>
        <w:t>Standard agents, provider selection and configured pipelines preserve the v0.4 extension boundaries and Context/Quality metadata.</w:t>
      </w:r>
    </w:p>
    <w:p>
      <w:pPr>
        <w:pStyle w:val="ListBullet"/>
      </w:pPr>
      <w:r>
        <w:t>Dedicated live sessions remain independent from standard orchestration; stop/error cleanup and normalized failures stay observable.</w:t>
      </w:r>
    </w:p>
    <w:p>
      <w:r>
        <w:rPr>
          <w:b/>
          <w:color w:val="07847E"/>
        </w:rPr>
        <w:t xml:space="preserve">VALIDATION RECORD  </w:t>
      </w:r>
      <w:r>
        <w:t>Historical backend freeze: 216 passed, 0 failed, one non-blocking Starlette/httpx deprecation warning, 14.90 seconds.</w:t>
      </w:r>
    </w:p>
    <w:p>
      <w:pPr>
        <w:pStyle w:val="Heading2"/>
      </w:pPr>
      <w:r>
        <w:t>12. Recommended next slice</w:t>
      </w:r>
    </w:p>
    <w:p>
      <w:r>
        <w:t>Product Readiness follows: persistence, security/privacy boundaries, environment packaging, CI and production observability. Experimental duplex acceptance can mature separately.</w:t>
      </w:r>
    </w:p>
    <w:p>
      <w:pPr>
        <w:pStyle w:val="Heading2"/>
      </w:pPr>
      <w:r>
        <w:t>Product readiness direction</w:t>
      </w:r>
    </w:p>
    <w:p>
      <w:r>
        <w:t>Persistent conversation state, privacy/security boundaries, repeatable settings/credentials, CI packaging and production signals remain the operational roadmap. Later implementation chooses client isolation, not implicit authentication; future roadmap aspirations are not delivered guarantees of this historical version.</w:t>
      </w:r>
    </w:p>
    <w:p>
      <w:r>
        <w:rPr>
          <w:b/>
          <w:color w:val="07847E"/>
        </w:rPr>
        <w:t xml:space="preserve">FRAMEWORK PRINCIPLE  </w:t>
      </w:r>
      <w:r>
        <w:t>Add a capability through registration and composition without moving provider-specific or conferencing concerns into generic API/orchestration.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Waaxalma v0.4.4   ·   </w:t>
    </w:r>
    <w:r>
      <w:rPr>
        <w:color w:val="667085"/>
        <w:sz w:val="16"/>
      </w:rPr>
      <w:fldChar w:fldCharType="begin"/>
      <w:instrText xml:space="preserve">PAGE</w:instrText>
      <w:fldChar w:fldCharType="end"/>
    </w:r>
    <w:r>
      <w:rPr>
        <w:color w:val="667085"/>
        <w:sz w:val="16"/>
      </w:rPr>
      <w:t xml:space="preserve"> / </w:t>
    </w:r>
    <w:r>
      <w:rPr>
        <w:color w:val="667085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718096"/>
        <w:sz w:val="16"/>
      </w:rPr>
      <w:t>WAAXALMA  ·  ARCHITECTURE &amp; VISION 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936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Waaxalma Architecture and Vision Book v0.4.4 EN</dc:title>
  <dc:subject>Framework Next architecture</dc:subject>
  <dc:creator>Waaxalma</dc:creator>
  <cp:keywords>Waaxalma, voice agents, architecture, v0.4, framework, providers, pipelines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