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LIVRE D’ARCHITECTURE ET DE VISION · v0.3 · ÉDITION FRANÇAISE</w:t>
      </w:r>
    </w:p>
    <w:p>
      <w:pPr>
        <w:pStyle w:val="Title"/>
      </w:pPr>
      <w:r>
        <w:t>Waaxalma</w:t>
      </w:r>
    </w:p>
    <w:p>
      <w:pPr>
        <w:pStyle w:val="Subtitle"/>
      </w:pPr>
      <w:r>
        <w:t>Du prototype de traduction vocale au framework d’agents vocaux</w:t>
      </w:r>
    </w:p>
    <w:p>
      <w:r>
        <w:t>23 juillet 2026 · Architecture actualisée · Socle du dépôt v0.2.0</w:t>
      </w:r>
    </w:p>
    <w:p>
      <w:r>
        <w:rPr>
          <w:b/>
          <w:color w:val="07847E"/>
        </w:rPr>
        <w:t xml:space="preserve">VISION  </w:t>
      </w:r>
      <w:r>
        <w:t>Waaxalma (« parle pour moi ») transforme la parole, notamment en wolof, en texte et audio anglais. Il évolue progressivement vers un framework réutilisable pour composer et observer des agents vocaux.</w:t>
      </w:r>
    </w:p>
    <w:p>
      <w:pPr>
        <w:pStyle w:val="Heading1"/>
      </w:pPr>
      <w:r>
        <w:t>1. Vision et périmètre</w:t>
      </w:r>
    </w:p>
    <w:p>
      <w:r>
        <w:t>Capter la parole, préserver l’intention, produire une traduction exploitable et restituer une voix naturelle. Chaque capacité doit pouvoir évoluer sans casser les interfaces publiques. Le livre v0.3 décrit le socle orchestration v0.2.0 ; il n’annonce pas la livraison de Reliability v0.3.0.</w:t>
      </w:r>
    </w:p>
    <w:p>
      <w:pPr>
        <w:pStyle w:val="ListBullet"/>
      </w:pPr>
      <w:r>
        <w:t>Entrées : microphone ou fichier audio ; mode texte pour les tests et les usages sans voix.</w:t>
      </w:r>
    </w:p>
    <w:p>
      <w:pPr>
        <w:pStyle w:val="ListBullet"/>
      </w:pPr>
      <w:r>
        <w:t>Sorties : texte source, traduction anglaise, audio anglais et métadonnées de session.</w:t>
      </w:r>
    </w:p>
    <w:p>
      <w:pPr>
        <w:pStyle w:val="ListBullet"/>
      </w:pPr>
      <w:r>
        <w:t>Direction : déléguer le traitement métier des routes à un pipeline d’agents orchestré.</w:t>
      </w:r>
    </w:p>
    <w:p>
      <w:pPr>
        <w:pStyle w:val="Heading2"/>
      </w:pPr>
      <w:r>
        <w:t>2. Fondations construites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12"/>
        <w:gridCol w:w="2160"/>
        <w:gridCol w:w="6408"/>
      </w:tblGrid>
      <w:tr>
        <w:trPr>
          <w:cantSplit/>
          <w:tblHeader/>
        </w:trPr>
        <w:tc>
          <w:tcPr>
            <w:tcW w:type="dxa" w:w="1512"/>
            <w:vAlign w:val="center"/>
            <w:shd w:fill="19364D"/>
            <w:tcMar>
              <w:top w:w="90" w:type="dxa"/>
              <w:bottom w:w="90" w:type="dxa"/>
              <w:left w:w="90" w:type="dxa"/>
              <w:right w:w="90" w:type="dxa"/>
            </w:tcMar>
          </w:tcPr>
          <w:p>
            <w:pPr>
              <w:spacing w:after="60" w:line="240" w:lineRule="auto"/>
            </w:pPr>
            <w:r>
              <w:rPr>
                <w:b/>
                <w:color w:val="FFFFFF"/>
                <w:sz w:val="18"/>
              </w:rPr>
              <w:t>Couche</w:t>
            </w:r>
          </w:p>
        </w:tc>
        <w:tc>
          <w:tcPr>
            <w:tcW w:type="dxa" w:w="2160"/>
            <w:vAlign w:val="center"/>
            <w:shd w:fill="19364D"/>
            <w:tcMar>
              <w:top w:w="90" w:type="dxa"/>
              <w:bottom w:w="90" w:type="dxa"/>
              <w:left w:w="90" w:type="dxa"/>
              <w:right w:w="90" w:type="dxa"/>
            </w:tcMar>
          </w:tcPr>
          <w:p>
            <w:pPr>
              <w:spacing w:after="60" w:line="240" w:lineRule="auto"/>
            </w:pPr>
            <w:r>
              <w:rPr>
                <w:b/>
                <w:color w:val="FFFFFF"/>
                <w:sz w:val="18"/>
              </w:rPr>
              <w:t>État actuel</w:t>
            </w:r>
          </w:p>
        </w:tc>
        <w:tc>
          <w:tcPr>
            <w:tcW w:type="dxa" w:w="6408"/>
            <w:vAlign w:val="center"/>
            <w:shd w:fill="19364D"/>
            <w:tcMar>
              <w:top w:w="90" w:type="dxa"/>
              <w:bottom w:w="90" w:type="dxa"/>
              <w:left w:w="90" w:type="dxa"/>
              <w:right w:w="90" w:type="dxa"/>
            </w:tcMar>
          </w:tcPr>
          <w:p>
            <w:pPr>
              <w:spacing w:after="60" w:line="240" w:lineRule="auto"/>
            </w:pPr>
            <w:r>
              <w:rPr>
                <w:b/>
                <w:color w:val="FFFFFF"/>
                <w:sz w:val="18"/>
              </w:rPr>
              <w:t>Rôle architectural</w:t>
            </w:r>
          </w:p>
        </w:tc>
      </w:tr>
      <w:tr>
        <w:trPr>
          <w:cantSplit/>
        </w:trPr>
        <w:tc>
          <w:tcPr>
            <w:tcW w:type="dxa" w:w="1512"/>
            <w:vAlign w:val="center"/>
            <w:shd w:fill="FFFFFF"/>
            <w:tcMar>
              <w:top w:w="90" w:type="dxa"/>
              <w:bottom w:w="90" w:type="dxa"/>
              <w:left w:w="90" w:type="dxa"/>
              <w:right w:w="90" w:type="dxa"/>
            </w:tcMar>
          </w:tcPr>
          <w:p>
            <w:pPr>
              <w:spacing w:after="60" w:line="240" w:lineRule="auto"/>
            </w:pPr>
            <w:r>
              <w:rPr>
                <w:b w:val="0"/>
                <w:color w:val="273444"/>
                <w:sz w:val="18"/>
              </w:rPr>
              <w:t>API</w:t>
            </w:r>
          </w:p>
        </w:tc>
        <w:tc>
          <w:tcPr>
            <w:tcW w:type="dxa" w:w="2160"/>
            <w:vAlign w:val="center"/>
            <w:shd w:fill="FFFFFF"/>
            <w:tcMar>
              <w:top w:w="90" w:type="dxa"/>
              <w:bottom w:w="90" w:type="dxa"/>
              <w:left w:w="90" w:type="dxa"/>
              <w:right w:w="90" w:type="dxa"/>
            </w:tcMar>
          </w:tcPr>
          <w:p>
            <w:pPr>
              <w:spacing w:after="60" w:line="240" w:lineRule="auto"/>
            </w:pPr>
            <w:r>
              <w:rPr>
                <w:b w:val="0"/>
                <w:color w:val="273444"/>
                <w:sz w:val="18"/>
              </w:rPr>
              <w:t>FastAPI</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Les routes texte et voix délèguent à une orchestration commune.</w:t>
            </w:r>
          </w:p>
        </w:tc>
      </w:tr>
      <w:tr>
        <w:trPr>
          <w:cantSplit/>
        </w:trPr>
        <w:tc>
          <w:tcPr>
            <w:tcW w:type="dxa" w:w="1512"/>
            <w:vAlign w:val="center"/>
            <w:shd w:fill="F3F6F9"/>
            <w:tcMar>
              <w:top w:w="90" w:type="dxa"/>
              <w:bottom w:w="90" w:type="dxa"/>
              <w:left w:w="90" w:type="dxa"/>
              <w:right w:w="90" w:type="dxa"/>
            </w:tcMar>
          </w:tcPr>
          <w:p>
            <w:pPr>
              <w:spacing w:after="60" w:line="240" w:lineRule="auto"/>
            </w:pPr>
            <w:r>
              <w:rPr>
                <w:b w:val="0"/>
                <w:color w:val="273444"/>
                <w:sz w:val="18"/>
              </w:rPr>
              <w:t>Interface</w:t>
            </w:r>
          </w:p>
        </w:tc>
        <w:tc>
          <w:tcPr>
            <w:tcW w:type="dxa" w:w="2160"/>
            <w:vAlign w:val="center"/>
            <w:shd w:fill="F3F6F9"/>
            <w:tcMar>
              <w:top w:w="90" w:type="dxa"/>
              <w:bottom w:w="90" w:type="dxa"/>
              <w:left w:w="90" w:type="dxa"/>
              <w:right w:w="90" w:type="dxa"/>
            </w:tcMar>
          </w:tcPr>
          <w:p>
            <w:pPr>
              <w:spacing w:after="60" w:line="240" w:lineRule="auto"/>
            </w:pPr>
            <w:r>
              <w:rPr>
                <w:b w:val="0"/>
                <w:color w:val="273444"/>
                <w:sz w:val="18"/>
              </w:rPr>
              <w:t>Streamlit</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Parcours microphone validé dans l’interface Python.</w:t>
            </w:r>
          </w:p>
        </w:tc>
      </w:tr>
      <w:tr>
        <w:trPr>
          <w:cantSplit/>
        </w:trPr>
        <w:tc>
          <w:tcPr>
            <w:tcW w:type="dxa" w:w="1512"/>
            <w:vAlign w:val="center"/>
            <w:shd w:fill="FFFFFF"/>
            <w:tcMar>
              <w:top w:w="90" w:type="dxa"/>
              <w:bottom w:w="90" w:type="dxa"/>
              <w:left w:w="90" w:type="dxa"/>
              <w:right w:w="90" w:type="dxa"/>
            </w:tcMar>
          </w:tcPr>
          <w:p>
            <w:pPr>
              <w:spacing w:after="60" w:line="240" w:lineRule="auto"/>
            </w:pPr>
            <w:r>
              <w:rPr>
                <w:b w:val="0"/>
                <w:color w:val="273444"/>
                <w:sz w:val="18"/>
              </w:rPr>
              <w:t>Orchestration</w:t>
            </w:r>
          </w:p>
        </w:tc>
        <w:tc>
          <w:tcPr>
            <w:tcW w:type="dxa" w:w="2160"/>
            <w:vAlign w:val="center"/>
            <w:shd w:fill="FFFFFF"/>
            <w:tcMar>
              <w:top w:w="90" w:type="dxa"/>
              <w:bottom w:w="90" w:type="dxa"/>
              <w:left w:w="90" w:type="dxa"/>
              <w:right w:w="90" w:type="dxa"/>
            </w:tcMar>
          </w:tcPr>
          <w:p>
            <w:pPr>
              <w:spacing w:after="60" w:line="240" w:lineRule="auto"/>
            </w:pPr>
            <w:r>
              <w:rPr>
                <w:b w:val="0"/>
                <w:color w:val="273444"/>
                <w:sz w:val="18"/>
              </w:rPr>
              <w:t>Agent Orchestrator</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Entrées et résultats typés ; validation v0.2.0 consignée dans la source.</w:t>
            </w:r>
          </w:p>
        </w:tc>
      </w:tr>
      <w:tr>
        <w:trPr>
          <w:cantSplit/>
        </w:trPr>
        <w:tc>
          <w:tcPr>
            <w:tcW w:type="dxa" w:w="1512"/>
            <w:vAlign w:val="center"/>
            <w:shd w:fill="F3F6F9"/>
            <w:tcMar>
              <w:top w:w="90" w:type="dxa"/>
              <w:bottom w:w="90" w:type="dxa"/>
              <w:left w:w="90" w:type="dxa"/>
              <w:right w:w="90" w:type="dxa"/>
            </w:tcMar>
          </w:tcPr>
          <w:p>
            <w:pPr>
              <w:spacing w:after="60" w:line="240" w:lineRule="auto"/>
            </w:pPr>
            <w:r>
              <w:rPr>
                <w:b w:val="0"/>
                <w:color w:val="273444"/>
                <w:sz w:val="18"/>
              </w:rPr>
              <w:t>Session</w:t>
            </w:r>
          </w:p>
        </w:tc>
        <w:tc>
          <w:tcPr>
            <w:tcW w:type="dxa" w:w="2160"/>
            <w:vAlign w:val="center"/>
            <w:shd w:fill="F3F6F9"/>
            <w:tcMar>
              <w:top w:w="90" w:type="dxa"/>
              <w:bottom w:w="90" w:type="dxa"/>
              <w:left w:w="90" w:type="dxa"/>
              <w:right w:w="90" w:type="dxa"/>
            </w:tcMar>
          </w:tcPr>
          <w:p>
            <w:pPr>
              <w:spacing w:after="60" w:line="240" w:lineRule="auto"/>
            </w:pPr>
            <w:r>
              <w:rPr>
                <w:b w:val="0"/>
                <w:color w:val="273444"/>
                <w:sz w:val="18"/>
              </w:rPr>
              <w:t>SessionContext</w:t>
            </w:r>
          </w:p>
        </w:tc>
        <w:tc>
          <w:tcPr>
            <w:tcW w:type="dxa" w:w="6408"/>
            <w:vAlign w:val="center"/>
            <w:shd w:fill="F3F6F9"/>
            <w:tcMar>
              <w:top w:w="90" w:type="dxa"/>
              <w:bottom w:w="90" w:type="dxa"/>
              <w:left w:w="90" w:type="dxa"/>
              <w:right w:w="90" w:type="dxa"/>
            </w:tcMar>
          </w:tcPr>
          <w:p>
            <w:pPr>
              <w:spacing w:after="60" w:line="240" w:lineRule="auto"/>
            </w:pPr>
            <w:r>
              <w:rPr>
                <w:b w:val="0"/>
                <w:color w:val="273444"/>
                <w:sz w:val="18"/>
              </w:rPr>
              <w:t>Contexte d’exécution : session_id, langues, données partagées et métadonnées.</w:t>
            </w:r>
          </w:p>
        </w:tc>
      </w:tr>
      <w:tr>
        <w:trPr>
          <w:cantSplit/>
        </w:trPr>
        <w:tc>
          <w:tcPr>
            <w:tcW w:type="dxa" w:w="1512"/>
            <w:vAlign w:val="center"/>
            <w:shd w:fill="FFFFFF"/>
            <w:tcMar>
              <w:top w:w="90" w:type="dxa"/>
              <w:bottom w:w="90" w:type="dxa"/>
              <w:left w:w="90" w:type="dxa"/>
              <w:right w:w="90" w:type="dxa"/>
            </w:tcMar>
          </w:tcPr>
          <w:p>
            <w:pPr>
              <w:spacing w:after="60" w:line="240" w:lineRule="auto"/>
            </w:pPr>
            <w:r>
              <w:rPr>
                <w:b w:val="0"/>
                <w:color w:val="273444"/>
                <w:sz w:val="18"/>
              </w:rPr>
              <w:t>Agents et adaptateurs</w:t>
            </w:r>
          </w:p>
        </w:tc>
        <w:tc>
          <w:tcPr>
            <w:tcW w:type="dxa" w:w="2160"/>
            <w:vAlign w:val="center"/>
            <w:shd w:fill="FFFFFF"/>
            <w:tcMar>
              <w:top w:w="90" w:type="dxa"/>
              <w:bottom w:w="90" w:type="dxa"/>
              <w:left w:w="90" w:type="dxa"/>
              <w:right w:w="90" w:type="dxa"/>
            </w:tcMar>
          </w:tcPr>
          <w:p>
            <w:pPr>
              <w:spacing w:after="60" w:line="240" w:lineRule="auto"/>
            </w:pPr>
            <w:r>
              <w:rPr>
                <w:b w:val="0"/>
                <w:color w:val="273444"/>
                <w:sz w:val="18"/>
              </w:rPr>
              <w:t>InterpreterAgent</w:t>
            </w:r>
          </w:p>
        </w:tc>
        <w:tc>
          <w:tcPr>
            <w:tcW w:type="dxa" w:w="6408"/>
            <w:vAlign w:val="center"/>
            <w:shd w:fill="FFFFFF"/>
            <w:tcMar>
              <w:top w:w="90" w:type="dxa"/>
              <w:bottom w:w="90" w:type="dxa"/>
              <w:left w:w="90" w:type="dxa"/>
              <w:right w:w="90" w:type="dxa"/>
            </w:tcMar>
          </w:tcPr>
          <w:p>
            <w:pPr>
              <w:spacing w:after="60" w:line="240" w:lineRule="auto"/>
            </w:pPr>
            <w:r>
              <w:rPr>
                <w:b w:val="0"/>
                <w:color w:val="273444"/>
                <w:sz w:val="18"/>
              </w:rPr>
              <w:t>Traduction et synthèse via contrats et adaptateurs communs.</w:t>
            </w:r>
          </w:p>
        </w:tc>
      </w:tr>
    </w:tbl>
    <w:p>
      <w:pPr>
        <w:spacing w:after="0"/>
      </w:pPr>
    </w:p>
    <w:p>
      <w:pPr>
        <w:pStyle w:val="Heading2"/>
      </w:pPr>
      <w:r>
        <w:t>3. Principes directeurs</w:t>
      </w:r>
    </w:p>
    <w:p>
      <w:pPr>
        <w:pStyle w:val="ListBullet"/>
      </w:pPr>
      <w:r>
        <w:t>Garder les routes FastAPI simples ; les agents portent les décisions métier.</w:t>
      </w:r>
    </w:p>
    <w:p>
      <w:pPr>
        <w:pStyle w:val="ListBullet"/>
      </w:pPr>
      <w:r>
        <w:t>Accéder à STT, traduction et TTS via des adaptateurs remplaçables.</w:t>
      </w:r>
    </w:p>
    <w:p>
      <w:pPr>
        <w:pStyle w:val="ListBullet"/>
      </w:pPr>
      <w:r>
        <w:t>Partager contexte d’exécution, identifiant, erreurs, durée et résultats.</w:t>
      </w:r>
    </w:p>
    <w:p>
      <w:pPr>
        <w:pStyle w:val="ListBullet"/>
      </w:pPr>
      <w:r>
        <w:t>Concevoir collecte minimale et rétention explicite ; ne pas persister l’audio sans besoin défini. Ce sont des principes, pas un audit de sécurité.</w:t>
      </w:r>
    </w:p>
    <w:p>
      <w:r>
        <w:br w:type="page"/>
      </w:r>
    </w:p>
    <w:p>
      <w:pPr>
        <w:pStyle w:val="Heading1"/>
      </w:pPr>
      <w:r>
        <w:t>4. Architecture actuelle et cible</w:t>
      </w:r>
    </w:p>
    <w:p>
      <w:r>
        <w:drawing>
          <wp:inline xmlns:a="http://schemas.openxmlformats.org/drawingml/2006/main" xmlns:pic="http://schemas.openxmlformats.org/drawingml/2006/picture">
            <wp:extent cx="6400800" cy="3280410"/>
            <wp:docPr id="1" name="Picture 1"/>
            <wp:cNvGraphicFramePr>
              <a:graphicFrameLocks noChangeAspect="1"/>
            </wp:cNvGraphicFramePr>
            <a:graphic>
              <a:graphicData uri="http://schemas.openxmlformats.org/drawingml/2006/picture">
                <pic:pic>
                  <pic:nvPicPr>
                    <pic:cNvPr id="0" name="v0.3_architecture_FR.png"/>
                    <pic:cNvPicPr/>
                  </pic:nvPicPr>
                  <pic:blipFill>
                    <a:blip r:embed="rId13"/>
                    <a:stretch>
                      <a:fillRect/>
                    </a:stretch>
                  </pic:blipFill>
                  <pic:spPr>
                    <a:xfrm>
                      <a:off x="0" y="0"/>
                      <a:ext cx="6400800" cy="3280410"/>
                    </a:xfrm>
                    <a:prstGeom prst="rect"/>
                  </pic:spPr>
                </pic:pic>
              </a:graphicData>
            </a:graphic>
          </wp:inline>
        </w:drawing>
      </w:r>
    </w:p>
    <w:p>
      <w:r>
        <w:t>La source identifie Agent Orchestrator et SessionContext comme validés dans le dépôt v0.2.0. Transcription Agent, Speech Agent et web/mobile restent des cibles. SessionContext ne constitue pas à lui seul une mémoire conversationnelle persistante.</w:t>
      </w:r>
    </w:p>
    <w:p>
      <w:pPr>
        <w:pStyle w:val="Heading2"/>
      </w:pPr>
      <w:r>
        <w:t>5. Flux d’exécution de l’interpréteur</w:t>
      </w:r>
    </w:p>
    <w:p>
      <w:r>
        <w:drawing>
          <wp:inline xmlns:a="http://schemas.openxmlformats.org/drawingml/2006/main" xmlns:pic="http://schemas.openxmlformats.org/drawingml/2006/picture">
            <wp:extent cx="6400800" cy="1560195"/>
            <wp:docPr id="2" name="Picture 2"/>
            <wp:cNvGraphicFramePr>
              <a:graphicFrameLocks noChangeAspect="1"/>
            </wp:cNvGraphicFramePr>
            <a:graphic>
              <a:graphicData uri="http://schemas.openxmlformats.org/drawingml/2006/picture">
                <pic:pic>
                  <pic:nvPicPr>
                    <pic:cNvPr id="0" name="v0.3_flow_FR.png"/>
                    <pic:cNvPicPr/>
                  </pic:nvPicPr>
                  <pic:blipFill>
                    <a:blip r:embed="rId14"/>
                    <a:stretch>
                      <a:fillRect/>
                    </a:stretch>
                  </pic:blipFill>
                  <pic:spPr>
                    <a:xfrm>
                      <a:off x="0" y="0"/>
                      <a:ext cx="6400800" cy="1560195"/>
                    </a:xfrm>
                    <a:prstGeom prst="rect"/>
                  </pic:spPr>
                </pic:pic>
              </a:graphicData>
            </a:graphic>
          </wp:inline>
        </w:drawing>
      </w:r>
    </w:p>
    <w:p>
      <w:r>
        <w:rPr>
          <w:b/>
          <w:color w:val="07847E"/>
        </w:rPr>
        <w:t xml:space="preserve">CONTRAT DU PIPELINE  </w:t>
      </w:r>
      <w:r>
        <w:t>Un SessionContext partagé accompagne les contrats typés AgentInput et AgentResult. Les agents ne dépendent pas directement de FastAPI. Le flux montre des capacités ; les agents Transcription et Speech séparés restent cibles.</w:t>
      </w:r>
    </w:p>
    <w:p>
      <w:r>
        <w:br w:type="page"/>
      </w:r>
    </w:p>
    <w:p>
      <w:pPr>
        <w:pStyle w:val="Heading1"/>
      </w:pPr>
      <w:r>
        <w:t>6. Roadmap technique</w:t>
      </w:r>
    </w:p>
    <w:p>
      <w:r>
        <w:t>Prototype et orchestration sont consignés comme validés. La fiabilité vient ensuite, avant extensibilité et contraintes de production. Contrats Pydantic, orchestration, SessionContext, adaptateurs et tests d’intégration fournissent un modèle d’exécution partagé pour texte et voix.</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28"/>
        <w:gridCol w:w="1152"/>
        <w:gridCol w:w="7200"/>
      </w:tblGrid>
      <w:tr>
        <w:trPr>
          <w:cantSplit/>
          <w:tblHeader/>
        </w:trPr>
        <w:tc>
          <w:tcPr>
            <w:tcW w:type="dxa" w:w="1728"/>
            <w:vAlign w:val="center"/>
            <w:shd w:fill="19364D"/>
            <w:tcMar>
              <w:top w:w="90" w:type="dxa"/>
              <w:bottom w:w="90" w:type="dxa"/>
              <w:left w:w="90" w:type="dxa"/>
              <w:right w:w="90" w:type="dxa"/>
            </w:tcMar>
          </w:tcPr>
          <w:p>
            <w:pPr>
              <w:spacing w:after="60" w:line="240" w:lineRule="auto"/>
            </w:pPr>
            <w:r>
              <w:rPr>
                <w:b/>
                <w:color w:val="FFFFFF"/>
                <w:sz w:val="18"/>
              </w:rPr>
              <w:t>Étape</w:t>
            </w:r>
          </w:p>
        </w:tc>
        <w:tc>
          <w:tcPr>
            <w:tcW w:type="dxa" w:w="1152"/>
            <w:vAlign w:val="center"/>
            <w:shd w:fill="19364D"/>
            <w:tcMar>
              <w:top w:w="90" w:type="dxa"/>
              <w:bottom w:w="90" w:type="dxa"/>
              <w:left w:w="90" w:type="dxa"/>
              <w:right w:w="90" w:type="dxa"/>
            </w:tcMar>
          </w:tcPr>
          <w:p>
            <w:pPr>
              <w:spacing w:after="60" w:line="240" w:lineRule="auto"/>
            </w:pPr>
            <w:r>
              <w:rPr>
                <w:b/>
                <w:color w:val="FFFFFF"/>
                <w:sz w:val="18"/>
              </w:rPr>
              <w:t>Statut</w:t>
            </w:r>
          </w:p>
        </w:tc>
        <w:tc>
          <w:tcPr>
            <w:tcW w:type="dxa" w:w="7200"/>
            <w:vAlign w:val="center"/>
            <w:shd w:fill="19364D"/>
            <w:tcMar>
              <w:top w:w="90" w:type="dxa"/>
              <w:bottom w:w="90" w:type="dxa"/>
              <w:left w:w="90" w:type="dxa"/>
              <w:right w:w="90" w:type="dxa"/>
            </w:tcMar>
          </w:tcPr>
          <w:p>
            <w:pPr>
              <w:spacing w:after="60" w:line="240" w:lineRule="auto"/>
            </w:pPr>
            <w:r>
              <w:rPr>
                <w:b/>
                <w:color w:val="FFFFFF"/>
                <w:sz w:val="18"/>
              </w:rPr>
              <w:t>Livrables et critère de sortie</w:t>
            </w:r>
          </w:p>
        </w:tc>
      </w:tr>
      <w:tr>
        <w:trPr>
          <w:cantSplit/>
        </w:trPr>
        <w:tc>
          <w:tcPr>
            <w:tcW w:type="dxa" w:w="1728"/>
            <w:vAlign w:val="center"/>
            <w:shd w:fill="FFFFFF"/>
            <w:tcMar>
              <w:top w:w="90" w:type="dxa"/>
              <w:bottom w:w="90" w:type="dxa"/>
              <w:left w:w="90" w:type="dxa"/>
              <w:right w:w="90" w:type="dxa"/>
            </w:tcMar>
          </w:tcPr>
          <w:p>
            <w:pPr>
              <w:spacing w:after="60" w:line="240" w:lineRule="auto"/>
            </w:pPr>
            <w:r>
              <w:rPr>
                <w:b w:val="0"/>
                <w:color w:val="273444"/>
                <w:sz w:val="18"/>
              </w:rPr>
              <w:t>0 Prototype</w:t>
            </w:r>
          </w:p>
        </w:tc>
        <w:tc>
          <w:tcPr>
            <w:tcW w:type="dxa" w:w="1152"/>
            <w:vAlign w:val="center"/>
            <w:shd w:fill="FFFFFF"/>
            <w:tcMar>
              <w:top w:w="90" w:type="dxa"/>
              <w:bottom w:w="90" w:type="dxa"/>
              <w:left w:w="90" w:type="dxa"/>
              <w:right w:w="90" w:type="dxa"/>
            </w:tcMar>
          </w:tcPr>
          <w:p>
            <w:pPr>
              <w:spacing w:after="60" w:line="240" w:lineRule="auto"/>
            </w:pPr>
            <w:r>
              <w:rPr>
                <w:b w:val="0"/>
                <w:color w:val="273444"/>
                <w:sz w:val="18"/>
              </w:rPr>
              <w:t>Validé</w:t>
            </w:r>
          </w:p>
        </w:tc>
        <w:tc>
          <w:tcPr>
            <w:tcW w:type="dxa" w:w="7200"/>
            <w:vAlign w:val="center"/>
            <w:shd w:fill="FFFFFF"/>
            <w:tcMar>
              <w:top w:w="90" w:type="dxa"/>
              <w:bottom w:w="90" w:type="dxa"/>
              <w:left w:w="90" w:type="dxa"/>
              <w:right w:w="90" w:type="dxa"/>
            </w:tcMar>
          </w:tcPr>
          <w:p>
            <w:pPr>
              <w:spacing w:after="60" w:line="240" w:lineRule="auto"/>
            </w:pPr>
            <w:r>
              <w:rPr>
                <w:b w:val="0"/>
                <w:color w:val="273444"/>
                <w:sz w:val="18"/>
              </w:rPr>
              <w:t>FastAPI, services traduction/TTS, Streamlit, endpoints texte/voix. Sortie : parcours fonctionnels testés.</w:t>
            </w:r>
          </w:p>
        </w:tc>
      </w:tr>
      <w:tr>
        <w:trPr>
          <w:cantSplit/>
        </w:trPr>
        <w:tc>
          <w:tcPr>
            <w:tcW w:type="dxa" w:w="1728"/>
            <w:vAlign w:val="center"/>
            <w:shd w:fill="F3F6F9"/>
            <w:tcMar>
              <w:top w:w="90" w:type="dxa"/>
              <w:bottom w:w="90" w:type="dxa"/>
              <w:left w:w="90" w:type="dxa"/>
              <w:right w:w="90" w:type="dxa"/>
            </w:tcMar>
          </w:tcPr>
          <w:p>
            <w:pPr>
              <w:spacing w:after="60" w:line="240" w:lineRule="auto"/>
            </w:pPr>
            <w:r>
              <w:rPr>
                <w:b w:val="0"/>
                <w:color w:val="273444"/>
                <w:sz w:val="18"/>
              </w:rPr>
              <w:t>1 Orchestration</w:t>
            </w:r>
          </w:p>
        </w:tc>
        <w:tc>
          <w:tcPr>
            <w:tcW w:type="dxa" w:w="1152"/>
            <w:vAlign w:val="center"/>
            <w:shd w:fill="F3F6F9"/>
            <w:tcMar>
              <w:top w:w="90" w:type="dxa"/>
              <w:bottom w:w="90" w:type="dxa"/>
              <w:left w:w="90" w:type="dxa"/>
              <w:right w:w="90" w:type="dxa"/>
            </w:tcMar>
          </w:tcPr>
          <w:p>
            <w:pPr>
              <w:spacing w:after="60" w:line="240" w:lineRule="auto"/>
            </w:pPr>
            <w:r>
              <w:rPr>
                <w:b w:val="0"/>
                <w:color w:val="273444"/>
                <w:sz w:val="18"/>
              </w:rPr>
              <w:t>Validé</w:t>
            </w:r>
          </w:p>
        </w:tc>
        <w:tc>
          <w:tcPr>
            <w:tcW w:type="dxa" w:w="7200"/>
            <w:vAlign w:val="center"/>
            <w:shd w:fill="F3F6F9"/>
            <w:tcMar>
              <w:top w:w="90" w:type="dxa"/>
              <w:bottom w:w="90" w:type="dxa"/>
              <w:left w:w="90" w:type="dxa"/>
              <w:right w:w="90" w:type="dxa"/>
            </w:tcMar>
          </w:tcPr>
          <w:p>
            <w:pPr>
              <w:spacing w:after="60" w:line="240" w:lineRule="auto"/>
            </w:pPr>
            <w:r>
              <w:rPr>
                <w:b w:val="0"/>
                <w:color w:val="273444"/>
                <w:sz w:val="18"/>
              </w:rPr>
              <w:t>Contrats Pydantic, Agent Orchestrator, SessionContext, adaptateurs, tests d’intégration. Sortie : pipeline texte/voix commun.</w:t>
            </w:r>
          </w:p>
        </w:tc>
      </w:tr>
      <w:tr>
        <w:trPr>
          <w:cantSplit/>
        </w:trPr>
        <w:tc>
          <w:tcPr>
            <w:tcW w:type="dxa" w:w="1728"/>
            <w:vAlign w:val="center"/>
            <w:shd w:fill="FFFFFF"/>
            <w:tcMar>
              <w:top w:w="90" w:type="dxa"/>
              <w:bottom w:w="90" w:type="dxa"/>
              <w:left w:w="90" w:type="dxa"/>
              <w:right w:w="90" w:type="dxa"/>
            </w:tcMar>
          </w:tcPr>
          <w:p>
            <w:pPr>
              <w:spacing w:after="60" w:line="240" w:lineRule="auto"/>
            </w:pPr>
            <w:r>
              <w:rPr>
                <w:b w:val="0"/>
                <w:color w:val="273444"/>
                <w:sz w:val="18"/>
              </w:rPr>
              <w:t>2 Fiabilité</w:t>
            </w:r>
          </w:p>
        </w:tc>
        <w:tc>
          <w:tcPr>
            <w:tcW w:type="dxa" w:w="1152"/>
            <w:vAlign w:val="center"/>
            <w:shd w:fill="FFFFFF"/>
            <w:tcMar>
              <w:top w:w="90" w:type="dxa"/>
              <w:bottom w:w="90" w:type="dxa"/>
              <w:left w:w="90" w:type="dxa"/>
              <w:right w:w="90" w:type="dxa"/>
            </w:tcMar>
          </w:tcPr>
          <w:p>
            <w:pPr>
              <w:spacing w:after="60" w:line="240" w:lineRule="auto"/>
            </w:pPr>
            <w:r>
              <w:rPr>
                <w:b w:val="0"/>
                <w:color w:val="273444"/>
                <w:sz w:val="18"/>
              </w:rPr>
              <w:t>Prochaine</w:t>
            </w:r>
          </w:p>
        </w:tc>
        <w:tc>
          <w:tcPr>
            <w:tcW w:type="dxa" w:w="7200"/>
            <w:vAlign w:val="center"/>
            <w:shd w:fill="FFFFFF"/>
            <w:tcMar>
              <w:top w:w="90" w:type="dxa"/>
              <w:bottom w:w="90" w:type="dxa"/>
              <w:left w:w="90" w:type="dxa"/>
              <w:right w:w="90" w:type="dxa"/>
            </w:tcMar>
          </w:tcPr>
          <w:p>
            <w:pPr>
              <w:spacing w:after="60" w:line="240" w:lineRule="auto"/>
            </w:pPr>
            <w:r>
              <w:rPr>
                <w:b w:val="0"/>
                <w:color w:val="273444"/>
                <w:sz w:val="18"/>
              </w:rPr>
              <w:t>Validation audio, async, timeouts/retries, traces, historique court, métriques qualité/latence. Sortie : erreurs observables et reprise contrôlée.</w:t>
            </w:r>
          </w:p>
        </w:tc>
      </w:tr>
      <w:tr>
        <w:trPr>
          <w:cantSplit/>
        </w:trPr>
        <w:tc>
          <w:tcPr>
            <w:tcW w:type="dxa" w:w="1728"/>
            <w:vAlign w:val="center"/>
            <w:shd w:fill="F3F6F9"/>
            <w:tcMar>
              <w:top w:w="90" w:type="dxa"/>
              <w:bottom w:w="90" w:type="dxa"/>
              <w:left w:w="90" w:type="dxa"/>
              <w:right w:w="90" w:type="dxa"/>
            </w:tcMar>
          </w:tcPr>
          <w:p>
            <w:pPr>
              <w:spacing w:after="60" w:line="240" w:lineRule="auto"/>
            </w:pPr>
            <w:r>
              <w:rPr>
                <w:b w:val="0"/>
                <w:color w:val="273444"/>
                <w:sz w:val="18"/>
              </w:rPr>
              <w:t>3 Framework</w:t>
            </w:r>
          </w:p>
        </w:tc>
        <w:tc>
          <w:tcPr>
            <w:tcW w:type="dxa" w:w="1152"/>
            <w:vAlign w:val="center"/>
            <w:shd w:fill="F3F6F9"/>
            <w:tcMar>
              <w:top w:w="90" w:type="dxa"/>
              <w:bottom w:w="90" w:type="dxa"/>
              <w:left w:w="90" w:type="dxa"/>
              <w:right w:w="90" w:type="dxa"/>
            </w:tcMar>
          </w:tcPr>
          <w:p>
            <w:pPr>
              <w:spacing w:after="60" w:line="240" w:lineRule="auto"/>
            </w:pPr>
            <w:r>
              <w:rPr>
                <w:b w:val="0"/>
                <w:color w:val="273444"/>
                <w:sz w:val="18"/>
              </w:rPr>
              <w:t>Cible</w:t>
            </w:r>
          </w:p>
        </w:tc>
        <w:tc>
          <w:tcPr>
            <w:tcW w:type="dxa" w:w="7200"/>
            <w:vAlign w:val="center"/>
            <w:shd w:fill="F3F6F9"/>
            <w:tcMar>
              <w:top w:w="90" w:type="dxa"/>
              <w:bottom w:w="90" w:type="dxa"/>
              <w:left w:w="90" w:type="dxa"/>
              <w:right w:w="90" w:type="dxa"/>
            </w:tcMar>
          </w:tcPr>
          <w:p>
            <w:pPr>
              <w:spacing w:after="60" w:line="240" w:lineRule="auto"/>
            </w:pPr>
            <w:r>
              <w:rPr>
                <w:b w:val="0"/>
                <w:color w:val="273444"/>
                <w:sz w:val="18"/>
              </w:rPr>
              <w:t>Registre d’agents, fournisseurs interchangeables, pipelines configurables, agents qualité/contexte. Sortie : ajout d’un agent sans modifier l’API.</w:t>
            </w:r>
          </w:p>
        </w:tc>
      </w:tr>
      <w:tr>
        <w:trPr>
          <w:cantSplit/>
        </w:trPr>
        <w:tc>
          <w:tcPr>
            <w:tcW w:type="dxa" w:w="1728"/>
            <w:vAlign w:val="center"/>
            <w:shd w:fill="FFFFFF"/>
            <w:tcMar>
              <w:top w:w="90" w:type="dxa"/>
              <w:bottom w:w="90" w:type="dxa"/>
              <w:left w:w="90" w:type="dxa"/>
              <w:right w:w="90" w:type="dxa"/>
            </w:tcMar>
          </w:tcPr>
          <w:p>
            <w:pPr>
              <w:spacing w:after="60" w:line="240" w:lineRule="auto"/>
            </w:pPr>
            <w:r>
              <w:rPr>
                <w:b w:val="0"/>
                <w:color w:val="273444"/>
                <w:sz w:val="18"/>
              </w:rPr>
              <w:t>4 Produit</w:t>
            </w:r>
          </w:p>
        </w:tc>
        <w:tc>
          <w:tcPr>
            <w:tcW w:type="dxa" w:w="1152"/>
            <w:vAlign w:val="center"/>
            <w:shd w:fill="FFFFFF"/>
            <w:tcMar>
              <w:top w:w="90" w:type="dxa"/>
              <w:bottom w:w="90" w:type="dxa"/>
              <w:left w:w="90" w:type="dxa"/>
              <w:right w:w="90" w:type="dxa"/>
            </w:tcMar>
          </w:tcPr>
          <w:p>
            <w:pPr>
              <w:spacing w:after="60" w:line="240" w:lineRule="auto"/>
            </w:pPr>
            <w:r>
              <w:rPr>
                <w:b w:val="0"/>
                <w:color w:val="273444"/>
                <w:sz w:val="18"/>
              </w:rPr>
              <w:t>Cible</w:t>
            </w:r>
          </w:p>
        </w:tc>
        <w:tc>
          <w:tcPr>
            <w:tcW w:type="dxa" w:w="7200"/>
            <w:vAlign w:val="center"/>
            <w:shd w:fill="FFFFFF"/>
            <w:tcMar>
              <w:top w:w="90" w:type="dxa"/>
              <w:bottom w:w="90" w:type="dxa"/>
              <w:left w:w="90" w:type="dxa"/>
              <w:right w:w="90" w:type="dxa"/>
            </w:tcMar>
          </w:tcPr>
          <w:p>
            <w:pPr>
              <w:spacing w:after="60" w:line="240" w:lineRule="auto"/>
            </w:pPr>
            <w:r>
              <w:rPr>
                <w:b w:val="0"/>
                <w:color w:val="273444"/>
                <w:sz w:val="18"/>
              </w:rPr>
              <w:t>Sessions persistantes, sécurité/confidentialité, CI/CD, packaging et observabilité opérationnelle. Sortie : version déployable et gouvernée.</w:t>
            </w:r>
          </w:p>
        </w:tc>
      </w:tr>
    </w:tbl>
    <w:p>
      <w:pPr>
        <w:spacing w:after="0"/>
      </w:pPr>
    </w:p>
    <w:p>
      <w:r>
        <w:br w:type="page"/>
      </w:r>
    </w:p>
    <w:p>
      <w:pPr>
        <w:pStyle w:val="Heading2"/>
      </w:pPr>
      <w:r>
        <w:t>7. Carte des releases Git</w:t>
      </w:r>
    </w:p>
    <w:p>
      <w:r>
        <w:t>La source associe les jalons aux tags ci-dessous. Les statuts sont historiques ; cette revue documentaire ne vérifie pas les tags distants et ne réexécute pas leur validation.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5616"/>
        <w:gridCol w:w="2880"/>
      </w:tblGrid>
      <w:tr>
        <w:trPr>
          <w:cantSplit/>
          <w:tblHeader/>
        </w:trPr>
        <w:tc>
          <w:tcPr>
            <w:tcW w:type="dxa" w:w="1584"/>
            <w:vAlign w:val="center"/>
            <w:shd w:fill="19364D"/>
            <w:tcMar>
              <w:top w:w="90" w:type="dxa"/>
              <w:bottom w:w="90" w:type="dxa"/>
              <w:left w:w="90" w:type="dxa"/>
              <w:right w:w="90" w:type="dxa"/>
            </w:tcMar>
          </w:tcPr>
          <w:p>
            <w:pPr>
              <w:spacing w:after="60" w:line="240" w:lineRule="auto"/>
            </w:pPr>
            <w:r>
              <w:rPr>
                <w:b/>
                <w:color w:val="FFFFFF"/>
                <w:sz w:val="18"/>
              </w:rPr>
              <w:t>Tag Git</w:t>
            </w:r>
          </w:p>
        </w:tc>
        <w:tc>
          <w:tcPr>
            <w:tcW w:type="dxa" w:w="5616"/>
            <w:vAlign w:val="center"/>
            <w:shd w:fill="19364D"/>
            <w:tcMar>
              <w:top w:w="90" w:type="dxa"/>
              <w:bottom w:w="90" w:type="dxa"/>
              <w:left w:w="90" w:type="dxa"/>
              <w:right w:w="90" w:type="dxa"/>
            </w:tcMar>
          </w:tcPr>
          <w:p>
            <w:pPr>
              <w:spacing w:after="60" w:line="240" w:lineRule="auto"/>
            </w:pPr>
            <w:r>
              <w:rPr>
                <w:b/>
                <w:color w:val="FFFFFF"/>
                <w:sz w:val="18"/>
              </w:rPr>
              <w:t>Jalon</w:t>
            </w:r>
          </w:p>
        </w:tc>
        <w:tc>
          <w:tcPr>
            <w:tcW w:type="dxa" w:w="2880"/>
            <w:vAlign w:val="center"/>
            <w:shd w:fill="19364D"/>
            <w:tcMar>
              <w:top w:w="90" w:type="dxa"/>
              <w:bottom w:w="90" w:type="dxa"/>
              <w:left w:w="90" w:type="dxa"/>
              <w:right w:w="90" w:type="dxa"/>
            </w:tcMar>
          </w:tcPr>
          <w:p>
            <w:pPr>
              <w:spacing w:after="60" w:line="240" w:lineRule="auto"/>
            </w:pPr>
            <w:r>
              <w:rPr>
                <w:b/>
                <w:color w:val="FFFFFF"/>
                <w:sz w:val="18"/>
              </w:rPr>
              <w:t>Statut historique</w:t>
            </w:r>
          </w:p>
        </w:tc>
      </w:tr>
      <w:tr>
        <w:trPr>
          <w:cantSplit/>
        </w:trPr>
        <w:tc>
          <w:tcPr>
            <w:tcW w:type="dxa" w:w="1584"/>
            <w:vAlign w:val="center"/>
            <w:shd w:fill="FFFFFF"/>
            <w:tcMar>
              <w:top w:w="90" w:type="dxa"/>
              <w:bottom w:w="90" w:type="dxa"/>
              <w:left w:w="90" w:type="dxa"/>
              <w:right w:w="90" w:type="dxa"/>
            </w:tcMar>
          </w:tcPr>
          <w:p>
            <w:pPr>
              <w:spacing w:after="60" w:line="240" w:lineRule="auto"/>
            </w:pPr>
            <w:r>
              <w:rPr>
                <w:b w:val="0"/>
                <w:color w:val="273444"/>
                <w:sz w:val="18"/>
              </w:rPr>
              <w:t>v0.1.0</w:t>
            </w:r>
          </w:p>
        </w:tc>
        <w:tc>
          <w:tcPr>
            <w:tcW w:type="dxa" w:w="5616"/>
            <w:vAlign w:val="center"/>
            <w:shd w:fill="FFFFFF"/>
            <w:tcMar>
              <w:top w:w="90" w:type="dxa"/>
              <w:bottom w:w="90" w:type="dxa"/>
              <w:left w:w="90" w:type="dxa"/>
              <w:right w:w="90" w:type="dxa"/>
            </w:tcMar>
          </w:tcPr>
          <w:p>
            <w:pPr>
              <w:spacing w:after="60" w:line="240" w:lineRule="auto"/>
            </w:pPr>
            <w:r>
              <w:rPr>
                <w:b w:val="0"/>
                <w:color w:val="273444"/>
                <w:sz w:val="18"/>
              </w:rPr>
              <w:t>Prototype</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Publié</w:t>
            </w:r>
          </w:p>
        </w:tc>
      </w:tr>
      <w:tr>
        <w:trPr>
          <w:cantSplit/>
        </w:trPr>
        <w:tc>
          <w:tcPr>
            <w:tcW w:type="dxa" w:w="1584"/>
            <w:vAlign w:val="center"/>
            <w:shd w:fill="F3F6F9"/>
            <w:tcMar>
              <w:top w:w="90" w:type="dxa"/>
              <w:bottom w:w="90" w:type="dxa"/>
              <w:left w:w="90" w:type="dxa"/>
              <w:right w:w="90" w:type="dxa"/>
            </w:tcMar>
          </w:tcPr>
          <w:p>
            <w:pPr>
              <w:spacing w:after="60" w:line="240" w:lineRule="auto"/>
            </w:pPr>
            <w:r>
              <w:rPr>
                <w:b w:val="0"/>
                <w:color w:val="273444"/>
                <w:sz w:val="18"/>
              </w:rPr>
              <w:t>v0.2.0</w:t>
            </w:r>
          </w:p>
        </w:tc>
        <w:tc>
          <w:tcPr>
            <w:tcW w:type="dxa" w:w="5616"/>
            <w:vAlign w:val="center"/>
            <w:shd w:fill="F3F6F9"/>
            <w:tcMar>
              <w:top w:w="90" w:type="dxa"/>
              <w:bottom w:w="90" w:type="dxa"/>
              <w:left w:w="90" w:type="dxa"/>
              <w:right w:w="90" w:type="dxa"/>
            </w:tcMar>
          </w:tcPr>
          <w:p>
            <w:pPr>
              <w:spacing w:after="60" w:line="240" w:lineRule="auto"/>
            </w:pPr>
            <w:r>
              <w:rPr>
                <w:b w:val="0"/>
                <w:color w:val="273444"/>
                <w:sz w:val="18"/>
              </w:rPr>
              <w:t>Orchestration agents</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Publié</w:t>
            </w:r>
          </w:p>
        </w:tc>
      </w:tr>
      <w:tr>
        <w:trPr>
          <w:cantSplit/>
        </w:trPr>
        <w:tc>
          <w:tcPr>
            <w:tcW w:type="dxa" w:w="1584"/>
            <w:vAlign w:val="center"/>
            <w:shd w:fill="FFFFFF"/>
            <w:tcMar>
              <w:top w:w="90" w:type="dxa"/>
              <w:bottom w:w="90" w:type="dxa"/>
              <w:left w:w="90" w:type="dxa"/>
              <w:right w:w="90" w:type="dxa"/>
            </w:tcMar>
          </w:tcPr>
          <w:p>
            <w:pPr>
              <w:spacing w:after="60" w:line="240" w:lineRule="auto"/>
            </w:pPr>
            <w:r>
              <w:rPr>
                <w:b w:val="0"/>
                <w:color w:val="273444"/>
                <w:sz w:val="18"/>
              </w:rPr>
              <w:t>v0.3.0</w:t>
            </w:r>
          </w:p>
        </w:tc>
        <w:tc>
          <w:tcPr>
            <w:tcW w:type="dxa" w:w="5616"/>
            <w:vAlign w:val="center"/>
            <w:shd w:fill="FFFFFF"/>
            <w:tcMar>
              <w:top w:w="90" w:type="dxa"/>
              <w:bottom w:w="90" w:type="dxa"/>
              <w:left w:w="90" w:type="dxa"/>
              <w:right w:w="90" w:type="dxa"/>
            </w:tcMar>
          </w:tcPr>
          <w:p>
            <w:pPr>
              <w:spacing w:after="60" w:line="240" w:lineRule="auto"/>
            </w:pPr>
            <w:r>
              <w:rPr>
                <w:b w:val="0"/>
                <w:color w:val="273444"/>
                <w:sz w:val="18"/>
              </w:rPr>
              <w:t>Fiabilité</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Prochain</w:t>
            </w:r>
          </w:p>
        </w:tc>
      </w:tr>
      <w:tr>
        <w:trPr>
          <w:cantSplit/>
        </w:trPr>
        <w:tc>
          <w:tcPr>
            <w:tcW w:type="dxa" w:w="1584"/>
            <w:vAlign w:val="center"/>
            <w:shd w:fill="F3F6F9"/>
            <w:tcMar>
              <w:top w:w="90" w:type="dxa"/>
              <w:bottom w:w="90" w:type="dxa"/>
              <w:left w:w="90" w:type="dxa"/>
              <w:right w:w="90" w:type="dxa"/>
            </w:tcMar>
          </w:tcPr>
          <w:p>
            <w:pPr>
              <w:spacing w:after="60" w:line="240" w:lineRule="auto"/>
            </w:pPr>
            <w:r>
              <w:rPr>
                <w:b w:val="0"/>
                <w:color w:val="273444"/>
                <w:sz w:val="18"/>
              </w:rPr>
              <w:t>v0.4.0</w:t>
            </w:r>
          </w:p>
        </w:tc>
        <w:tc>
          <w:tcPr>
            <w:tcW w:type="dxa" w:w="5616"/>
            <w:vAlign w:val="center"/>
            <w:shd w:fill="F3F6F9"/>
            <w:tcMar>
              <w:top w:w="90" w:type="dxa"/>
              <w:bottom w:w="90" w:type="dxa"/>
              <w:left w:w="90" w:type="dxa"/>
              <w:right w:w="90" w:type="dxa"/>
            </w:tcMar>
          </w:tcPr>
          <w:p>
            <w:pPr>
              <w:spacing w:after="60" w:line="240" w:lineRule="auto"/>
            </w:pPr>
            <w:r>
              <w:rPr>
                <w:b w:val="0"/>
                <w:color w:val="273444"/>
                <w:sz w:val="18"/>
              </w:rPr>
              <w:t>Framework</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Cible</w:t>
            </w:r>
          </w:p>
        </w:tc>
      </w:tr>
      <w:tr>
        <w:trPr>
          <w:cantSplit/>
        </w:trPr>
        <w:tc>
          <w:tcPr>
            <w:tcW w:type="dxa" w:w="1584"/>
            <w:vAlign w:val="center"/>
            <w:shd w:fill="FFFFFF"/>
            <w:tcMar>
              <w:top w:w="90" w:type="dxa"/>
              <w:bottom w:w="90" w:type="dxa"/>
              <w:left w:w="90" w:type="dxa"/>
              <w:right w:w="90" w:type="dxa"/>
            </w:tcMar>
          </w:tcPr>
          <w:p>
            <w:pPr>
              <w:spacing w:after="60" w:line="240" w:lineRule="auto"/>
            </w:pPr>
            <w:r>
              <w:rPr>
                <w:b w:val="0"/>
                <w:color w:val="273444"/>
                <w:sz w:val="18"/>
              </w:rPr>
              <w:t>v0.5.0</w:t>
            </w:r>
          </w:p>
        </w:tc>
        <w:tc>
          <w:tcPr>
            <w:tcW w:type="dxa" w:w="5616"/>
            <w:vAlign w:val="center"/>
            <w:shd w:fill="FFFFFF"/>
            <w:tcMar>
              <w:top w:w="90" w:type="dxa"/>
              <w:bottom w:w="90" w:type="dxa"/>
              <w:left w:w="90" w:type="dxa"/>
              <w:right w:w="90" w:type="dxa"/>
            </w:tcMar>
          </w:tcPr>
          <w:p>
            <w:pPr>
              <w:spacing w:after="60" w:line="240" w:lineRule="auto"/>
            </w:pPr>
            <w:r>
              <w:rPr>
                <w:b w:val="0"/>
                <w:color w:val="273444"/>
                <w:sz w:val="18"/>
              </w:rPr>
              <w:t>Préparation à la production</w:t>
            </w:r>
          </w:p>
        </w:tc>
        <w:tc>
          <w:tcPr>
            <w:tcW w:type="dxa" w:w="2880"/>
            <w:vAlign w:val="center"/>
            <w:shd w:fill="FFFFFF"/>
            <w:tcMar>
              <w:top w:w="90" w:type="dxa"/>
              <w:bottom w:w="90" w:type="dxa"/>
              <w:left w:w="90" w:type="dxa"/>
              <w:right w:w="90" w:type="dxa"/>
            </w:tcMar>
          </w:tcPr>
          <w:p>
            <w:pPr>
              <w:spacing w:after="60" w:line="240" w:lineRule="auto"/>
            </w:pPr>
            <w:r>
              <w:rPr>
                <w:b w:val="0"/>
                <w:color w:val="273444"/>
                <w:sz w:val="18"/>
              </w:rPr>
              <w:t>Cible</w:t>
            </w:r>
          </w:p>
        </w:tc>
      </w:tr>
      <w:tr>
        <w:trPr>
          <w:cantSplit/>
        </w:trPr>
        <w:tc>
          <w:tcPr>
            <w:tcW w:type="dxa" w:w="1584"/>
            <w:vAlign w:val="center"/>
            <w:shd w:fill="F3F6F9"/>
            <w:tcMar>
              <w:top w:w="90" w:type="dxa"/>
              <w:bottom w:w="90" w:type="dxa"/>
              <w:left w:w="90" w:type="dxa"/>
              <w:right w:w="90" w:type="dxa"/>
            </w:tcMar>
          </w:tcPr>
          <w:p>
            <w:pPr>
              <w:spacing w:after="60" w:line="240" w:lineRule="auto"/>
            </w:pPr>
            <w:r>
              <w:rPr>
                <w:b w:val="0"/>
                <w:color w:val="273444"/>
                <w:sz w:val="18"/>
              </w:rPr>
              <w:t>v1.0.0</w:t>
            </w:r>
          </w:p>
        </w:tc>
        <w:tc>
          <w:tcPr>
            <w:tcW w:type="dxa" w:w="5616"/>
            <w:vAlign w:val="center"/>
            <w:shd w:fill="F3F6F9"/>
            <w:tcMar>
              <w:top w:w="90" w:type="dxa"/>
              <w:bottom w:w="90" w:type="dxa"/>
              <w:left w:w="90" w:type="dxa"/>
              <w:right w:w="90" w:type="dxa"/>
            </w:tcMar>
          </w:tcPr>
          <w:p>
            <w:pPr>
              <w:spacing w:after="60" w:line="240" w:lineRule="auto"/>
            </w:pPr>
            <w:r>
              <w:rPr>
                <w:b w:val="0"/>
                <w:color w:val="273444"/>
                <w:sz w:val="18"/>
              </w:rPr>
              <w:t>Release stable</w:t>
            </w:r>
          </w:p>
        </w:tc>
        <w:tc>
          <w:tcPr>
            <w:tcW w:type="dxa" w:w="2880"/>
            <w:vAlign w:val="center"/>
            <w:shd w:fill="F3F6F9"/>
            <w:tcMar>
              <w:top w:w="90" w:type="dxa"/>
              <w:bottom w:w="90" w:type="dxa"/>
              <w:left w:w="90" w:type="dxa"/>
              <w:right w:w="90" w:type="dxa"/>
            </w:tcMar>
          </w:tcPr>
          <w:p>
            <w:pPr>
              <w:spacing w:after="60" w:line="240" w:lineRule="auto"/>
            </w:pPr>
            <w:r>
              <w:rPr>
                <w:b w:val="0"/>
                <w:color w:val="273444"/>
                <w:sz w:val="18"/>
              </w:rPr>
              <w:t>Objectif de release</w:t>
            </w:r>
          </w:p>
        </w:tc>
      </w:tr>
    </w:tbl>
    <w:p>
      <w:pPr>
        <w:spacing w:after="0"/>
      </w:pPr>
    </w:p>
    <w:p>
      <w:pPr>
        <w:pStyle w:val="Heading1"/>
      </w:pPr>
      <w:r>
        <w:t>8. Prochaine slice recommandée Fiabilité</w:t>
      </w:r>
    </w:p>
    <w:p>
      <w:r>
        <w:t>La slice proposée définit le périmètre du dépôt v0.3.0. Elle fiabilise le parcours existant avant l’ajout d’agents ou de fonctions de production.</w:t>
      </w:r>
    </w:p>
    <w:p>
      <w:pPr>
        <w:pStyle w:val="ListBullet"/>
      </w:pPr>
      <w:r>
        <w:t>Valider les entrées audio : format, taille, durée, enregistrements vides ou malformés avant orchestration.</w:t>
      </w:r>
    </w:p>
    <w:p>
      <w:pPr>
        <w:pStyle w:val="ListBullet"/>
      </w:pPr>
      <w:r>
        <w:t>Borner les appels externes : async lorsque pertinent, timeouts explicites et retries contrôlés par fournisseur.</w:t>
      </w:r>
    </w:p>
    <w:p>
      <w:pPr>
        <w:pStyle w:val="ListBullet"/>
      </w:pPr>
      <w:r>
        <w:t>Normaliser les échecs : associer les erreurs fournisseur/pipeline à des codes stables et des réponses prévisibles.</w:t>
      </w:r>
    </w:p>
    <w:p>
      <w:pPr>
        <w:pStyle w:val="ListBullet"/>
      </w:pPr>
      <w:r>
        <w:t>Tracer l’exécution : latence par étape, fournisseur, résultat et corrélation par session_id.</w:t>
      </w:r>
    </w:p>
    <w:p>
      <w:pPr>
        <w:pStyle w:val="ListBullet"/>
      </w:pPr>
      <w:r>
        <w:t>Étendre les tests de résilience : audio malformé, timeout, indisponibilité fournisseur et échec partiel du pipeline.</w:t>
      </w:r>
    </w:p>
    <w:p>
      <w:r>
        <w:rPr>
          <w:b/>
          <w:color w:val="07847E"/>
        </w:rPr>
        <w:t xml:space="preserve">CRITÈRES D’ACHÈVEMENT  </w:t>
      </w:r>
      <w:r>
        <w:t>Les entrées invalides sont rejetées de façon déterministe, la latence fournisseur est bornée, les traces d’étapes sont corrélées par session_id et les tests succès, timeout et panne fournisseur passent. Ce sont les critères de sortie de la prochaine slice.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Waaxalma v0.3   ·   </w:t>
    </w:r>
    <w:r>
      <w:rPr>
        <w:color w:val="667085"/>
        <w:sz w:val="16"/>
      </w:rPr>
      <w:fldChar w:fldCharType="begin"/>
      <w:instrText xml:space="preserve">PAGE</w:instrText>
      <w:fldChar w:fldCharType="end"/>
    </w:r>
    <w:r>
      <w:rPr>
        <w:color w:val="667085"/>
        <w:sz w:val="16"/>
      </w:rPr>
      <w:t xml:space="preserve"> / </w:t>
    </w:r>
    <w:r>
      <w:rPr>
        <w:color w:val="66708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718096"/>
        <w:sz w:val="16"/>
      </w:rPr>
      <w:t>WAAXALMA · LIVRE D’ARCHITECTURE ET DE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936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Waaxalma Architecture and Vision Book v0.3 FR</dc:title>
  <dc:subject>Framework Next architecture</dc:subject>
  <dc:creator>Elimane DIOP</dc:creator>
  <cp:keywords>Waaxalma, voice agents, architecture, v0.4, framework, providers, pipelines</cp:keywords>
  <dc:description>generated by python-docx</dc:description>
  <cp:lastModifiedBy/>
  <cp:revision>1</cp:revision>
  <dcterms:created xsi:type="dcterms:W3CDTF">2013-12-23T23:15:00Z</dcterms:created>
  <dcterms:modified xsi:type="dcterms:W3CDTF">2013-12-23T23:15:00Z</dcterms:modified>
  <cp:category/>
</cp:coreProperties>
</file>