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 D’ARCHITECTURE ET DE VISION  ·  v0.4.1  ·  ÉDITION FRANÇAISE</w:t>
      </w:r>
    </w:p>
    <w:p>
      <w:pPr>
        <w:pStyle w:val="Title"/>
      </w:pPr>
      <w:r>
        <w:t>Waaxalma</w:t>
      </w:r>
    </w:p>
    <w:p>
      <w:pPr>
        <w:pStyle w:val="Subtitle"/>
      </w:pPr>
      <w:r>
        <w:t>Traduction temps réel et configuration de voix</w:t>
      </w:r>
    </w:p>
    <w:p>
      <w:r>
        <w:t>26 septembre 2026  ·  Traduction temps réel et configuration de voix</w:t>
      </w:r>
    </w:p>
    <w:p>
      <w:r>
        <w:rPr>
          <w:b/>
          <w:color w:val="07847E"/>
        </w:rPr>
        <w:t xml:space="preserve">VISION  </w:t>
      </w:r>
      <w:r>
        <w:t>Waaxalma (« parle pour moi ») transforme la parole, notamment en wolof, en traduction compréhensible et en audio naturel. Le produit vise à préserver l’intention ; le framework sépare agents, pipelines et capacités fournisseurs remplaçables.</w:t>
      </w:r>
    </w:p>
    <w:p>
      <w:pPr>
        <w:pStyle w:val="Heading1"/>
      </w:pPr>
      <w:r>
        <w:t>1. Vision et périmètre</w:t>
      </w:r>
    </w:p>
    <w:p>
      <w:r>
        <w:t>Cette édition décrit le jalon v0.4.1. Elle reprend le gabarit v0.4 et les capacités livrées à cette étape ; les jalons ultérieurs restent des évolutions futures dans cette édition historique.</w:t>
      </w:r>
    </w:p>
    <w:p>
      <w:pPr>
        <w:pStyle w:val="ListBullet"/>
      </w:pPr>
      <w:r>
        <w:t>RealtimeTranslationService résout RealtimeTranslationProvider via ProviderRegistry. L’adaptateur OpenAI crée une session éphémère avec gpt-realtime-translate.</w:t>
      </w:r>
    </w:p>
    <w:p>
      <w:pPr>
        <w:pStyle w:val="ListBullet"/>
      </w:pPr>
      <w:r>
        <w:t>VoiceConfig expose provider et voice_id pour la synthèse Standard ; la voix realtime reste optionnelle et propre au fournisseur.</w:t>
      </w:r>
    </w:p>
    <w:p>
      <w:pPr>
        <w:pStyle w:val="Heading2"/>
      </w:pPr>
      <w:r>
        <w:t>2. Fondations construites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3744"/>
        <w:gridCol w:w="4752"/>
      </w:tblGrid>
      <w:tr>
        <w:trPr>
          <w:cantSplit/>
          <w:tblHeader/>
        </w:trPr>
        <w:tc>
          <w:tcPr>
            <w:tcW w:type="dxa" w:w="1584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Couche</w:t>
            </w:r>
          </w:p>
        </w:tc>
        <w:tc>
          <w:tcPr>
            <w:tcW w:type="dxa" w:w="3744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Implémentation</w:t>
            </w:r>
          </w:p>
        </w:tc>
        <w:tc>
          <w:tcPr>
            <w:tcW w:type="dxa" w:w="4752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Rôle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API</w:t>
            </w:r>
          </w:p>
        </w:tc>
        <w:tc>
          <w:tcPr>
            <w:tcW w:type="dxa" w:w="374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FastAPI</w:t>
            </w:r>
          </w:p>
        </w:tc>
        <w:tc>
          <w:tcPr>
            <w:tcW w:type="dxa" w:w="475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Exécution générique d’agents enregistrés ; routes texte/voix.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Orchestration</w:t>
            </w:r>
          </w:p>
        </w:tc>
        <w:tc>
          <w:tcPr>
            <w:tcW w:type="dxa" w:w="374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AgentOrchestrator</w:t>
            </w:r>
          </w:p>
        </w:tc>
        <w:tc>
          <w:tcPr>
            <w:tcW w:type="dxa" w:w="475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Résultats, erreurs, durée et annulation.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Découverte</w:t>
            </w:r>
          </w:p>
        </w:tc>
        <w:tc>
          <w:tcPr>
            <w:tcW w:type="dxa" w:w="374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AgentRegistry / ProviderRegistry</w:t>
            </w:r>
          </w:p>
        </w:tc>
        <w:tc>
          <w:tcPr>
            <w:tcW w:type="dxa" w:w="475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Résolution explicite par nom et capacité.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Composition</w:t>
            </w:r>
          </w:p>
        </w:tc>
        <w:tc>
          <w:tcPr>
            <w:tcW w:type="dxa" w:w="374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PipelineRegistry / SequentialPipeline</w:t>
            </w:r>
          </w:p>
        </w:tc>
        <w:tc>
          <w:tcPr>
            <w:tcW w:type="dxa" w:w="475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Étapes réutilisables ordonnées.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Temps réel</w:t>
            </w:r>
          </w:p>
        </w:tc>
        <w:tc>
          <w:tcPr>
            <w:tcW w:type="dxa" w:w="374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Direct</w:t>
            </w:r>
          </w:p>
        </w:tc>
        <w:tc>
          <w:tcPr>
            <w:tcW w:type="dxa" w:w="475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Chemins de sessions et capacités live dédiés.</w:t>
            </w:r>
          </w:p>
        </w:tc>
      </w:tr>
    </w:tbl>
    <w:p>
      <w:pPr>
        <w:spacing w:after="0"/>
      </w:pPr>
    </w:p>
    <w:p>
      <w:pPr>
        <w:pStyle w:val="Heading2"/>
      </w:pPr>
      <w:r>
        <w:t>3. Principes directeurs</w:t>
      </w:r>
    </w:p>
    <w:p>
      <w:pPr>
        <w:pStyle w:val="ListBullet"/>
      </w:pPr>
      <w:r>
        <w:t>Étendre par contrats, enregistrement et composition ; détecter tôt fournisseurs/pipelines inconnus.</w:t>
      </w:r>
    </w:p>
    <w:p>
      <w:pPr>
        <w:pStyle w:val="ListBullet"/>
      </w:pPr>
      <w:r>
        <w:t>Les Skills dépendent de contrats de capacité. Fiabilité et observabilité restent transverses. Contexte/Qualité par défaut n’ajoutent aucun appel LLM.</w:t>
      </w:r>
    </w:p>
    <w:p>
      <w:pPr>
        <w:pStyle w:val="ListBullet"/>
      </w:pPr>
      <w:r>
        <w:t>Séparer traitements Standard, transports temps réel et périphériques navigateur ; expliciter les limites de validation.</w:t>
      </w:r>
    </w:p>
    <w:p>
      <w:r>
        <w:br w:type="page"/>
      </w:r>
    </w:p>
    <w:p>
      <w:pPr>
        <w:pStyle w:val="Heading1"/>
      </w:pPr>
      <w:r>
        <w:t>4. Architecture actuelle</w:t>
      </w:r>
    </w:p>
    <w:p>
      <w:r>
        <w:t>La racine de composition assemble fournisseurs concrets, Skills, étapes, pipelines et agents. Les registres résolvent les dépendances sans ajouter d’étapes de traitement à chaque requête.</w:t>
      </w:r>
    </w:p>
    <w:p>
      <w:r>
        <w:drawing>
          <wp:inline xmlns:a="http://schemas.openxmlformats.org/drawingml/2006/main" xmlns:pic="http://schemas.openxmlformats.org/drawingml/2006/picture">
            <wp:extent cx="6400800" cy="3400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.4.1_architecture_F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AgentOrchestrator exécute les agents enregistrés ; InterpreterAgent reçoit ses pipelines texte/audio configurés. Les services temps réel, lorsqu’ils sont livrés, restent séparés de cette chaîne Standard.</w:t>
      </w:r>
    </w:p>
    <w:p>
      <w:pPr>
        <w:pStyle w:val="Heading2"/>
      </w:pPr>
      <w:r>
        <w:t>5. Flux d’exécution de l’interpréteur</w:t>
      </w:r>
    </w:p>
    <w:p>
      <w:r>
        <w:drawing>
          <wp:inline xmlns:a="http://schemas.openxmlformats.org/drawingml/2006/main" xmlns:pic="http://schemas.openxmlformats.org/drawingml/2006/picture">
            <wp:extent cx="6400800" cy="18002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.4.1_standard_F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7847E"/>
        </w:rPr>
        <w:t xml:space="preserve">CONTRAT DU PIPELINE  </w:t>
      </w:r>
      <w:r>
        <w:t>Chaque étape reçoit PipelineState et SessionContext et retourne l’état mis à jour. SequentialPipeline attend les étapes dans l’ordre ; les workflows configurés évoluent sans réécrire InterpreterAgent.</w:t>
      </w:r>
    </w:p>
    <w:p>
      <w:r>
        <w:br w:type="page"/>
      </w:r>
    </w:p>
    <w:p>
      <w:pPr>
        <w:pStyle w:val="Heading1"/>
      </w:pPr>
      <w:r>
        <w:t>6. Modèle d’extensibilité du framework</w:t>
      </w:r>
    </w:p>
    <w:p>
      <w:r>
        <w:t>L’extension repose sur enregistrement et composition explicites, avec API générique et cœur d’orchestration préservés. Les adaptateurs fournisseurs changent derrière les contrats de capacité.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4392"/>
        <w:gridCol w:w="3672"/>
      </w:tblGrid>
      <w:tr>
        <w:trPr>
          <w:cantSplit/>
          <w:tblHeader/>
        </w:trPr>
        <w:tc>
          <w:tcPr>
            <w:tcW w:type="dxa" w:w="2016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Extension</w:t>
            </w:r>
          </w:p>
        </w:tc>
        <w:tc>
          <w:tcPr>
            <w:tcW w:type="dxa" w:w="4392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Changement requis</w:t>
            </w:r>
          </w:p>
        </w:tc>
        <w:tc>
          <w:tcPr>
            <w:tcW w:type="dxa" w:w="3672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Frontière préservée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Nouvel agent</w:t>
            </w:r>
          </w:p>
        </w:tc>
        <w:tc>
          <w:tcPr>
            <w:tcW w:type="dxa" w:w="439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BaseAgent + AgentRegistry</w:t>
            </w:r>
          </w:p>
        </w:tc>
        <w:tc>
          <w:tcPr>
            <w:tcW w:type="dxa" w:w="36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API / AgentOrchestrator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Nouveau fournisseur</w:t>
            </w:r>
          </w:p>
        </w:tc>
        <w:tc>
          <w:tcPr>
            <w:tcW w:type="dxa" w:w="439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Implémenter le contrat de capacité ; enregistrer capacité + nom.</w:t>
            </w:r>
          </w:p>
        </w:tc>
        <w:tc>
          <w:tcPr>
            <w:tcW w:type="dxa" w:w="36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Skill / Agent / API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Nouveau pipeline</w:t>
            </w:r>
          </w:p>
        </w:tc>
        <w:tc>
          <w:tcPr>
            <w:tcW w:type="dxa" w:w="439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Composer les étapes et enregistrer le nom.</w:t>
            </w:r>
          </w:p>
        </w:tc>
        <w:tc>
          <w:tcPr>
            <w:tcW w:type="dxa" w:w="36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SequentialPipeline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Nouvelle étape</w:t>
            </w:r>
          </w:p>
        </w:tc>
        <w:tc>
          <w:tcPr>
            <w:tcW w:type="dxa" w:w="439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PipelineStage</w:t>
            </w:r>
          </w:p>
        </w:tc>
        <w:tc>
          <w:tcPr>
            <w:tcW w:type="dxa" w:w="36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InterpreterAgent / API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Stratégie contexte/qualité</w:t>
            </w:r>
          </w:p>
        </w:tc>
        <w:tc>
          <w:tcPr>
            <w:tcW w:type="dxa" w:w="439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ContextProvider / QualityProvider</w:t>
            </w:r>
          </w:p>
        </w:tc>
        <w:tc>
          <w:tcPr>
            <w:tcW w:type="dxa" w:w="36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Structure des étapes configurées.</w:t>
            </w:r>
          </w:p>
        </w:tc>
      </w:tr>
    </w:tbl>
    <w:p>
      <w:pPr>
        <w:spacing w:after="0"/>
      </w:pPr>
    </w:p>
    <w:p>
      <w:r>
        <w:t>RealtimeTranslationProvider est résolu par capacité et nom sans faire passer les sessions live par SequentialPipeline.</w:t>
      </w:r>
    </w:p>
    <w:p>
      <w:pPr>
        <w:pStyle w:val="Heading2"/>
      </w:pPr>
      <w:r>
        <w:t>7. Contexte et Qualité comme capacités à part entière</w:t>
      </w:r>
    </w:p>
    <w:p>
      <w:pPr>
        <w:pStyle w:val="ListBullet"/>
      </w:pPr>
      <w:r>
        <w:t>PassthroughContextProvider préserve texte source/métadonnées. TranslationStage privilégie enriched_text lorsqu’il est fourni et conserve source_text.</w:t>
      </w:r>
    </w:p>
    <w:p>
      <w:pPr>
        <w:pStyle w:val="ListBullet"/>
      </w:pPr>
      <w:r>
        <w:t>DeterministicQualityProvider évalue la structure, pas la justesse sémantique. accepted, score, issues et métadonnées qualité sont retournés ; le rejet ne crée pas de blocage implicite.</w:t>
      </w:r>
    </w:p>
    <w:p>
      <w:pPr>
        <w:pStyle w:val="ListBullet"/>
      </w:pPr>
      <w:r>
        <w:t>Direct contourne Contexte/Qualité Standard pour préserver son chemin de latence natif.</w:t>
      </w:r>
    </w:p>
    <w:p>
      <w:r>
        <w:br w:type="page"/>
      </w:r>
    </w:p>
    <w:p>
      <w:pPr>
        <w:pStyle w:val="Heading2"/>
      </w:pPr>
      <w:r>
        <w:t>Architecture et exécution temps réel</w:t>
      </w:r>
    </w:p>
    <w:p>
      <w:r>
        <w:t>Direct crée une session fournisseur éphémère via le backend. Le navigateur négocie ensuite SDP et WebRTC et reçoit texte/audio traduits. Création de session et échange média navigateur/fournisseur sont distincts.</w:t>
      </w:r>
    </w:p>
    <w:p>
      <w:r>
        <w:drawing>
          <wp:inline xmlns:a="http://schemas.openxmlformats.org/drawingml/2006/main" xmlns:pic="http://schemas.openxmlformats.org/drawingml/2006/picture">
            <wp:extent cx="6400800" cy="28403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.4.1_live_F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40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VoiceConfig expose provider et voice_id pour la synthèse Standard ; la voix realtime reste optionnelle et propre au fournisseur.</w:t>
      </w:r>
    </w:p>
    <w:p>
      <w:pPr>
        <w:pStyle w:val="ListBullet"/>
      </w:pPr>
      <w:r>
        <w:t>Authentification, rate-limit, timeout, erreurs 5xx fournisseur et réseau sont normalisés. Une tentative de reconnexion est prévue par défaut, avec un secret neuf.</w:t>
      </w:r>
    </w:p>
    <w:p>
      <w:pPr>
        <w:pStyle w:val="ListBullet"/>
      </w:pPr>
      <w:r>
        <w:t>Stop ferme canal de données, connexion pair, pistes microphone, lecture traduite et moniteurs locaux sans déclencher de reconnexion.</w:t>
      </w:r>
    </w:p>
    <w:p>
      <w:pPr>
        <w:pStyle w:val="Heading2"/>
      </w:pPr>
      <w:r>
        <w:t>Mesures historiques Direct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2"/>
        <w:gridCol w:w="3168"/>
      </w:tblGrid>
      <w:tr>
        <w:trPr>
          <w:cantSplit/>
          <w:tblHeader/>
        </w:trPr>
        <w:tc>
          <w:tcPr>
            <w:tcW w:type="dxa" w:w="6912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3168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Valeur observée</w:t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Demande de session</w:t>
            </w:r>
          </w:p>
        </w:tc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~1.61 s</w:t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Acquisition microphone</w:t>
            </w:r>
          </w:p>
        </w:tc>
        <w:tc>
          <w:tcPr>
            <w:tcW w:type="dxa" w:w="316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~0.47 s</w:t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Établissement WebRTC</w:t>
            </w:r>
          </w:p>
        </w:tc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~1.84 s</w:t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Parole → premier texte traduit</w:t>
            </w:r>
          </w:p>
        </w:tc>
        <w:tc>
          <w:tcPr>
            <w:tcW w:type="dxa" w:w="316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~0.39 s</w:t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Parole → premier audio traduit</w:t>
            </w:r>
          </w:p>
        </w:tc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~1.35 s</w:t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Texte traduit → audio</w:t>
            </w:r>
          </w:p>
        </w:tc>
        <w:tc>
          <w:tcPr>
            <w:tcW w:type="dxa" w:w="316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~0.96 s</w:t>
            </w:r>
          </w:p>
        </w:tc>
      </w:tr>
    </w:tbl>
    <w:p>
      <w:pPr>
        <w:spacing w:after="0"/>
      </w:pPr>
    </w:p>
    <w:p>
      <w:r>
        <w:t>Ces observations locales historiques concernent Direct. Démarrage, reconnaissance et audio sont mesurés séparément ; ce ne sont ni des SLA ni de nouveaux benchmarks.</w:t>
      </w:r>
    </w:p>
    <w:p>
      <w:r>
        <w:br w:type="page"/>
      </w:r>
    </w:p>
    <w:p>
      <w:pPr>
        <w:pStyle w:val="Heading1"/>
      </w:pPr>
      <w:r>
        <w:t>8. Héritage de fiabilité et d’observabilité</w:t>
      </w:r>
    </w:p>
    <w:p>
      <w:pPr>
        <w:pStyle w:val="ListBullet"/>
      </w:pPr>
      <w:r>
        <w:t>Les politiques retry/timeout restent centralisées lorsqu’elles sont compatibles. AgentOrchestrator normalise les erreurs et préserve l’annulation.</w:t>
      </w:r>
    </w:p>
    <w:p>
      <w:pPr>
        <w:pStyle w:val="ListBullet"/>
      </w:pPr>
      <w:r>
        <w:t>ExecutionTrace décrit durées d’étape/fournisseur, résultat et erreurs. Prometheus couvre exécutions, durées et retries.</w:t>
      </w:r>
    </w:p>
    <w:p>
      <w:r>
        <w:t>La création realtime utilise erreurs normalisées et métriques fournisseur/modèle/résultat. La QoE navigateur rapporte des latences bornées sans labels request_id, session_id ni client_secret. Stop libère les ressources ; une reconnexion utilise un nouveau secret.</w:t>
      </w:r>
    </w:p>
    <w:p>
      <w:r>
        <w:br w:type="page"/>
      </w:r>
    </w:p>
    <w:p>
      <w:pPr>
        <w:pStyle w:val="Heading1"/>
      </w:pPr>
      <w:r>
        <w:t>9. Roadmap technique</w:t>
      </w:r>
    </w:p>
    <w:p>
      <w:r>
        <w:t>Chaque jalon s’appuie sur l’architecture précédente. Le tableau décrit les capacités livrées, sans attester un tag public non vérifié. Le périmètre futur est conservé selon le jalon historique.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08"/>
        <w:gridCol w:w="5472"/>
      </w:tblGrid>
      <w:tr>
        <w:trPr>
          <w:cantSplit/>
          <w:tblHeader/>
        </w:trPr>
        <w:tc>
          <w:tcPr>
            <w:tcW w:type="dxa" w:w="4608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Jalon</w:t>
            </w:r>
          </w:p>
        </w:tc>
        <w:tc>
          <w:tcPr>
            <w:tcW w:type="dxa" w:w="5472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Position dans cette édition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Prototype et orchestration</w:t>
            </w:r>
          </w:p>
        </w:tc>
        <w:tc>
          <w:tcPr>
            <w:tcW w:type="dxa" w:w="54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Fondation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Fiabilité</w:t>
            </w:r>
          </w:p>
        </w:tc>
        <w:tc>
          <w:tcPr>
            <w:tcW w:type="dxa" w:w="54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Fondation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Framework Next</w:t>
            </w:r>
          </w:p>
        </w:tc>
        <w:tc>
          <w:tcPr>
            <w:tcW w:type="dxa" w:w="54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Fondation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Realtime Direct</w:t>
            </w:r>
          </w:p>
        </w:tc>
        <w:tc>
          <w:tcPr>
            <w:tcW w:type="dxa" w:w="54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Jalon documenté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Realtime Enhanced</w:t>
            </w:r>
          </w:p>
        </w:tc>
        <w:tc>
          <w:tcPr>
            <w:tcW w:type="dxa" w:w="54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Futur à cette version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Sortie audio universelle</w:t>
            </w:r>
          </w:p>
        </w:tc>
        <w:tc>
          <w:tcPr>
            <w:tcW w:type="dxa" w:w="54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Futur à cette version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Contrôle des périphériques</w:t>
            </w:r>
          </w:p>
        </w:tc>
        <w:tc>
          <w:tcPr>
            <w:tcW w:type="dxa" w:w="54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Futur à cette version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Product Readiness</w:t>
            </w:r>
          </w:p>
        </w:tc>
        <w:tc>
          <w:tcPr>
            <w:tcW w:type="dxa" w:w="54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Futur à cette version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Framework stable</w:t>
            </w:r>
          </w:p>
        </w:tc>
        <w:tc>
          <w:tcPr>
            <w:tcW w:type="dxa" w:w="54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Futur à cette version</w:t>
            </w:r>
          </w:p>
        </w:tc>
      </w:tr>
    </w:tbl>
    <w:p>
      <w:pPr>
        <w:spacing w:after="0"/>
      </w:pPr>
    </w:p>
    <w:p>
      <w:pPr>
        <w:pStyle w:val="Heading2"/>
      </w:pPr>
      <w:r>
        <w:t>10. Carte des releases Git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8064"/>
      </w:tblGrid>
      <w:tr>
        <w:trPr>
          <w:cantSplit/>
          <w:tblHeader/>
        </w:trPr>
        <w:tc>
          <w:tcPr>
            <w:tcW w:type="dxa" w:w="2016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8064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Jalon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v0.1.0</w:t>
            </w:r>
          </w:p>
        </w:tc>
        <w:tc>
          <w:tcPr>
            <w:tcW w:type="dxa" w:w="806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Prototype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v0.2.0</w:t>
            </w:r>
          </w:p>
        </w:tc>
        <w:tc>
          <w:tcPr>
            <w:tcW w:type="dxa" w:w="806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Orchestration agents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v0.3.0</w:t>
            </w:r>
          </w:p>
        </w:tc>
        <w:tc>
          <w:tcPr>
            <w:tcW w:type="dxa" w:w="806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Fiabilité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v0.4.0</w:t>
            </w:r>
          </w:p>
        </w:tc>
        <w:tc>
          <w:tcPr>
            <w:tcW w:type="dxa" w:w="806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Framework Next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v0.4.1</w:t>
            </w:r>
          </w:p>
        </w:tc>
        <w:tc>
          <w:tcPr>
            <w:tcW w:type="dxa" w:w="806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Traduction temps réel et configuration de voix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v0.4.2</w:t>
            </w:r>
          </w:p>
        </w:tc>
        <w:tc>
          <w:tcPr>
            <w:tcW w:type="dxa" w:w="806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Streaming Realtime Enhanced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v0.4.3</w:t>
            </w:r>
          </w:p>
        </w:tc>
        <w:tc>
          <w:tcPr>
            <w:tcW w:type="dxa" w:w="806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Sortie audio universelle et pont de conférence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v0.4.4</w:t>
            </w:r>
          </w:p>
        </w:tc>
        <w:tc>
          <w:tcPr>
            <w:tcW w:type="dxa" w:w="806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Audio de conférence et contrôle des périphériques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v0.5.0</w:t>
            </w:r>
          </w:p>
        </w:tc>
        <w:tc>
          <w:tcPr>
            <w:tcW w:type="dxa" w:w="806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Préparation à la production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v1.0.0</w:t>
            </w:r>
          </w:p>
        </w:tc>
        <w:tc>
          <w:tcPr>
            <w:tcW w:type="dxa" w:w="806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Framework stable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Critères d’achèvement v0.4.1</w:t>
      </w:r>
    </w:p>
    <w:p>
      <w:pPr>
        <w:pStyle w:val="ListBullet"/>
      </w:pPr>
      <w:r>
        <w:t>RealtimeTranslationService résout RealtimeTranslationProvider via ProviderRegistry. L’adaptateur OpenAI crée une session éphémère avec gpt-realtime-translate.</w:t>
      </w:r>
    </w:p>
    <w:p>
      <w:pPr>
        <w:pStyle w:val="ListBullet"/>
      </w:pPr>
      <w:r>
        <w:t>VoiceConfig expose provider et voice_id pour la synthèse Standard ; la voix realtime reste optionnelle et propre au fournisseur.</w:t>
      </w:r>
    </w:p>
    <w:p>
      <w:pPr>
        <w:pStyle w:val="ListBullet"/>
      </w:pPr>
      <w:r>
        <w:t>Authentification, rate-limit, timeout, erreurs 5xx fournisseur et réseau sont normalisés. Une tentative de reconnexion est prévue par défaut, avec un secret neuf.</w:t>
      </w:r>
    </w:p>
    <w:p>
      <w:pPr>
        <w:pStyle w:val="ListBullet"/>
      </w:pPr>
      <w:r>
        <w:t>Stop ferme canal de données, connexion pair, pistes microphone, lecture traduite et moniteurs locaux sans déclencher de reconnexion.</w:t>
      </w:r>
    </w:p>
    <w:p>
      <w:pPr>
        <w:pStyle w:val="ListBullet"/>
      </w:pPr>
      <w:r>
        <w:t>Agents Standard, sélection des fournisseurs et pipelines configurés préservent les frontières v0.4 et métadonnées Contexte/Qualité.</w:t>
      </w:r>
    </w:p>
    <w:p>
      <w:pPr>
        <w:pStyle w:val="ListBullet"/>
      </w:pPr>
      <w:r>
        <w:t>Les sessions live restent indépendantes de l’orchestration Standard ; fermeture sur arrêt/erreur et erreurs normalisées restent observables.</w:t>
      </w:r>
    </w:p>
    <w:p>
      <w:r>
        <w:rPr>
          <w:b/>
          <w:color w:val="07847E"/>
        </w:rPr>
        <w:t xml:space="preserve">PREUVES DE VALIDATION  </w:t>
      </w:r>
      <w:r>
        <w:t>Régression backend historique complète : 109 tests réussis ; parcours Standard Streamlit existant validé manuellement.</w:t>
      </w:r>
    </w:p>
    <w:p>
      <w:pPr>
        <w:pStyle w:val="Heading2"/>
      </w:pPr>
      <w:r>
        <w:t>12. Prochaine étape recommandée</w:t>
      </w:r>
    </w:p>
    <w:p>
      <w:r>
        <w:t>Realtime Enhanced est la suite : texte source, terminologie/contexte, traduction/TTS en streaming et benchmark partagé. Il s’agit d’une architecture prévue, pas d’un comportement livré en v0.4.1.</w:t>
      </w:r>
    </w:p>
    <w:p>
      <w:pPr>
        <w:pStyle w:val="Heading2"/>
      </w:pPr>
      <w:r>
        <w:t>Direction de préparation à la production</w:t>
      </w:r>
    </w:p>
    <w:p>
      <w:r>
        <w:t>État conversationnel persistant, frontières confidentialité/sécurité, settings/secrets répétables, CI/packaging et signaux de production restent la roadmap opérationnelle. L’implémentation ultérieure choisira l’isolation client, pas une authentification implicite ; ces orientations ne sont pas des garanties livrées dans cette version historique.</w:t>
      </w:r>
    </w:p>
    <w:p>
      <w:r>
        <w:rPr>
          <w:b/>
          <w:color w:val="07847E"/>
        </w:rPr>
        <w:t xml:space="preserve">PRINCIPE DU FRAMEWORK  </w:t>
      </w:r>
      <w:r>
        <w:t>Ajouter une capacité par enregistrement et composition sans déplacer les détails fournisseur ou conférence dans l’API/orchestration générique.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6"/>
      </w:rPr>
      <w:t xml:space="preserve">Waaxalma v0.4.1   ·   </w:t>
    </w:r>
    <w:r>
      <w:rPr>
        <w:color w:val="667085"/>
        <w:sz w:val="16"/>
      </w:rPr>
      <w:fldChar w:fldCharType="begin"/>
      <w:instrText xml:space="preserve">PAGE</w:instrText>
      <w:fldChar w:fldCharType="end"/>
    </w:r>
    <w:r>
      <w:rPr>
        <w:color w:val="667085"/>
        <w:sz w:val="16"/>
      </w:rPr>
      <w:t xml:space="preserve"> / </w:t>
    </w:r>
    <w:r>
      <w:rPr>
        <w:color w:val="667085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718096"/>
        <w:sz w:val="16"/>
      </w:rPr>
      <w:t>WAAXALMA  ·  LIVRE D’ARCHITECTURE ET DE VISION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936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Waaxalma Architecture and Vision Book v0.4.1 FR</dc:title>
  <dc:subject>Framework Next architecture</dc:subject>
  <dc:creator>Waaxalma</dc:creator>
  <cp:keywords>Waaxalma, voice agents, architecture, v0.4, framework, providers, pipelines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