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 D’ARCHITECTURE ET DE VISION  ·  v0.4  ·  ÉDITION FRANÇAISE</w:t>
      </w:r>
    </w:p>
    <w:p>
      <w:pPr>
        <w:pStyle w:val="Title"/>
      </w:pPr>
      <w:r>
        <w:t>Waaxalma</w:t>
      </w:r>
    </w:p>
    <w:p>
      <w:pPr>
        <w:pStyle w:val="Subtitle"/>
      </w:pPr>
      <w:r>
        <w:t>Framework Next</w:t>
      </w:r>
    </w:p>
    <w:p>
      <w:r>
        <w:t>22 septembre 2026  ·  Framework Next</w:t>
      </w:r>
    </w:p>
    <w:p>
      <w:r>
        <w:rPr>
          <w:b/>
          <w:color w:val="07847E"/>
        </w:rPr>
        <w:t xml:space="preserve">VISION  </w:t>
      </w:r>
      <w:r>
        <w:t>Waaxalma (« parle pour moi ») transforme la parole, notamment en wolof, en traduction compréhensible et en audio naturel. Le produit vise à préserver l’intention ; le framework sépare agents, pipelines et capacités fournisseurs remplaçables.</w:t>
      </w:r>
    </w:p>
    <w:p>
      <w:pPr>
        <w:pStyle w:val="Heading1"/>
      </w:pPr>
      <w:r>
        <w:t>1. Vision et périmètre</w:t>
      </w:r>
    </w:p>
    <w:p>
      <w:r>
        <w:t>Cette édition décrit le jalon v0.4. Elle reprend le gabarit v0.4 et les capacités livrées à cette étape ; les jalons ultérieurs restent des évolutions futures dans cette édition historique.</w:t>
      </w:r>
    </w:p>
    <w:p>
      <w:pPr>
        <w:pStyle w:val="ListBullet"/>
      </w:pPr>
      <w:r>
        <w:t>AgentRegistry, ProviderRegistry et PipelineRegistry rendent découverte et composition explicites.</w:t>
      </w:r>
    </w:p>
    <w:p>
      <w:pPr>
        <w:pStyle w:val="ListBullet"/>
      </w:pPr>
      <w:r>
        <w:t>InterpreterAgent reçoit des pipelines texte/audio nommés. Contexte et Qualité sont agents, Skills, fournisseurs et étapes de pipeline.</w:t>
      </w:r>
    </w:p>
    <w:p>
      <w:pPr>
        <w:pStyle w:val="Heading2"/>
      </w:pPr>
      <w:r>
        <w:t>2. Fondations construites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Implémentation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Exécution générique d’agents enregistrés ; routes texte/voix.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Résultats, erreurs, durée et annulation.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Découverte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Résolution explicite par nom et capacité.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Étapes réutilisables ordonnées.</w:t>
            </w:r>
          </w:p>
        </w:tc>
      </w:tr>
    </w:tbl>
    <w:p>
      <w:pPr>
        <w:spacing w:after="0"/>
      </w:pPr>
    </w:p>
    <w:p>
      <w:pPr>
        <w:pStyle w:val="Heading2"/>
      </w:pPr>
      <w:r>
        <w:t>3. Principes directeurs</w:t>
      </w:r>
    </w:p>
    <w:p>
      <w:pPr>
        <w:pStyle w:val="ListBullet"/>
      </w:pPr>
      <w:r>
        <w:t>Étendre par contrats, enregistrement et composition ; détecter tôt fournisseurs/pipelines inconnus.</w:t>
      </w:r>
    </w:p>
    <w:p>
      <w:pPr>
        <w:pStyle w:val="ListBullet"/>
      </w:pPr>
      <w:r>
        <w:t>Les Skills dépendent de contrats de capacité. Fiabilité et observabilité restent transverses. Contexte/Qualité par défaut n’ajoutent aucun appel LLM.</w:t>
      </w:r>
    </w:p>
    <w:p>
      <w:pPr>
        <w:pStyle w:val="ListBullet"/>
      </w:pPr>
      <w:r>
        <w:t>Séparer traitements Standard, transports temps réel et périphériques navigateur ; expliciter les limites de validation.</w:t>
      </w:r>
    </w:p>
    <w:p>
      <w:r>
        <w:br w:type="page"/>
      </w:r>
    </w:p>
    <w:p>
      <w:pPr>
        <w:pStyle w:val="Heading1"/>
      </w:pPr>
      <w:r>
        <w:t>4. Architecture actuelle</w:t>
      </w:r>
    </w:p>
    <w:p>
      <w:r>
        <w:t>La racine de composition assemble fournisseurs concrets, Skills, étapes, pipelines et agents. Les registres résolvent les dépendances sans ajouter d’étapes de traitement à chaque requête.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_architecture_F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AgentOrchestrator exécute les agents enregistrés ; InterpreterAgent reçoit ses pipelines texte/audio configurés. Les services temps réel, lorsqu’ils sont livrés, restent séparés de cette chaîne Standard.</w:t>
      </w:r>
    </w:p>
    <w:p>
      <w:pPr>
        <w:pStyle w:val="Heading2"/>
      </w:pPr>
      <w:r>
        <w:t>5. Flux d’exécution de l’interpréteur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_standard_F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CONTRAT DU PIPELINE  </w:t>
      </w:r>
      <w:r>
        <w:t>Chaque étape reçoit PipelineState et SessionContext et retourne l’état mis à jour. SequentialPipeline attend les étapes dans l’ordre ; les workflows configurés évoluent sans réécrire InterpreterAgent.</w:t>
      </w:r>
    </w:p>
    <w:p>
      <w:r>
        <w:br w:type="page"/>
      </w:r>
    </w:p>
    <w:p>
      <w:pPr>
        <w:pStyle w:val="Heading1"/>
      </w:pPr>
      <w:r>
        <w:t>6. Modèle d’extensibilité du framework</w:t>
      </w:r>
    </w:p>
    <w:p>
      <w:r>
        <w:t>L’extension repose sur enregistrement et composition explicites, avec API générique et cœur d’orchestration préservés. Les adaptateurs fournisseurs changent derrière les contrats de capacité.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Changement requis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Frontière préservée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Nouvel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Nouveau fournisseur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Implémenter le contrat de capacité ; enregistrer capacité + nom.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Nouveau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Composer les étapes et enregistrer le nom.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Nouvelle étape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Stratégie contexte/qualité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Structure des étapes configurées.</w:t>
            </w:r>
          </w:p>
        </w:tc>
      </w:tr>
    </w:tbl>
    <w:p>
      <w:pPr>
        <w:spacing w:after="0"/>
      </w:pPr>
    </w:p>
    <w:p>
      <w:pPr>
        <w:pStyle w:val="Heading2"/>
      </w:pPr>
      <w:r>
        <w:t>7. Contexte et Qualité comme capacités à part entière</w:t>
      </w:r>
    </w:p>
    <w:p>
      <w:pPr>
        <w:pStyle w:val="ListBullet"/>
      </w:pPr>
      <w:r>
        <w:t>PassthroughContextProvider préserve texte source/métadonnées. TranslationStage privilégie enriched_text lorsqu’il est fourni et conserve source_text.</w:t>
      </w:r>
    </w:p>
    <w:p>
      <w:pPr>
        <w:pStyle w:val="ListBullet"/>
      </w:pPr>
      <w:r>
        <w:t>DeterministicQualityProvider évalue la structure, pas la justesse sémantique. accepted, score, issues et métadonnées qualité sont retournés ; le rejet ne crée pas de blocage implicite.</w:t>
      </w:r>
    </w:p>
    <w:p>
      <w:r>
        <w:br w:type="page"/>
      </w:r>
    </w:p>
    <w:p>
      <w:pPr>
        <w:pStyle w:val="Heading1"/>
      </w:pPr>
      <w:r>
        <w:t>8. Héritage de fiabilité et d’observabilité</w:t>
      </w:r>
    </w:p>
    <w:p>
      <w:pPr>
        <w:pStyle w:val="ListBullet"/>
      </w:pPr>
      <w:r>
        <w:t>Les politiques retry/timeout restent centralisées lorsqu’elles sont compatibles. AgentOrchestrator normalise les erreurs et préserve l’annulation.</w:t>
      </w:r>
    </w:p>
    <w:p>
      <w:pPr>
        <w:pStyle w:val="ListBullet"/>
      </w:pPr>
      <w:r>
        <w:t>ExecutionTrace décrit durées d’étape/fournisseur, résultat et erreurs. Prometheus couvre exécutions, durées et retries.</w:t>
      </w:r>
    </w:p>
    <w:p>
      <w:r>
        <w:br w:type="page"/>
      </w:r>
    </w:p>
    <w:p>
      <w:pPr>
        <w:pStyle w:val="Heading1"/>
      </w:pPr>
      <w:r>
        <w:t>9. Roadmap technique</w:t>
      </w:r>
    </w:p>
    <w:p>
      <w:r>
        <w:t>Chaque jalon s’appuie sur l’architecture précédente. Le tableau décrit les capacités livrées, sans attester un tag public non vérifié. Le périmètre futur est conservé selon le jalon historique.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Jalon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dans cette édition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et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Fiabilité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Jalon documenté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Sortie audio universelle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Contrôle des périphériques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stable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 à cette 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 Carte des releases 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Jalon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 agents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Fiabilité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Traduction temps réel et configuration de voix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Streaming Realtime Enhanced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Sortie audio universelle et pont de conférence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de conférence et contrôle des périphériques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Préparation à la production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stable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Critères d’achèvement v0.4</w:t>
      </w:r>
    </w:p>
    <w:p>
      <w:pPr>
        <w:pStyle w:val="ListBullet"/>
      </w:pPr>
      <w:r>
        <w:t>AgentRegistry, ProviderRegistry et PipelineRegistry rendent découverte et composition explicites.</w:t>
      </w:r>
    </w:p>
    <w:p>
      <w:pPr>
        <w:pStyle w:val="ListBullet"/>
      </w:pPr>
      <w:r>
        <w:t>InterpreterAgent reçoit des pipelines texte/audio nommés. Contexte et Qualité sont agents, Skills, fournisseurs et étapes de pipeline.</w:t>
      </w:r>
    </w:p>
    <w:p>
      <w:pPr>
        <w:pStyle w:val="ListBullet"/>
      </w:pPr>
      <w:r>
        <w:t>Cette version ne livre pas encore Direct/Enhanced, l’isolation persistante des propriétaires ni les conteneurs de production.</w:t>
      </w:r>
    </w:p>
    <w:p>
      <w:pPr>
        <w:pStyle w:val="ListBullet"/>
      </w:pPr>
      <w:r>
        <w:t>Agents Standard, sélection des fournisseurs et pipelines configurés préservent les frontières v0.4 et métadonnées Contexte/Qualité.</w:t>
      </w:r>
    </w:p>
    <w:p>
      <w:r>
        <w:rPr>
          <w:b/>
          <w:color w:val="07847E"/>
        </w:rPr>
        <w:t xml:space="preserve">PREUVES DE VALIDATION  </w:t>
      </w:r>
      <w:r>
        <w:t>Tests composition, unitaires, interchangeabilité, pipelines et API générique établissent les frontières.</w:t>
      </w:r>
    </w:p>
    <w:p>
      <w:pPr>
        <w:pStyle w:val="Heading2"/>
      </w:pPr>
      <w:r>
        <w:t>12. Prochaine étape recommandée</w:t>
      </w:r>
    </w:p>
    <w:p>
      <w:r>
        <w:t>Product Readiness : état persistant, configuration répétable, contrôles de livraison, confidentialité et observabilité de production.</w:t>
      </w:r>
    </w:p>
    <w:p>
      <w:pPr>
        <w:pStyle w:val="Heading2"/>
      </w:pPr>
      <w:r>
        <w:t>Direction de préparation à la production</w:t>
      </w:r>
    </w:p>
    <w:p>
      <w:r>
        <w:t>État conversationnel persistant, frontières confidentialité/sécurité, settings/secrets répétables, CI/packaging et signaux de production restent la roadmap opérationnelle. L’implémentation ultérieure choisira l’isolation client, pas une authentification implicite ; ces orientations ne sont pas des garanties livrées dans cette version historique.</w:t>
      </w:r>
    </w:p>
    <w:p>
      <w:r>
        <w:rPr>
          <w:b/>
          <w:color w:val="07847E"/>
        </w:rPr>
        <w:t xml:space="preserve">PRINCIPE DU FRAMEWORK  </w:t>
      </w:r>
      <w:r>
        <w:t>Ajouter une capacité par enregistrement et composition sans déplacer les détails fournisseur ou conférence dans l’API/orchestration générique.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v0.4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LIVRE D’ARCHITECTURE ET DE 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v0.4 FR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