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ARCHITECTURE &amp; VISION BOOK  ·  v1.0.0  ·  ENGLISH EDITION</w:t>
      </w:r>
    </w:p>
    <w:p>
      <w:pPr>
        <w:pStyle w:val="Title"/>
      </w:pPr>
      <w:r>
        <w:t>Waaxalma</w:t>
      </w:r>
    </w:p>
    <w:p>
      <w:pPr>
        <w:pStyle w:val="Subtitle"/>
      </w:pPr>
      <w:r>
        <w:t>Stable Framework Release</w:t>
      </w:r>
    </w:p>
    <w:p>
      <w:r>
        <w:t>3 October 2026  ·  Stable Framework Release</w:t>
      </w:r>
    </w:p>
    <w:p>
      <w:r>
        <w:rPr>
          <w:b/>
          <w:color w:val="07847E"/>
        </w:rPr>
        <w:t xml:space="preserve">VISION  </w:t>
      </w:r>
      <w:r>
        <w:t>Waaxalma (“speak for me”) turns speech, particularly in Wolof, into understandable translated text and natural audio. The product seeks to preserve intent; the framework separates replaceable agents, pipelines and provider capabilities.</w:t>
      </w:r>
    </w:p>
    <w:p>
      <w:pPr>
        <w:pStyle w:val="Heading1"/>
      </w:pPr>
      <w:r>
        <w:t>1. Vision and scope</w:t>
      </w:r>
    </w:p>
    <w:p>
      <w:r>
        <w:t>This edition records the v1.0.0 milestone. It retains the architecture template from v0.4 and the capabilities delivered at this point; later milestones remain future work in this historical edition.</w:t>
      </w:r>
    </w:p>
    <w:p>
      <w:pPr>
        <w:pStyle w:val="ListBullet"/>
      </w:pPr>
      <w:r>
        <w:t>v1.0.0 consolidates the product-ready baseline and formalizes stable public imports, extension conformance, reviewed HTTP/WebSocket schemas and a supported runtime/upgrade profile.</w:t>
      </w:r>
    </w:p>
    <w:p>
      <w:pPr>
        <w:pStyle w:val="ListBullet"/>
      </w:pPr>
      <w:r>
        <w:t>All five framework slices were integrated and accepted by the maintainer. Version metadata, health/OpenAPI, wheel and image names align to 1.0.0; publication remains the maintainer’s verified-commit action.</w:t>
      </w:r>
    </w:p>
    <w:p>
      <w:pPr>
        <w:pStyle w:val="Heading2"/>
      </w:pPr>
      <w:r>
        <w:t>2. Foundation now built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3744"/>
        <w:gridCol w:w="4752"/>
      </w:tblGrid>
      <w:tr>
        <w:trPr>
          <w:cantSplit/>
          <w:tblHeader/>
        </w:trPr>
        <w:tc>
          <w:tcPr>
            <w:tcW w:type="dxa" w:w="1584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744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Implementation</w:t>
            </w:r>
          </w:p>
        </w:tc>
        <w:tc>
          <w:tcPr>
            <w:tcW w:type="dxa" w:w="4752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API</w:t>
            </w:r>
          </w:p>
        </w:tc>
        <w:tc>
          <w:tcPr>
            <w:tcW w:type="dxa" w:w="374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FastAPI</w:t>
            </w:r>
          </w:p>
        </w:tc>
        <w:tc>
          <w:tcPr>
            <w:tcW w:type="dxa" w:w="475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Generic registered-agent execution; text/voice routes.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Orchestration</w:t>
            </w:r>
          </w:p>
        </w:tc>
        <w:tc>
          <w:tcPr>
            <w:tcW w:type="dxa" w:w="374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AgentOrchestrator</w:t>
            </w:r>
          </w:p>
        </w:tc>
        <w:tc>
          <w:tcPr>
            <w:tcW w:type="dxa" w:w="475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Results, errors, timing and cancellation.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Discovery</w:t>
            </w:r>
          </w:p>
        </w:tc>
        <w:tc>
          <w:tcPr>
            <w:tcW w:type="dxa" w:w="374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AgentRegistry / ProviderRegistry</w:t>
            </w:r>
          </w:p>
        </w:tc>
        <w:tc>
          <w:tcPr>
            <w:tcW w:type="dxa" w:w="475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Explicit resolution by name and capability.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Composition</w:t>
            </w:r>
          </w:p>
        </w:tc>
        <w:tc>
          <w:tcPr>
            <w:tcW w:type="dxa" w:w="374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PipelineRegistry / SequentialPipeline</w:t>
            </w:r>
          </w:p>
        </w:tc>
        <w:tc>
          <w:tcPr>
            <w:tcW w:type="dxa" w:w="475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Ordered reusable stages.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Realtime</w:t>
            </w:r>
          </w:p>
        </w:tc>
        <w:tc>
          <w:tcPr>
            <w:tcW w:type="dxa" w:w="374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Direct / Enhanced</w:t>
            </w:r>
          </w:p>
        </w:tc>
        <w:tc>
          <w:tcPr>
            <w:tcW w:type="dxa" w:w="475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Dedicated session and live capability paths.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Audio devices</w:t>
            </w:r>
          </w:p>
        </w:tc>
        <w:tc>
          <w:tcPr>
            <w:tcW w:type="dxa" w:w="374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Input / Output / Local Monitor</w:t>
            </w:r>
          </w:p>
        </w:tc>
        <w:tc>
          <w:tcPr>
            <w:tcW w:type="dxa" w:w="475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Browser-side device integration.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Production</w:t>
            </w:r>
          </w:p>
        </w:tc>
        <w:tc>
          <w:tcPr>
            <w:tcW w:type="dxa" w:w="374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SQLite / settings / wheel / CI</w:t>
            </w:r>
          </w:p>
        </w:tc>
        <w:tc>
          <w:tcPr>
            <w:tcW w:type="dxa" w:w="475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State, isolation and operational governance.</w:t>
            </w:r>
          </w:p>
        </w:tc>
      </w:tr>
    </w:tbl>
    <w:p>
      <w:pPr>
        <w:spacing w:after="0"/>
      </w:pPr>
    </w:p>
    <w:p>
      <w:pPr>
        <w:pStyle w:val="Heading2"/>
      </w:pPr>
      <w:r>
        <w:t>3. Guiding principles</w:t>
      </w:r>
    </w:p>
    <w:p>
      <w:pPr>
        <w:pStyle w:val="ListBullet"/>
      </w:pPr>
      <w:r>
        <w:t>Extend through contracts, registration and composition; fail early for unknown providers/pipelines.</w:t>
      </w:r>
    </w:p>
    <w:p>
      <w:pPr>
        <w:pStyle w:val="ListBullet"/>
      </w:pPr>
      <w:r>
        <w:t>Skills depend on capability contracts. Reliability and observability stay cross-cutting. Context/Quality defaults add no extra LLM call.</w:t>
      </w:r>
    </w:p>
    <w:p>
      <w:pPr>
        <w:pStyle w:val="ListBullet"/>
      </w:pPr>
      <w:r>
        <w:t>Separate standard workflows, realtime transports and browser devices; describe validation limits explicitly.</w:t>
      </w:r>
    </w:p>
    <w:p>
      <w:r>
        <w:br w:type="page"/>
      </w:r>
    </w:p>
    <w:p>
      <w:pPr>
        <w:pStyle w:val="Heading1"/>
      </w:pPr>
      <w:r>
        <w:t>4. Current architecture</w:t>
      </w:r>
    </w:p>
    <w:p>
      <w:r>
        <w:t>The composition root assembles concrete providers, Skills, stages, pipelines and agents. Registries resolve dependencies rather than adding processing stages to every request.</w:t>
      </w:r>
    </w:p>
    <w:p>
      <w:r>
        <w:drawing>
          <wp:inline xmlns:a="http://schemas.openxmlformats.org/drawingml/2006/main" xmlns:pic="http://schemas.openxmlformats.org/drawingml/2006/picture">
            <wp:extent cx="6400800" cy="3400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.0.0_architecture_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Durable conversation records belong to SessionService/repositories. SessionContext remains a transient execution context, not a persisted conversation or ownership proof.</w:t>
      </w:r>
    </w:p>
    <w:p>
      <w:pPr>
        <w:pStyle w:val="Heading2"/>
      </w:pPr>
      <w:r>
        <w:t>5. Interpreter execution flows</w:t>
      </w:r>
    </w:p>
    <w:p>
      <w:r>
        <w:drawing>
          <wp:inline xmlns:a="http://schemas.openxmlformats.org/drawingml/2006/main" xmlns:pic="http://schemas.openxmlformats.org/drawingml/2006/picture">
            <wp:extent cx="6400800" cy="18002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.0.0_standard_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7847E"/>
        </w:rPr>
        <w:t xml:space="preserve">PIPELINE CONTRACT  </w:t>
      </w:r>
      <w:r>
        <w:t>Each stage receives PipelineState and SessionContext and returns updated state. SequentialPipeline awaits stages in order; configured workflows can evolve without rewriting InterpreterAgent.</w:t>
      </w:r>
    </w:p>
    <w:p>
      <w:r>
        <w:br w:type="page"/>
      </w:r>
    </w:p>
    <w:p>
      <w:pPr>
        <w:pStyle w:val="Heading1"/>
      </w:pPr>
      <w:r>
        <w:t>6. Framework extensibility model</w:t>
      </w:r>
    </w:p>
    <w:p>
      <w:r>
        <w:t>Extension happens through explicit registration and composition, preserving the generic API and orchestration core. Provider adapters can change behind capability contracts.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4392"/>
        <w:gridCol w:w="3672"/>
      </w:tblGrid>
      <w:tr>
        <w:trPr>
          <w:cantSplit/>
          <w:tblHeader/>
        </w:trPr>
        <w:tc>
          <w:tcPr>
            <w:tcW w:type="dxa" w:w="2016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Extension</w:t>
            </w:r>
          </w:p>
        </w:tc>
        <w:tc>
          <w:tcPr>
            <w:tcW w:type="dxa" w:w="4392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Required change</w:t>
            </w:r>
          </w:p>
        </w:tc>
        <w:tc>
          <w:tcPr>
            <w:tcW w:type="dxa" w:w="3672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Boundary preserved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New agent</w:t>
            </w:r>
          </w:p>
        </w:tc>
        <w:tc>
          <w:tcPr>
            <w:tcW w:type="dxa" w:w="439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BaseAgent + AgentRegistry</w:t>
            </w:r>
          </w:p>
        </w:tc>
        <w:tc>
          <w:tcPr>
            <w:tcW w:type="dxa" w:w="36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API / AgentOrchestrator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New provider</w:t>
            </w:r>
          </w:p>
        </w:tc>
        <w:tc>
          <w:tcPr>
            <w:tcW w:type="dxa" w:w="439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Implement capability contract; register capability + name.</w:t>
            </w:r>
          </w:p>
        </w:tc>
        <w:tc>
          <w:tcPr>
            <w:tcW w:type="dxa" w:w="36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Skill / Agent / API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New pipeline</w:t>
            </w:r>
          </w:p>
        </w:tc>
        <w:tc>
          <w:tcPr>
            <w:tcW w:type="dxa" w:w="439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Compose stages and register its name.</w:t>
            </w:r>
          </w:p>
        </w:tc>
        <w:tc>
          <w:tcPr>
            <w:tcW w:type="dxa" w:w="36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SequentialPipeline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New stage</w:t>
            </w:r>
          </w:p>
        </w:tc>
        <w:tc>
          <w:tcPr>
            <w:tcW w:type="dxa" w:w="439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PipelineStage</w:t>
            </w:r>
          </w:p>
        </w:tc>
        <w:tc>
          <w:tcPr>
            <w:tcW w:type="dxa" w:w="36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InterpreterAgent / API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Context/quality strategy</w:t>
            </w:r>
          </w:p>
        </w:tc>
        <w:tc>
          <w:tcPr>
            <w:tcW w:type="dxa" w:w="439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ContextProvider / QualityProvider</w:t>
            </w:r>
          </w:p>
        </w:tc>
        <w:tc>
          <w:tcPr>
            <w:tcW w:type="dxa" w:w="36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Configured stage structure.</w:t>
            </w:r>
          </w:p>
        </w:tc>
      </w:tr>
    </w:tbl>
    <w:p>
      <w:pPr>
        <w:spacing w:after="0"/>
      </w:pPr>
    </w:p>
    <w:p>
      <w:r>
        <w:t>RealtimeTranslationProvider is resolved by capability and name without routing live sessions through SequentialPipeline.</w:t>
      </w:r>
    </w:p>
    <w:p>
      <w:r>
        <w:t>StreamingTranscriptionProvider, StreamingTranslationProvider and StreamingSpeechProvider isolate Enhanced adapters from processor orchestration and playback.</w:t>
      </w:r>
    </w:p>
    <w:p>
      <w:r>
        <w:rPr>
          <w:b/>
          <w:color w:val="07847E"/>
        </w:rPr>
        <w:t xml:space="preserve">STABLE SURFACE  </w:t>
      </w:r>
      <w:r>
        <w:t>app.framework re-exports 24 original objects with class identity preserved; imports do not require an API key or application startup. Internal bootstrap, concrete Skills and persistence repositories are outside this stable export guarantee.</w:t>
      </w:r>
    </w:p>
    <w:p>
      <w:r>
        <w:t>app.framework.testing provides opt-in, pytest-independent conformance checks for sample results, async conventions and stream cleanup. External examples run against the installed wheel outside the source tree. ContextProvider/QualityProvider remain internal extension points rather than new facade exports.</w:t>
      </w:r>
    </w:p>
    <w:p>
      <w:pPr>
        <w:pStyle w:val="Heading2"/>
      </w:pPr>
      <w:r>
        <w:t>7. Context and Quality as first class capabilities</w:t>
      </w:r>
    </w:p>
    <w:p>
      <w:pPr>
        <w:pStyle w:val="ListBullet"/>
      </w:pPr>
      <w:r>
        <w:t>PassthroughContextProvider preserves source text/metadata. TranslationStage prefers enriched_text when supplied and preserves source_text.</w:t>
      </w:r>
    </w:p>
    <w:p>
      <w:pPr>
        <w:pStyle w:val="ListBullet"/>
      </w:pPr>
      <w:r>
        <w:t>DeterministicQualityProvider evaluates structure, not semantic translation correctness. accepted, score, issues and quality metadata are returned; rejection does not create an implicit blocking policy.</w:t>
      </w:r>
    </w:p>
    <w:p>
      <w:pPr>
        <w:pStyle w:val="ListBullet"/>
      </w:pPr>
      <w:r>
        <w:t>Direct bypasses standard Context/Quality to keep its provider-native latency path.</w:t>
      </w:r>
    </w:p>
    <w:p>
      <w:pPr>
        <w:pStyle w:val="ListBullet"/>
      </w:pPr>
      <w:r>
        <w:t>Enhanced uses terminology and three prior final source segments as reference-only context; it does not add an extra semantic quality evaluator.</w:t>
      </w:r>
    </w:p>
    <w:p>
      <w:r>
        <w:br w:type="page"/>
      </w:r>
    </w:p>
    <w:p>
      <w:pPr>
        <w:pStyle w:val="Heading2"/>
      </w:pPr>
      <w:r>
        <w:t>Realtime architecture and execution</w:t>
      </w:r>
    </w:p>
    <w:p>
      <w:r>
        <w:t>Direct creates a short-lived provider session through the backend. The browser then negotiates SDP and WebRTC and receives live translated text/audio. Session creation and browser/provider media exchange are distinct responsibilities.</w:t>
      </w:r>
    </w:p>
    <w:p>
      <w:r>
        <w:drawing>
          <wp:inline xmlns:a="http://schemas.openxmlformats.org/drawingml/2006/main" xmlns:pic="http://schemas.openxmlformats.org/drawingml/2006/picture">
            <wp:extent cx="6400800" cy="28403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.0.0_live_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40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Enhanced creates an ephemeral transcription session, commits final text over /api/realtime/enhanced/stream, and composes streaming translation and TTS. The default adapters use gpt-live-transcribe, gpt-4.1-mini and gpt-4o-mini-tts; these names record the historical configuration, not a new provider availability guarantee.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7200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Execution boundary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Session setup</w:t>
            </w:r>
          </w:p>
        </w:tc>
        <w:tc>
          <w:tcPr>
            <w:tcW w:type="dxa" w:w="720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Backend issues an ephemeral provider credential.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Direct media</w:t>
            </w:r>
          </w:p>
        </w:tc>
        <w:tc>
          <w:tcPr>
            <w:tcW w:type="dxa" w:w="7200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Browser and provider exchange WebRTC media.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Enhanced orchestration</w:t>
            </w:r>
          </w:p>
        </w:tc>
        <w:tc>
          <w:tcPr>
            <w:tcW w:type="dxa" w:w="720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Final transcript → streaming translation → TTS.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Realtime measurements and transcript handling</w:t>
      </w:r>
    </w:p>
    <w:p>
      <w:pPr>
        <w:pStyle w:val="Heading2"/>
      </w:pPr>
      <w:r>
        <w:t>Direct historical measured baseline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2"/>
        <w:gridCol w:w="3168"/>
      </w:tblGrid>
      <w:tr>
        <w:trPr>
          <w:cantSplit/>
          <w:tblHeader/>
        </w:trPr>
        <w:tc>
          <w:tcPr>
            <w:tcW w:type="dxa" w:w="6912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3168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Observed value</w:t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Session request</w:t>
            </w:r>
          </w:p>
        </w:tc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~1.61 s</w:t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Microphone acquisition</w:t>
            </w:r>
          </w:p>
        </w:tc>
        <w:tc>
          <w:tcPr>
            <w:tcW w:type="dxa" w:w="316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~0.47 s</w:t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WebRTC establishment</w:t>
            </w:r>
          </w:p>
        </w:tc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~1.84 s</w:t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Speech → first translated text</w:t>
            </w:r>
          </w:p>
        </w:tc>
        <w:tc>
          <w:tcPr>
            <w:tcW w:type="dxa" w:w="316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~0.39 s</w:t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Speech → first translated audio</w:t>
            </w:r>
          </w:p>
        </w:tc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~1.35 s</w:t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Translated text → audio</w:t>
            </w:r>
          </w:p>
        </w:tc>
        <w:tc>
          <w:tcPr>
            <w:tcW w:type="dxa" w:w="316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~0.96 s</w:t>
            </w:r>
          </w:p>
        </w:tc>
      </w:tr>
    </w:tbl>
    <w:p>
      <w:pPr>
        <w:spacing w:after="0"/>
      </w:pPr>
    </w:p>
    <w:p>
      <w:pPr>
        <w:pStyle w:val="Heading2"/>
      </w:pPr>
      <w:r>
        <w:t>Enhanced historical warm path sample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336"/>
        <w:gridCol w:w="1872"/>
        <w:gridCol w:w="1872"/>
      </w:tblGrid>
      <w:tr>
        <w:trPr>
          <w:cantSplit/>
          <w:tblHeader/>
        </w:trPr>
        <w:tc>
          <w:tcPr>
            <w:tcW w:type="dxa" w:w="6336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872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p50</w:t>
            </w:r>
          </w:p>
        </w:tc>
        <w:tc>
          <w:tcPr>
            <w:tcW w:type="dxa" w:w="1872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p95</w:t>
            </w:r>
          </w:p>
        </w:tc>
      </w:tr>
      <w:tr>
        <w:trPr>
          <w:cantSplit/>
        </w:trPr>
        <w:tc>
          <w:tcPr>
            <w:tcW w:type="dxa" w:w="63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Commit → translation</w:t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~0.55 s</w:t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~0.75 s</w:t>
            </w:r>
          </w:p>
        </w:tc>
      </w:tr>
      <w:tr>
        <w:trPr>
          <w:cantSplit/>
        </w:trPr>
        <w:tc>
          <w:tcPr>
            <w:tcW w:type="dxa" w:w="633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Translation → audio</w:t>
            </w:r>
          </w:p>
        </w:tc>
        <w:tc>
          <w:tcPr>
            <w:tcW w:type="dxa" w:w="18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~0.60 s</w:t>
            </w:r>
          </w:p>
        </w:tc>
        <w:tc>
          <w:tcPr>
            <w:tcW w:type="dxa" w:w="18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~0.81 s</w:t>
            </w:r>
          </w:p>
        </w:tc>
      </w:tr>
      <w:tr>
        <w:trPr>
          <w:cantSplit/>
        </w:trPr>
        <w:tc>
          <w:tcPr>
            <w:tcW w:type="dxa" w:w="63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Commit → audio</w:t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~1.17 s</w:t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~1.46 s</w:t>
            </w:r>
          </w:p>
        </w:tc>
      </w:tr>
      <w:tr>
        <w:trPr>
          <w:cantSplit/>
        </w:trPr>
        <w:tc>
          <w:tcPr>
            <w:tcW w:type="dxa" w:w="633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TTS start → audio</w:t>
            </w:r>
          </w:p>
        </w:tc>
        <w:tc>
          <w:tcPr>
            <w:tcW w:type="dxa" w:w="18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~0.51 s</w:t>
            </w:r>
          </w:p>
        </w:tc>
        <w:tc>
          <w:tcPr>
            <w:tcW w:type="dxa" w:w="18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~0.69 s</w:t>
            </w:r>
          </w:p>
        </w:tc>
      </w:tr>
    </w:tbl>
    <w:p>
      <w:pPr>
        <w:spacing w:after="0"/>
      </w:pPr>
    </w:p>
    <w:p>
      <w:r>
        <w:t>These are historical local observations: Enhanced used a ten-segment warm-path sample. Startup, recognition, translation and audio latency are separate measurements. They are not SLAs or newly rerun benchmarks.</w:t>
      </w:r>
    </w:p>
    <w:p>
      <w:pPr>
        <w:pStyle w:val="Heading2"/>
      </w:pPr>
      <w:r>
        <w:t>Final transcript and context contract</w:t>
      </w:r>
    </w:p>
    <w:p>
      <w:pPr>
        <w:pStyle w:val="ListBullet"/>
      </w:pPr>
      <w:r>
        <w:t>Terminology and the previous three final source segments are reference-only context. They are not translated again. Source language, STT prompt and keywords are configurable.</w:t>
      </w:r>
    </w:p>
    <w:p>
      <w:pPr>
        <w:pStyle w:val="ListBullet"/>
      </w:pPr>
      <w:r>
        <w:t>SpeakableTextBuffer overlaps translation and TTS. PCM16 carry-byte continuity and a 20 ms jitter buffer preserve playback. The browser commits after an approximately 320 ms RMS silence window.</w:t>
      </w:r>
    </w:p>
    <w:p>
      <w:r>
        <w:br w:type="page"/>
      </w:r>
    </w:p>
    <w:p>
      <w:pPr>
        <w:pStyle w:val="Heading2"/>
      </w:pPr>
      <w:r>
        <w:t>Audio output and conferencing</w:t>
      </w:r>
    </w:p>
    <w:p>
      <w:r>
        <w:drawing>
          <wp:inline xmlns:a="http://schemas.openxmlformats.org/drawingml/2006/main" xmlns:pic="http://schemas.openxmlformats.org/drawingml/2006/picture">
            <wp:extent cx="6400800" cy="28403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.0.0_audio_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40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AudioInputManager selects an explicit physical microphone using persisted audioInputDeviceId. Direct and Enhanced stop relying on the Windows default input.</w:t>
      </w:r>
    </w:p>
    <w:p>
      <w:pPr>
        <w:pStyle w:val="ListBullet"/>
      </w:pPr>
      <w:r>
        <w:t>Conference output remains shared across Standard, Direct and Enhanced. monitorOutputDeviceId and monitorEnabled select a separate local headphone sink without Windows “Listen to this device”.</w:t>
      </w:r>
    </w:p>
    <w:p>
      <w:pPr>
        <w:pStyle w:val="ListBullet"/>
      </w:pPr>
      <w:r>
        <w:t>The wide Streamlit workspace consolidates Microphone, Conference Output, Local Monitor and Conference Input controls. Virtual drivers remain external prerequisites, documented under tools/README.md.</w:t>
      </w:r>
    </w:p>
    <w:p>
      <w:pPr>
        <w:pStyle w:val="ListBullet"/>
      </w:pPr>
      <w:r>
        <w:t>The supported release path is outbound audio to Teams/Meet/Zoom through browser devices and a virtual cable. Edge retains the real Teams outbound validation.</w:t>
      </w:r>
    </w:p>
    <w:p>
      <w:r>
        <w:t>ConferenceInputManager, inbound STT/translation/TTS and Full Duplex coordination remain experimental. Full end-to-end validation needs a second independent virtual path; native meeting joining and Graph calling are not release blockers.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8208"/>
      </w:tblGrid>
      <w:tr>
        <w:trPr>
          <w:cantSplit/>
          <w:tblHeader/>
        </w:trPr>
        <w:tc>
          <w:tcPr>
            <w:tcW w:type="dxa" w:w="1872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8208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Audio bridge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Standard</w:t>
            </w:r>
          </w:p>
        </w:tc>
        <w:tc>
          <w:tcPr>
            <w:tcW w:type="dxa" w:w="82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Audio URL → managed HTML audio element.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Direct</w:t>
            </w:r>
          </w:p>
        </w:tc>
        <w:tc>
          <w:tcPr>
            <w:tcW w:type="dxa" w:w="820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WebRTC translated MediaStream → managed playback.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Enhanced</w:t>
            </w:r>
          </w:p>
        </w:tc>
        <w:tc>
          <w:tcPr>
            <w:tcW w:type="dxa" w:w="82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Web Audio → MediaStream destination → managed playback.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Conferencing</w:t>
            </w:r>
          </w:p>
        </w:tc>
        <w:tc>
          <w:tcPr>
            <w:tcW w:type="dxa" w:w="820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CABLE Input → VB-CABLE → CABLE Output meeting microphone.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Reliability and observability inheritance</w:t>
      </w:r>
    </w:p>
    <w:p>
      <w:pPr>
        <w:pStyle w:val="ListBullet"/>
      </w:pPr>
      <w:r>
        <w:t>Provider retry/timeout policies remain centralized where supported. AgentOrchestrator normalizes failures and preserves cancellation.</w:t>
      </w:r>
    </w:p>
    <w:p>
      <w:pPr>
        <w:pStyle w:val="ListBullet"/>
      </w:pPr>
      <w:r>
        <w:t>ExecutionTrace records stage/provider duration, outcome and error information. Prometheus covers executions, stage timing and retries.</w:t>
      </w:r>
    </w:p>
    <w:p>
      <w:r>
        <w:t>Realtime session creation uses normalized errors and provider/model/outcome metrics. Browser QoE reports bounded latency signals without request_id, session_id or client_secret metric labels. Stop releases live resources; reconnect uses a new ephemeral secret.</w:t>
      </w:r>
    </w:p>
    <w:p>
      <w:r>
        <w:t>Per-utterance metrics separate recognition, translation and audio. Detailed backend timings move to DEBUG; WebSocket disconnects terminate output without secondary send failures.</w:t>
      </w:r>
    </w:p>
    <w:p>
      <w:pPr>
        <w:pStyle w:val="Heading2"/>
      </w:pPr>
      <w:r>
        <w:t>Identity and durable sessions</w:t>
      </w:r>
    </w:p>
    <w:p>
      <w:r>
        <w:t>X-Client-Id is strict ASCII and case-sensitive; it remains self-declared identity, not OAuth/OIDC/JWT authentication. Creation persists immutable owner_id. GET/PATCH/close and interpretation referencing a stored session enforce owner/lifecycle. Missing or invalid identity returns 401, foreign owner 403, missing persisted session 404 and active-only operations on closed sessions 409.</w:t>
      </w:r>
    </w:p>
    <w:p>
      <w:r>
        <w:t>Legacy schema-0/1 storage migrates idempotently to schema 2 with nullable owner_id; unowned records require deliberate offline assignment. SQLite connections close per operation, including errors. Health/metrics/docs/static audio remain separate unauthenticated surfaces; opaque audio URLs are not access control.</w:t>
      </w:r>
    </w:p>
    <w:p>
      <w:pPr>
        <w:pStyle w:val="Heading2"/>
      </w:pPr>
      <w:r>
        <w:t>Production events and telemetry</w:t>
      </w:r>
    </w:p>
    <w:p>
      <w:r>
        <w:t>Events correlate request_id, session_id, execution_mode, provider/model, languages, latency, status and safe error type. Logs exclude text, translations, audio, prompts, credentials and raw exception content. X-Request-Id is correlation, not a filename or idempotency key. New metrics avoid identifier/language labels.</w:t>
      </w:r>
    </w:p>
    <w:p>
      <w:r>
        <w:t>Metrics expose persisted active sessions, lifetime, cleanup, provider durations/errors and available token usage. Session counts survive restart via repository reads; counters reset and are not billing records. Missing storage marks scrape_error without recreating it. Costs require both token directions and explicit rates and omit unknown audio/cache/billing dimensions.</w:t>
      </w:r>
    </w:p>
    <w:p>
      <w:r>
        <w:t>Optional private OpenTelemetry spans use an operator OTLP/HTTP collector, a default root sample ratio of 1.0 and respected parent sampling. No outbound SDK auto-instrumentation or bundled monitoring stack is implied.</w:t>
      </w:r>
    </w:p>
    <w:p>
      <w:r>
        <w:br w:type="page"/>
      </w:r>
    </w:p>
    <w:p>
      <w:pPr>
        <w:pStyle w:val="Heading2"/>
      </w:pPr>
      <w:r>
        <w:t>Configuration packaging and lifecycle</w:t>
      </w:r>
    </w:p>
    <w:p>
      <w:r>
        <w:t>Typed settings separate development/test/production. Only development reads its local .env; production requires an explicit nonblank provider key and persistent storage. Backend/UI have separate universal hashed locks. The Python 3.12 wheel exposes waaxalma-backend; digest-pinned containers run as UID/GID 10001, with read-only root and explicit writable mounts. One backend worker is the packaging profile.</w:t>
      </w:r>
    </w:p>
    <w:p>
      <w:r>
        <w:t>/health/live checks process response; /health/ready checks startup and local/session storage. Neither guarantees provider availability. Default images omit the optional OTel SDK; its lock/build option is separate. Cloud deployment and distributed storage are independent choices.</w:t>
      </w:r>
    </w:p>
    <w:p>
      <w:r>
        <w:t>Owner, status, languages, timestamps, metadata and ordered messages survive restart. Live connections, rolling context, in-flight audio and tasks do not. There is no durable job queue or exactly-once delivery; committed mutations can outlive lost responses.</w:t>
      </w:r>
    </w:p>
    <w:p>
      <w:r>
        <w:t>Closed-session retention is opt-in with a configurable 30-day default; active and missing-timestamp records are excluded. Dry-run reports counts. Audio/file, backup/log retention and active-session expiry need their own policies. Uvicorn defaults to 15-second draining; Docker gives 30 seconds stop grace. Lifespan stops maintenance and flushes optional telemetry, but asyncio cannot forcibly cancel synchronous SDK threads.</w:t>
      </w:r>
    </w:p>
    <w:p>
      <w:pPr>
        <w:pStyle w:val="Heading2"/>
      </w:pPr>
      <w:r>
        <w:t>CI and governance</w:t>
      </w:r>
    </w:p>
    <w:p>
      <w:r>
        <w:t>CI checks syntax, separate Windows/Linux installs/regressions, UI rendering, optional tracing, the wheel outside source, non-root containers, health/ownership smoke and clean restart continuity. Artifacts include wheel/images and SHA256 checksums. Targeted secret hygiene does not replace human review or an independent audit. The final tag follows exact-commit CI and real browser/audio acceptance; no cloud deployment or registry upload is automatic.</w:t>
      </w:r>
    </w:p>
    <w:p>
      <w:pPr>
        <w:pStyle w:val="Heading2"/>
      </w:pPr>
      <w:r>
        <w:t>Stable transport runtime and upgrade guarantees</w:t>
      </w:r>
    </w:p>
    <w:p>
      <w:r>
        <w:t>Reviewed HTTP and Enhanced WebSocket snapshots form the wire contract. HTTP uses safe code/message envelopes; Enhanced separates receive monitoring from processing, bounds queues, recovers from invalid events and closes streams on disconnect/cancellation. Snapshots normalize only the release version.</w:t>
      </w:r>
    </w:p>
    <w:p>
      <w:r>
        <w:t>Supported profile: CPython 3.12 Linux/Windows x64, Linux amd64 images, one backend worker and Node 22 CI validation. Upgrade from v0.5 preserves schema 2, owners and ordered history. Future schemas are refused before changes. waaxalma-session-database inspects read-only and creates exclusive WAL-consistent backups. Keep configuration, full volume and previous artifacts for rollback. Native macOS/ARM64, other Python minors and multi-worker/replica operation remain outside the validated profile.</w:t>
      </w:r>
    </w:p>
    <w:p>
      <w:r>
        <w:rPr>
          <w:b/>
          <w:color w:val="07847E"/>
        </w:rPr>
        <w:t xml:space="preserve">COMPATIBILITY  </w:t>
      </w:r>
      <w:r>
        <w:t>Patch releases preserve documented calls; minors can add optional features; incompatible public changes require a major. Deprecations name replacements and removal versions, with at least one minor transition before a later-major removal.</w:t>
      </w:r>
    </w:p>
    <w:p>
      <w:r>
        <w:br w:type="page"/>
      </w:r>
    </w:p>
    <w:p>
      <w:pPr>
        <w:pStyle w:val="Heading1"/>
      </w:pPr>
      <w:r>
        <w:t>9. Technical roadmap</w:t>
      </w:r>
    </w:p>
    <w:p>
      <w:r>
        <w:t>Each milestone builds on the preceding architecture. The table records capability delivery, not an assertion that an unseen public Git tag exists. Future scope is preserved from the historical milestone.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08"/>
        <w:gridCol w:w="5472"/>
      </w:tblGrid>
      <w:tr>
        <w:trPr>
          <w:cantSplit/>
          <w:tblHeader/>
        </w:trPr>
        <w:tc>
          <w:tcPr>
            <w:tcW w:type="dxa" w:w="4608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5472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Position in this edition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Prototype and orchestration</w:t>
            </w:r>
          </w:p>
        </w:tc>
        <w:tc>
          <w:tcPr>
            <w:tcW w:type="dxa" w:w="54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Foundation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Reliability</w:t>
            </w:r>
          </w:p>
        </w:tc>
        <w:tc>
          <w:tcPr>
            <w:tcW w:type="dxa" w:w="54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Foundation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Framework Next</w:t>
            </w:r>
          </w:p>
        </w:tc>
        <w:tc>
          <w:tcPr>
            <w:tcW w:type="dxa" w:w="54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Foundation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Realtime Direct</w:t>
            </w:r>
          </w:p>
        </w:tc>
        <w:tc>
          <w:tcPr>
            <w:tcW w:type="dxa" w:w="54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Foundation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Realtime Enhanced</w:t>
            </w:r>
          </w:p>
        </w:tc>
        <w:tc>
          <w:tcPr>
            <w:tcW w:type="dxa" w:w="54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Foundation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Universal Audio Output</w:t>
            </w:r>
          </w:p>
        </w:tc>
        <w:tc>
          <w:tcPr>
            <w:tcW w:type="dxa" w:w="54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Foundation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Device Control</w:t>
            </w:r>
          </w:p>
        </w:tc>
        <w:tc>
          <w:tcPr>
            <w:tcW w:type="dxa" w:w="54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Foundation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Product Readiness</w:t>
            </w:r>
          </w:p>
        </w:tc>
        <w:tc>
          <w:tcPr>
            <w:tcW w:type="dxa" w:w="54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Foundation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Stable Framework</w:t>
            </w:r>
          </w:p>
        </w:tc>
        <w:tc>
          <w:tcPr>
            <w:tcW w:type="dxa" w:w="54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Milestone documented</w:t>
            </w:r>
          </w:p>
        </w:tc>
      </w:tr>
    </w:tbl>
    <w:p>
      <w:pPr>
        <w:spacing w:after="0"/>
      </w:pPr>
    </w:p>
    <w:p>
      <w:pPr>
        <w:pStyle w:val="Heading2"/>
      </w:pPr>
      <w:r>
        <w:t>10. Git release map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8064"/>
      </w:tblGrid>
      <w:tr>
        <w:trPr>
          <w:cantSplit/>
          <w:tblHeader/>
        </w:trPr>
        <w:tc>
          <w:tcPr>
            <w:tcW w:type="dxa" w:w="2016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8064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v0.1.0</w:t>
            </w:r>
          </w:p>
        </w:tc>
        <w:tc>
          <w:tcPr>
            <w:tcW w:type="dxa" w:w="806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Prototype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v0.2.0</w:t>
            </w:r>
          </w:p>
        </w:tc>
        <w:tc>
          <w:tcPr>
            <w:tcW w:type="dxa" w:w="806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Agent Orchestration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v0.3.0</w:t>
            </w:r>
          </w:p>
        </w:tc>
        <w:tc>
          <w:tcPr>
            <w:tcW w:type="dxa" w:w="806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Reliability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v0.4.0</w:t>
            </w:r>
          </w:p>
        </w:tc>
        <w:tc>
          <w:tcPr>
            <w:tcW w:type="dxa" w:w="806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Framework Next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v0.4.1</w:t>
            </w:r>
          </w:p>
        </w:tc>
        <w:tc>
          <w:tcPr>
            <w:tcW w:type="dxa" w:w="806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Realtime Translation and Voice Configuration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v0.4.2</w:t>
            </w:r>
          </w:p>
        </w:tc>
        <w:tc>
          <w:tcPr>
            <w:tcW w:type="dxa" w:w="806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Realtime Enhanced Streaming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v0.4.3</w:t>
            </w:r>
          </w:p>
        </w:tc>
        <w:tc>
          <w:tcPr>
            <w:tcW w:type="dxa" w:w="806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Universal Audio Output and Conferencing Bridge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v0.4.4</w:t>
            </w:r>
          </w:p>
        </w:tc>
        <w:tc>
          <w:tcPr>
            <w:tcW w:type="dxa" w:w="806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Conferencing Audio and Device Control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v0.5.0</w:t>
            </w:r>
          </w:p>
        </w:tc>
        <w:tc>
          <w:tcPr>
            <w:tcW w:type="dxa" w:w="806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Product Readiness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v1.0.0</w:t>
            </w:r>
          </w:p>
        </w:tc>
        <w:tc>
          <w:tcPr>
            <w:tcW w:type="dxa" w:w="806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Stable Framework Release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v1.0.0 definition of done</w:t>
      </w:r>
    </w:p>
    <w:p>
      <w:pPr>
        <w:pStyle w:val="ListBullet"/>
      </w:pPr>
      <w:r>
        <w:t>v1.0.0 consolidates the product-ready baseline and formalizes stable public imports, extension conformance, reviewed HTTP/WebSocket schemas and a supported runtime/upgrade profile.</w:t>
      </w:r>
    </w:p>
    <w:p>
      <w:pPr>
        <w:pStyle w:val="ListBullet"/>
      </w:pPr>
      <w:r>
        <w:t>All five framework slices were integrated and accepted by the maintainer. Version metadata, health/OpenAPI, wheel and image names align to 1.0.0; publication remains the maintainer’s verified-commit action.</w:t>
      </w:r>
    </w:p>
    <w:p>
      <w:pPr>
        <w:pStyle w:val="ListBullet"/>
      </w:pPr>
      <w:r>
        <w:t>Standard agents, provider selection and configured pipelines preserve the v0.4 extension boundaries and Context/Quality metadata.</w:t>
      </w:r>
    </w:p>
    <w:p>
      <w:pPr>
        <w:pStyle w:val="ListBullet"/>
      </w:pPr>
      <w:r>
        <w:t>Dedicated live sessions remain independent from standard orchestration; stop/error cleanup and normalized failures stay observable.</w:t>
      </w:r>
    </w:p>
    <w:p>
      <w:pPr>
        <w:pStyle w:val="ListBullet"/>
      </w:pPr>
      <w:r>
        <w:t>Persistence/ownership, retention, packaging and restart behavior pass their dedicated gates; identity limitations and production secrets are reviewed before exposure.</w:t>
      </w:r>
    </w:p>
    <w:p>
      <w:r>
        <w:rPr>
          <w:b/>
          <w:color w:val="07847E"/>
        </w:rPr>
        <w:t xml:space="preserve">VALIDATION RECORD  </w:t>
      </w:r>
      <w:r>
        <w:t>Accepted stable baseline: 472 passed, four optional OTel SDK skips and one existing Starlette warning in the local default environment. Wheel installation outside source and version/schema gates passed; final acceptance was confirmed by the maintainer. These are historical records, not newly executed tests for this documentation alignment.</w:t>
      </w:r>
    </w:p>
    <w:p>
      <w:pPr>
        <w:pStyle w:val="Heading2"/>
      </w:pPr>
      <w:r>
        <w:t>12. Recommended next slice</w:t>
      </w:r>
    </w:p>
    <w:p>
      <w:r>
        <w:t>Next work needs an explicit objective and evidence: authenticated ingress, protected audio, more providers, retention policy or dedicated inbound/full-duplex validation. Native macOS/ARM64 and multi-worker operation require their own acceptance.</w:t>
      </w:r>
    </w:p>
    <w:p>
      <w:r>
        <w:rPr>
          <w:b/>
          <w:color w:val="07847E"/>
        </w:rPr>
        <w:t xml:space="preserve">FRAMEWORK PRINCIPLE  </w:t>
      </w:r>
      <w:r>
        <w:t>Add a capability through registration and composition without moving provider-specific or conferencing concerns into generic API/orchestration.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6"/>
      </w:rPr>
      <w:t xml:space="preserve">Waaxalma v1.0.0   ·   </w:t>
    </w:r>
    <w:r>
      <w:rPr>
        <w:color w:val="667085"/>
        <w:sz w:val="16"/>
      </w:rPr>
      <w:fldChar w:fldCharType="begin"/>
      <w:instrText xml:space="preserve">PAGE</w:instrText>
      <w:fldChar w:fldCharType="end"/>
    </w:r>
    <w:r>
      <w:rPr>
        <w:color w:val="667085"/>
        <w:sz w:val="16"/>
      </w:rPr>
      <w:t xml:space="preserve"> / </w:t>
    </w:r>
    <w:r>
      <w:rPr>
        <w:color w:val="667085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718096"/>
        <w:sz w:val="16"/>
      </w:rPr>
      <w:t>WAAXALMA  ·  ARCHITECTURE &amp; VISION 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936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Waaxalma Architecture and Vision Book v1.0.0 EN</dc:title>
  <dc:subject>Framework Next architecture</dc:subject>
  <dc:creator>Waaxalma</dc:creator>
  <cp:keywords>Waaxalma, voice agents, architecture, v0.4, framework, providers, pipelines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