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ARCHITECTURE &amp; VISION BOOK  ·  v1.0.1  ·  ENGLISH EDITION</w:t>
      </w:r>
    </w:p>
    <w:p>
      <w:pPr>
        <w:pStyle w:val="Title"/>
      </w:pPr>
      <w:r>
        <w:t>Waaxalma</w:t>
      </w:r>
    </w:p>
    <w:p>
      <w:pPr>
        <w:pStyle w:val="Subtitle"/>
      </w:pPr>
      <w:r>
        <w:t>From an extensible voice pipeline to a stable and governable framework</w:t>
      </w:r>
    </w:p>
    <w:p>
      <w:r>
        <w:t>3 October 2026  ·  Stable Framework baseline v1.0.0  ·  Documentation patch v1.0.1</w:t>
      </w:r>
    </w:p>
    <w:p>
      <w:r>
        <w:rPr>
          <w:b/>
          <w:color w:val="07847E"/>
        </w:rPr>
        <w:t xml:space="preserve">VISION  </w:t>
      </w:r>
      <w:r>
        <w:t>Waaxalma means “speak for me”: capture speech, preserve intent and return understandable translated text and natural audio, particularly for multilingual communication involving Wolof. This edition consolidates the validated framework and production foundations; the patch restores the architecture-book structure without introducing runtime behavior.</w:t>
      </w:r>
    </w:p>
    <w:p>
      <w:pPr>
        <w:pStyle w:val="Heading1"/>
      </w:pPr>
      <w:r>
        <w:t>1. Vision and scope</w:t>
      </w:r>
    </w:p>
    <w:p>
      <w:r>
        <w:t>The product boundary is multilingual interpretation. The framework boundary is an explicit set of agents, pipelines and provider contracts that can evolve independently. Standard, Realtime Direct and Realtime Enhanced retain distinct execution paths while sharing browser audio-device control.</w:t>
      </w:r>
    </w:p>
    <w:p>
      <w:pPr>
        <w:pStyle w:val="ListBullet"/>
      </w:pPr>
      <w:r>
        <w:t>Inputs: microphone audio, uploaded audio, text and live microphone streams.</w:t>
      </w:r>
    </w:p>
    <w:p>
      <w:pPr>
        <w:pStyle w:val="ListBullet"/>
      </w:pPr>
      <w:r>
        <w:t>Outputs: source text when available, translated text, generated or streamed audio, session and quality metadata, and explicit playback destinations.</w:t>
      </w:r>
    </w:p>
    <w:p>
      <w:pPr>
        <w:pStyle w:val="Heading2"/>
      </w:pPr>
      <w:r>
        <w:t>2. Foundation now built</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40"/>
        <w:gridCol w:w="2880"/>
        <w:gridCol w:w="5760"/>
      </w:tblGrid>
      <w:tr>
        <w:trPr>
          <w:cantSplit/>
          <w:tblHeader/>
        </w:trPr>
        <w:tc>
          <w:tcPr>
            <w:tcW w:type="dxa" w:w="1440"/>
            <w:vAlign w:val="center"/>
            <w:shd w:fill="19364D"/>
            <w:tcMar>
              <w:top w:w="90" w:type="dxa"/>
              <w:bottom w:w="90" w:type="dxa"/>
              <w:left w:w="90" w:type="dxa"/>
              <w:right w:w="90" w:type="dxa"/>
            </w:tcMar>
          </w:tcPr>
          <w:p>
            <w:pPr>
              <w:spacing w:after="60" w:line="240" w:lineRule="auto"/>
            </w:pPr>
            <w:r>
              <w:rPr>
                <w:b/>
                <w:color w:val="FFFFFF"/>
                <w:sz w:val="18"/>
              </w:rPr>
              <w:t>Layer</w:t>
            </w:r>
          </w:p>
        </w:tc>
        <w:tc>
          <w:tcPr>
            <w:tcW w:type="dxa" w:w="2880"/>
            <w:vAlign w:val="center"/>
            <w:shd w:fill="19364D"/>
            <w:tcMar>
              <w:top w:w="90" w:type="dxa"/>
              <w:bottom w:w="90" w:type="dxa"/>
              <w:left w:w="90" w:type="dxa"/>
              <w:right w:w="90" w:type="dxa"/>
            </w:tcMar>
          </w:tcPr>
          <w:p>
            <w:pPr>
              <w:spacing w:after="60" w:line="240" w:lineRule="auto"/>
            </w:pPr>
            <w:r>
              <w:rPr>
                <w:b/>
                <w:color w:val="FFFFFF"/>
                <w:sz w:val="18"/>
              </w:rPr>
              <w:t>Delivered foundation</w:t>
            </w:r>
          </w:p>
        </w:tc>
        <w:tc>
          <w:tcPr>
            <w:tcW w:type="dxa" w:w="5760"/>
            <w:vAlign w:val="center"/>
            <w:shd w:fill="19364D"/>
            <w:tcMar>
              <w:top w:w="90" w:type="dxa"/>
              <w:bottom w:w="90" w:type="dxa"/>
              <w:left w:w="90" w:type="dxa"/>
              <w:right w:w="90" w:type="dxa"/>
            </w:tcMar>
          </w:tcPr>
          <w:p>
            <w:pPr>
              <w:spacing w:after="60" w:line="240" w:lineRule="auto"/>
            </w:pPr>
            <w:r>
              <w:rPr>
                <w:b/>
                <w:color w:val="FFFFFF"/>
                <w:sz w:val="18"/>
              </w:rPr>
              <w:t>Architectural meaning</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Execution</w:t>
            </w:r>
          </w:p>
        </w:tc>
        <w:tc>
          <w:tcPr>
            <w:tcW w:type="dxa" w:w="2880"/>
            <w:vAlign w:val="center"/>
            <w:shd w:fill="FFFFFF"/>
            <w:tcMar>
              <w:top w:w="90" w:type="dxa"/>
              <w:bottom w:w="90" w:type="dxa"/>
              <w:left w:w="90" w:type="dxa"/>
              <w:right w:w="90" w:type="dxa"/>
            </w:tcMar>
          </w:tcPr>
          <w:p>
            <w:pPr>
              <w:spacing w:after="60" w:line="240" w:lineRule="auto"/>
            </w:pPr>
            <w:r>
              <w:rPr>
                <w:b w:val="0"/>
                <w:color w:val="273444"/>
                <w:sz w:val="18"/>
              </w:rPr>
              <w:t>AgentOrchestrator + registries</w:t>
            </w:r>
          </w:p>
        </w:tc>
        <w:tc>
          <w:tcPr>
            <w:tcW w:type="dxa" w:w="5760"/>
            <w:vAlign w:val="center"/>
            <w:shd w:fill="FFFFFF"/>
            <w:tcMar>
              <w:top w:w="90" w:type="dxa"/>
              <w:bottom w:w="90" w:type="dxa"/>
              <w:left w:w="90" w:type="dxa"/>
              <w:right w:w="90" w:type="dxa"/>
            </w:tcMar>
          </w:tcPr>
          <w:p>
            <w:pPr>
              <w:spacing w:after="60" w:line="240" w:lineRule="auto"/>
            </w:pPr>
            <w:r>
              <w:rPr>
                <w:b w:val="0"/>
                <w:color w:val="273444"/>
                <w:sz w:val="18"/>
              </w:rPr>
              <w:t>Resolve agents and compose workflows explicitly.</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Capabilities</w:t>
            </w:r>
          </w:p>
        </w:tc>
        <w:tc>
          <w:tcPr>
            <w:tcW w:type="dxa" w:w="2880"/>
            <w:vAlign w:val="center"/>
            <w:shd w:fill="F3F6F9"/>
            <w:tcMar>
              <w:top w:w="90" w:type="dxa"/>
              <w:bottom w:w="90" w:type="dxa"/>
              <w:left w:w="90" w:type="dxa"/>
              <w:right w:w="90" w:type="dxa"/>
            </w:tcMar>
          </w:tcPr>
          <w:p>
            <w:pPr>
              <w:spacing w:after="60" w:line="240" w:lineRule="auto"/>
            </w:pPr>
            <w:r>
              <w:rPr>
                <w:b w:val="0"/>
                <w:color w:val="273444"/>
                <w:sz w:val="18"/>
              </w:rPr>
              <w:t>Stages / Skills / providers</w:t>
            </w:r>
          </w:p>
        </w:tc>
        <w:tc>
          <w:tcPr>
            <w:tcW w:type="dxa" w:w="5760"/>
            <w:vAlign w:val="center"/>
            <w:shd w:fill="F3F6F9"/>
            <w:tcMar>
              <w:top w:w="90" w:type="dxa"/>
              <w:bottom w:w="90" w:type="dxa"/>
              <w:left w:w="90" w:type="dxa"/>
              <w:right w:w="90" w:type="dxa"/>
            </w:tcMar>
          </w:tcPr>
          <w:p>
            <w:pPr>
              <w:spacing w:after="60" w:line="240" w:lineRule="auto"/>
            </w:pPr>
            <w:r>
              <w:rPr>
                <w:b w:val="0"/>
                <w:color w:val="273444"/>
                <w:sz w:val="18"/>
              </w:rPr>
              <w:t>Separate workflow logic from concrete adapters.</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Realtime</w:t>
            </w:r>
          </w:p>
        </w:tc>
        <w:tc>
          <w:tcPr>
            <w:tcW w:type="dxa" w:w="2880"/>
            <w:vAlign w:val="center"/>
            <w:shd w:fill="FFFFFF"/>
            <w:tcMar>
              <w:top w:w="90" w:type="dxa"/>
              <w:bottom w:w="90" w:type="dxa"/>
              <w:left w:w="90" w:type="dxa"/>
              <w:right w:w="90" w:type="dxa"/>
            </w:tcMar>
          </w:tcPr>
          <w:p>
            <w:pPr>
              <w:spacing w:after="60" w:line="240" w:lineRule="auto"/>
            </w:pPr>
            <w:r>
              <w:rPr>
                <w:b w:val="0"/>
                <w:color w:val="273444"/>
                <w:sz w:val="18"/>
              </w:rPr>
              <w:t>Direct + Enhanced</w:t>
            </w:r>
          </w:p>
        </w:tc>
        <w:tc>
          <w:tcPr>
            <w:tcW w:type="dxa" w:w="5760"/>
            <w:vAlign w:val="center"/>
            <w:shd w:fill="FFFFFF"/>
            <w:tcMar>
              <w:top w:w="90" w:type="dxa"/>
              <w:bottom w:w="90" w:type="dxa"/>
              <w:left w:w="90" w:type="dxa"/>
              <w:right w:w="90" w:type="dxa"/>
            </w:tcMar>
          </w:tcPr>
          <w:p>
            <w:pPr>
              <w:spacing w:after="60" w:line="240" w:lineRule="auto"/>
            </w:pPr>
            <w:r>
              <w:rPr>
                <w:b w:val="0"/>
                <w:color w:val="273444"/>
                <w:sz w:val="18"/>
              </w:rPr>
              <w:t>Preserve distinct latency and context trade-offs.</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State</w:t>
            </w:r>
          </w:p>
        </w:tc>
        <w:tc>
          <w:tcPr>
            <w:tcW w:type="dxa" w:w="2880"/>
            <w:vAlign w:val="center"/>
            <w:shd w:fill="F3F6F9"/>
            <w:tcMar>
              <w:top w:w="90" w:type="dxa"/>
              <w:bottom w:w="90" w:type="dxa"/>
              <w:left w:w="90" w:type="dxa"/>
              <w:right w:w="90" w:type="dxa"/>
            </w:tcMar>
          </w:tcPr>
          <w:p>
            <w:pPr>
              <w:spacing w:after="60" w:line="240" w:lineRule="auto"/>
            </w:pPr>
            <w:r>
              <w:rPr>
                <w:b w:val="0"/>
                <w:color w:val="273444"/>
                <w:sz w:val="18"/>
              </w:rPr>
              <w:t>SQLite schema 2</w:t>
            </w:r>
          </w:p>
        </w:tc>
        <w:tc>
          <w:tcPr>
            <w:tcW w:type="dxa" w:w="5760"/>
            <w:vAlign w:val="center"/>
            <w:shd w:fill="F3F6F9"/>
            <w:tcMar>
              <w:top w:w="90" w:type="dxa"/>
              <w:bottom w:w="90" w:type="dxa"/>
              <w:left w:w="90" w:type="dxa"/>
              <w:right w:w="90" w:type="dxa"/>
            </w:tcMar>
          </w:tcPr>
          <w:p>
            <w:pPr>
              <w:spacing w:after="60" w:line="240" w:lineRule="auto"/>
            </w:pPr>
            <w:r>
              <w:rPr>
                <w:b w:val="0"/>
                <w:color w:val="273444"/>
                <w:sz w:val="18"/>
              </w:rPr>
              <w:t>Persist owner, lifecycle, metadata and ordered history.</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Delivery</w:t>
            </w:r>
          </w:p>
        </w:tc>
        <w:tc>
          <w:tcPr>
            <w:tcW w:type="dxa" w:w="2880"/>
            <w:vAlign w:val="center"/>
            <w:shd w:fill="FFFFFF"/>
            <w:tcMar>
              <w:top w:w="90" w:type="dxa"/>
              <w:bottom w:w="90" w:type="dxa"/>
              <w:left w:w="90" w:type="dxa"/>
              <w:right w:w="90" w:type="dxa"/>
            </w:tcMar>
          </w:tcPr>
          <w:p>
            <w:pPr>
              <w:spacing w:after="60" w:line="240" w:lineRule="auto"/>
            </w:pPr>
            <w:r>
              <w:rPr>
                <w:b w:val="0"/>
                <w:color w:val="273444"/>
                <w:sz w:val="18"/>
              </w:rPr>
              <w:t>Wheel + containers + CI</w:t>
            </w:r>
          </w:p>
        </w:tc>
        <w:tc>
          <w:tcPr>
            <w:tcW w:type="dxa" w:w="5760"/>
            <w:vAlign w:val="center"/>
            <w:shd w:fill="FFFFFF"/>
            <w:tcMar>
              <w:top w:w="90" w:type="dxa"/>
              <w:bottom w:w="90" w:type="dxa"/>
              <w:left w:w="90" w:type="dxa"/>
              <w:right w:w="90" w:type="dxa"/>
            </w:tcMar>
          </w:tcPr>
          <w:p>
            <w:pPr>
              <w:spacing w:after="60" w:line="240" w:lineRule="auto"/>
            </w:pPr>
            <w:r>
              <w:rPr>
                <w:b w:val="0"/>
                <w:color w:val="273444"/>
                <w:sz w:val="18"/>
              </w:rPr>
              <w:t>Repeatable configuration, non-root execution and gates.</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Stable API</w:t>
            </w:r>
          </w:p>
        </w:tc>
        <w:tc>
          <w:tcPr>
            <w:tcW w:type="dxa" w:w="2880"/>
            <w:vAlign w:val="center"/>
            <w:shd w:fill="F3F6F9"/>
            <w:tcMar>
              <w:top w:w="90" w:type="dxa"/>
              <w:bottom w:w="90" w:type="dxa"/>
              <w:left w:w="90" w:type="dxa"/>
              <w:right w:w="90" w:type="dxa"/>
            </w:tcMar>
          </w:tcPr>
          <w:p>
            <w:pPr>
              <w:spacing w:after="60" w:line="240" w:lineRule="auto"/>
            </w:pPr>
            <w:r>
              <w:rPr>
                <w:b w:val="0"/>
                <w:color w:val="273444"/>
                <w:sz w:val="18"/>
              </w:rPr>
              <w:t>app.framework / testing</w:t>
            </w:r>
          </w:p>
        </w:tc>
        <w:tc>
          <w:tcPr>
            <w:tcW w:type="dxa" w:w="5760"/>
            <w:vAlign w:val="center"/>
            <w:shd w:fill="F3F6F9"/>
            <w:tcMar>
              <w:top w:w="90" w:type="dxa"/>
              <w:bottom w:w="90" w:type="dxa"/>
              <w:left w:w="90" w:type="dxa"/>
              <w:right w:w="90" w:type="dxa"/>
            </w:tcMar>
          </w:tcPr>
          <w:p>
            <w:pPr>
              <w:spacing w:after="60" w:line="240" w:lineRule="auto"/>
            </w:pPr>
            <w:r>
              <w:rPr>
                <w:b w:val="0"/>
                <w:color w:val="273444"/>
                <w:sz w:val="18"/>
              </w:rPr>
              <w:t>Documented public imports and opt-in conformance.</w:t>
            </w:r>
          </w:p>
        </w:tc>
      </w:tr>
    </w:tbl>
    <w:p>
      <w:pPr>
        <w:spacing w:after="0"/>
      </w:pPr>
    </w:p>
    <w:p>
      <w:pPr>
        <w:pStyle w:val="Heading2"/>
      </w:pPr>
      <w:r>
        <w:t>3. Guiding principles</w:t>
      </w:r>
    </w:p>
    <w:p>
      <w:pPr>
        <w:pStyle w:val="ListBullet"/>
      </w:pPr>
      <w:r>
        <w:t>Extend through contracts, registration and composition; fail early for unknown configuration.</w:t>
      </w:r>
    </w:p>
    <w:p>
      <w:pPr>
        <w:pStyle w:val="ListBullet"/>
      </w:pPr>
      <w:r>
        <w:t>Keep provider selection, reliability and observability outside agent-specific HTTP routing.</w:t>
      </w:r>
    </w:p>
    <w:p>
      <w:pPr>
        <w:pStyle w:val="ListBullet"/>
      </w:pPr>
      <w:r>
        <w:t>State the validated runtime, identity and lifecycle boundaries; a stable version does not remove deployment constraints.</w:t>
      </w:r>
    </w:p>
    <w:p>
      <w:r>
        <w:br w:type="page"/>
      </w:r>
    </w:p>
    <w:p>
      <w:pPr>
        <w:pStyle w:val="Heading1"/>
      </w:pPr>
      <w:r>
        <w:t>4. Current architecture</w:t>
      </w:r>
    </w:p>
    <w:p>
      <w:r>
        <w:t>The composition root assembles concrete adapters, Skills, stages, pipelines and agents. Registries are resolution mechanisms, not extra processing stages on every request. This view describes standard execution; realtime services use their own explicit provider contracts.</w:t>
      </w:r>
    </w:p>
    <w:p>
      <w:r>
        <w:drawing>
          <wp:inline xmlns:a="http://schemas.openxmlformats.org/drawingml/2006/main" xmlns:pic="http://schemas.openxmlformats.org/drawingml/2006/picture">
            <wp:extent cx="6400800" cy="3360420"/>
            <wp:docPr id="1" name="Picture 1"/>
            <wp:cNvGraphicFramePr>
              <a:graphicFrameLocks noChangeAspect="1"/>
            </wp:cNvGraphicFramePr>
            <a:graphic>
              <a:graphicData uri="http://schemas.openxmlformats.org/drawingml/2006/picture">
                <pic:pic>
                  <pic:nvPicPr>
                    <pic:cNvPr id="0" name="architecture_EN.png"/>
                    <pic:cNvPicPr/>
                  </pic:nvPicPr>
                  <pic:blipFill>
                    <a:blip r:embed="rId13"/>
                    <a:stretch>
                      <a:fillRect/>
                    </a:stretch>
                  </pic:blipFill>
                  <pic:spPr>
                    <a:xfrm>
                      <a:off x="0" y="0"/>
                      <a:ext cx="6400800" cy="3360420"/>
                    </a:xfrm>
                    <a:prstGeom prst="rect"/>
                  </pic:spPr>
                </pic:pic>
              </a:graphicData>
            </a:graphic>
          </wp:inline>
        </w:drawing>
      </w:r>
    </w:p>
    <w:p>
      <w:r>
        <w:t>Reading: HTTP routing delegates execution to AgentOrchestrator. InterpreterAgent receives the configured text/audio pipelines. SessionService and the SQLite repository manage durable conversations independently from transient SessionContext.</w:t>
      </w:r>
    </w:p>
    <w:p>
      <w:pPr>
        <w:pStyle w:val="Heading2"/>
      </w:pPr>
      <w:r>
        <w:t>5. Interpreter execution flows</w:t>
      </w:r>
    </w:p>
    <w:p>
      <w:r>
        <w:drawing>
          <wp:inline xmlns:a="http://schemas.openxmlformats.org/drawingml/2006/main" xmlns:pic="http://schemas.openxmlformats.org/drawingml/2006/picture">
            <wp:extent cx="6400800" cy="1800225"/>
            <wp:docPr id="2" name="Picture 2"/>
            <wp:cNvGraphicFramePr>
              <a:graphicFrameLocks noChangeAspect="1"/>
            </wp:cNvGraphicFramePr>
            <a:graphic>
              <a:graphicData uri="http://schemas.openxmlformats.org/drawingml/2006/picture">
                <pic:pic>
                  <pic:nvPicPr>
                    <pic:cNvPr id="0" name="interpreter_EN.png"/>
                    <pic:cNvPicPr/>
                  </pic:nvPicPr>
                  <pic:blipFill>
                    <a:blip r:embed="rId14"/>
                    <a:stretch>
                      <a:fillRect/>
                    </a:stretch>
                  </pic:blipFill>
                  <pic:spPr>
                    <a:xfrm>
                      <a:off x="0" y="0"/>
                      <a:ext cx="6400800" cy="1800225"/>
                    </a:xfrm>
                    <a:prstGeom prst="rect"/>
                  </pic:spPr>
                </pic:pic>
              </a:graphicData>
            </a:graphic>
          </wp:inline>
        </w:drawing>
      </w:r>
    </w:p>
    <w:p>
      <w:r>
        <w:rPr>
          <w:b/>
          <w:color w:val="07847E"/>
        </w:rPr>
        <w:t xml:space="preserve">PIPELINE CONTRACT  </w:t>
      </w:r>
      <w:r>
        <w:t>Each stage receives PipelineState and SessionContext, then returns the updated state. SequentialPipeline awaits stages in order. Exceptions and cancellation propagate; pipeline execution does not add a separate retry layer.</w:t>
      </w:r>
    </w:p>
    <w:p>
      <w:r>
        <w:br w:type="page"/>
      </w:r>
    </w:p>
    <w:p>
      <w:pPr>
        <w:pStyle w:val="Heading2"/>
      </w:pPr>
      <w:r>
        <w:t>Realtime execution flows</w:t>
      </w:r>
    </w:p>
    <w:p>
      <w:r>
        <w:t>Direct creates a short-lived translation session through the backend, then the browser negotiates WebRTC with the provider. Enhanced creates a streaming transcription session, commits the authoritative final transcript over the backend WebSocket, and coordinates streaming translation and speech.</w:t>
      </w:r>
    </w:p>
    <w:p>
      <w:r>
        <w:drawing>
          <wp:inline xmlns:a="http://schemas.openxmlformats.org/drawingml/2006/main" xmlns:pic="http://schemas.openxmlformats.org/drawingml/2006/picture">
            <wp:extent cx="6400800" cy="3120390"/>
            <wp:docPr id="3" name="Picture 3"/>
            <wp:cNvGraphicFramePr>
              <a:graphicFrameLocks noChangeAspect="1"/>
            </wp:cNvGraphicFramePr>
            <a:graphic>
              <a:graphicData uri="http://schemas.openxmlformats.org/drawingml/2006/picture">
                <pic:pic>
                  <pic:nvPicPr>
                    <pic:cNvPr id="0" name="realtime_EN.png"/>
                    <pic:cNvPicPr/>
                  </pic:nvPicPr>
                  <pic:blipFill>
                    <a:blip r:embed="rId15"/>
                    <a:stretch>
                      <a:fillRect/>
                    </a:stretch>
                  </pic:blipFill>
                  <pic:spPr>
                    <a:xfrm>
                      <a:off x="0" y="0"/>
                      <a:ext cx="6400800" cy="3120390"/>
                    </a:xfrm>
                    <a:prstGeom prst="rect"/>
                  </pic:spPr>
                </pic:pic>
              </a:graphicData>
            </a:graphic>
          </wp:inline>
        </w:drawing>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40"/>
        <w:gridCol w:w="3744"/>
        <w:gridCol w:w="4896"/>
      </w:tblGrid>
      <w:tr>
        <w:trPr>
          <w:cantSplit/>
          <w:tblHeader/>
        </w:trPr>
        <w:tc>
          <w:tcPr>
            <w:tcW w:type="dxa" w:w="1440"/>
            <w:vAlign w:val="center"/>
            <w:shd w:fill="19364D"/>
            <w:tcMar>
              <w:top w:w="90" w:type="dxa"/>
              <w:bottom w:w="90" w:type="dxa"/>
              <w:left w:w="90" w:type="dxa"/>
              <w:right w:w="90" w:type="dxa"/>
            </w:tcMar>
          </w:tcPr>
          <w:p>
            <w:pPr>
              <w:spacing w:after="60" w:line="240" w:lineRule="auto"/>
            </w:pPr>
            <w:r>
              <w:rPr>
                <w:b/>
                <w:color w:val="FFFFFF"/>
                <w:sz w:val="18"/>
              </w:rPr>
              <w:t>Mode</w:t>
            </w:r>
          </w:p>
        </w:tc>
        <w:tc>
          <w:tcPr>
            <w:tcW w:type="dxa" w:w="3744"/>
            <w:vAlign w:val="center"/>
            <w:shd w:fill="19364D"/>
            <w:tcMar>
              <w:top w:w="90" w:type="dxa"/>
              <w:bottom w:w="90" w:type="dxa"/>
              <w:left w:w="90" w:type="dxa"/>
              <w:right w:w="90" w:type="dxa"/>
            </w:tcMar>
          </w:tcPr>
          <w:p>
            <w:pPr>
              <w:spacing w:after="60" w:line="240" w:lineRule="auto"/>
            </w:pPr>
            <w:r>
              <w:rPr>
                <w:b/>
                <w:color w:val="FFFFFF"/>
                <w:sz w:val="18"/>
              </w:rPr>
              <w:t>Backend boundary</w:t>
            </w:r>
          </w:p>
        </w:tc>
        <w:tc>
          <w:tcPr>
            <w:tcW w:type="dxa" w:w="4896"/>
            <w:vAlign w:val="center"/>
            <w:shd w:fill="19364D"/>
            <w:tcMar>
              <w:top w:w="90" w:type="dxa"/>
              <w:bottom w:w="90" w:type="dxa"/>
              <w:left w:w="90" w:type="dxa"/>
              <w:right w:w="90" w:type="dxa"/>
            </w:tcMar>
          </w:tcPr>
          <w:p>
            <w:pPr>
              <w:spacing w:after="60" w:line="240" w:lineRule="auto"/>
            </w:pPr>
            <w:r>
              <w:rPr>
                <w:b/>
                <w:color w:val="FFFFFF"/>
                <w:sz w:val="18"/>
              </w:rPr>
              <w:t>Execution responsibility</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Standard</w:t>
            </w:r>
          </w:p>
        </w:tc>
        <w:tc>
          <w:tcPr>
            <w:tcW w:type="dxa" w:w="3744"/>
            <w:vAlign w:val="center"/>
            <w:shd w:fill="FFFFFF"/>
            <w:tcMar>
              <w:top w:w="90" w:type="dxa"/>
              <w:bottom w:w="90" w:type="dxa"/>
              <w:left w:w="90" w:type="dxa"/>
              <w:right w:w="90" w:type="dxa"/>
            </w:tcMar>
          </w:tcPr>
          <w:p>
            <w:pPr>
              <w:spacing w:after="60" w:line="240" w:lineRule="auto"/>
            </w:pPr>
            <w:r>
              <w:rPr>
                <w:b w:val="0"/>
                <w:color w:val="273444"/>
                <w:sz w:val="18"/>
              </w:rPr>
              <w:t>/api/text/interpret · /api/voice/interpret</w:t>
            </w:r>
          </w:p>
        </w:tc>
        <w:tc>
          <w:tcPr>
            <w:tcW w:type="dxa" w:w="4896"/>
            <w:vAlign w:val="center"/>
            <w:shd w:fill="FFFFFF"/>
            <w:tcMar>
              <w:top w:w="90" w:type="dxa"/>
              <w:bottom w:w="90" w:type="dxa"/>
              <w:left w:w="90" w:type="dxa"/>
              <w:right w:w="90" w:type="dxa"/>
            </w:tcMar>
          </w:tcPr>
          <w:p>
            <w:pPr>
              <w:spacing w:after="60" w:line="240" w:lineRule="auto"/>
            </w:pPr>
            <w:r>
              <w:rPr>
                <w:b w:val="0"/>
                <w:color w:val="273444"/>
                <w:sz w:val="18"/>
              </w:rPr>
              <w:t>Text/audio pipeline, context, translation, quality and speech.</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Direct</w:t>
            </w:r>
          </w:p>
        </w:tc>
        <w:tc>
          <w:tcPr>
            <w:tcW w:type="dxa" w:w="3744"/>
            <w:vAlign w:val="center"/>
            <w:shd w:fill="F3F6F9"/>
            <w:tcMar>
              <w:top w:w="90" w:type="dxa"/>
              <w:bottom w:w="90" w:type="dxa"/>
              <w:left w:w="90" w:type="dxa"/>
              <w:right w:w="90" w:type="dxa"/>
            </w:tcMar>
          </w:tcPr>
          <w:p>
            <w:pPr>
              <w:spacing w:after="60" w:line="240" w:lineRule="auto"/>
            </w:pPr>
            <w:r>
              <w:rPr>
                <w:b w:val="0"/>
                <w:color w:val="273444"/>
                <w:sz w:val="18"/>
              </w:rPr>
              <w:t>/api/realtime/translation/session</w:t>
            </w:r>
          </w:p>
        </w:tc>
        <w:tc>
          <w:tcPr>
            <w:tcW w:type="dxa" w:w="4896"/>
            <w:vAlign w:val="center"/>
            <w:shd w:fill="F3F6F9"/>
            <w:tcMar>
              <w:top w:w="90" w:type="dxa"/>
              <w:bottom w:w="90" w:type="dxa"/>
              <w:left w:w="90" w:type="dxa"/>
              <w:right w:w="90" w:type="dxa"/>
            </w:tcMar>
          </w:tcPr>
          <w:p>
            <w:pPr>
              <w:spacing w:after="60" w:line="240" w:lineRule="auto"/>
            </w:pPr>
            <w:r>
              <w:rPr>
                <w:b w:val="0"/>
                <w:color w:val="273444"/>
                <w:sz w:val="18"/>
              </w:rPr>
              <w:t>Create ephemeral credentials; live provider exchange is browser-side.</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Enhanced</w:t>
            </w:r>
          </w:p>
        </w:tc>
        <w:tc>
          <w:tcPr>
            <w:tcW w:type="dxa" w:w="3744"/>
            <w:vAlign w:val="center"/>
            <w:shd w:fill="FFFFFF"/>
            <w:tcMar>
              <w:top w:w="90" w:type="dxa"/>
              <w:bottom w:w="90" w:type="dxa"/>
              <w:left w:w="90" w:type="dxa"/>
              <w:right w:w="90" w:type="dxa"/>
            </w:tcMar>
          </w:tcPr>
          <w:p>
            <w:pPr>
              <w:spacing w:after="60" w:line="240" w:lineRule="auto"/>
            </w:pPr>
            <w:r>
              <w:rPr>
                <w:b w:val="0"/>
                <w:color w:val="273444"/>
                <w:sz w:val="18"/>
              </w:rPr>
              <w:t>/api/realtime/enhanced/session · /stream</w:t>
            </w:r>
          </w:p>
        </w:tc>
        <w:tc>
          <w:tcPr>
            <w:tcW w:type="dxa" w:w="4896"/>
            <w:vAlign w:val="center"/>
            <w:shd w:fill="FFFFFF"/>
            <w:tcMar>
              <w:top w:w="90" w:type="dxa"/>
              <w:bottom w:w="90" w:type="dxa"/>
              <w:left w:w="90" w:type="dxa"/>
              <w:right w:w="90" w:type="dxa"/>
            </w:tcMar>
          </w:tcPr>
          <w:p>
            <w:pPr>
              <w:spacing w:after="60" w:line="240" w:lineRule="auto"/>
            </w:pPr>
            <w:r>
              <w:rPr>
                <w:b w:val="0"/>
                <w:color w:val="273444"/>
                <w:sz w:val="18"/>
              </w:rPr>
              <w:t>Streaming STT session plus final commits, context, translation/TTS and cleanup.</w:t>
            </w:r>
          </w:p>
        </w:tc>
      </w:tr>
    </w:tbl>
    <w:p>
      <w:pPr>
        <w:spacing w:after="0"/>
      </w:pPr>
    </w:p>
    <w:p>
      <w:pPr>
        <w:pStyle w:val="Heading2"/>
      </w:pPr>
      <w:r>
        <w:t>Audio devices and conferencing</w:t>
      </w:r>
    </w:p>
    <w:p>
      <w:r>
        <w:t>AudioInputManager selects capture devices; AudioOutputManager routes each mode to the primary/conference output and an independent local monitor when supported by the browser. A virtual audio cable connects that output to the meeting application microphone. Inbound and Full Duplex remain experimental; the supported integration is outbound audio, not automatic meeting joining or a native Teams SDK.</w:t>
      </w:r>
    </w:p>
    <w:p>
      <w:r>
        <w:br w:type="page"/>
      </w:r>
    </w:p>
    <w:p>
      <w:pPr>
        <w:pStyle w:val="Heading1"/>
      </w:pPr>
      <w:r>
        <w:t>6. Framework extensibility model</w:t>
      </w:r>
    </w:p>
    <w:p>
      <w:r>
        <w:t>The v0.4 principle remains: add capabilities without changing generic routing or the orchestration core. v1.0 formalizes 24 public re-exports in app.framework, preserving the identity of the original classes. Importing the facade requires neither an API key nor application startup.</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44"/>
        <w:gridCol w:w="4320"/>
        <w:gridCol w:w="3816"/>
      </w:tblGrid>
      <w:tr>
        <w:trPr>
          <w:cantSplit/>
          <w:tblHeader/>
        </w:trPr>
        <w:tc>
          <w:tcPr>
            <w:tcW w:type="dxa" w:w="1944"/>
            <w:vAlign w:val="center"/>
            <w:shd w:fill="19364D"/>
            <w:tcMar>
              <w:top w:w="90" w:type="dxa"/>
              <w:bottom w:w="90" w:type="dxa"/>
              <w:left w:w="90" w:type="dxa"/>
              <w:right w:w="90" w:type="dxa"/>
            </w:tcMar>
          </w:tcPr>
          <w:p>
            <w:pPr>
              <w:spacing w:after="60" w:line="240" w:lineRule="auto"/>
            </w:pPr>
            <w:r>
              <w:rPr>
                <w:b/>
                <w:color w:val="FFFFFF"/>
                <w:sz w:val="18"/>
              </w:rPr>
              <w:t>Extension</w:t>
            </w:r>
          </w:p>
        </w:tc>
        <w:tc>
          <w:tcPr>
            <w:tcW w:type="dxa" w:w="4320"/>
            <w:vAlign w:val="center"/>
            <w:shd w:fill="19364D"/>
            <w:tcMar>
              <w:top w:w="90" w:type="dxa"/>
              <w:bottom w:w="90" w:type="dxa"/>
              <w:left w:w="90" w:type="dxa"/>
              <w:right w:w="90" w:type="dxa"/>
            </w:tcMar>
          </w:tcPr>
          <w:p>
            <w:pPr>
              <w:spacing w:after="60" w:line="240" w:lineRule="auto"/>
            </w:pPr>
            <w:r>
              <w:rPr>
                <w:b/>
                <w:color w:val="FFFFFF"/>
                <w:sz w:val="18"/>
              </w:rPr>
              <w:t>Required change</w:t>
            </w:r>
          </w:p>
        </w:tc>
        <w:tc>
          <w:tcPr>
            <w:tcW w:type="dxa" w:w="3816"/>
            <w:vAlign w:val="center"/>
            <w:shd w:fill="19364D"/>
            <w:tcMar>
              <w:top w:w="90" w:type="dxa"/>
              <w:bottom w:w="90" w:type="dxa"/>
              <w:left w:w="90" w:type="dxa"/>
              <w:right w:w="90" w:type="dxa"/>
            </w:tcMar>
          </w:tcPr>
          <w:p>
            <w:pPr>
              <w:spacing w:after="60" w:line="240" w:lineRule="auto"/>
            </w:pPr>
            <w:r>
              <w:rPr>
                <w:b/>
                <w:color w:val="FFFFFF"/>
                <w:sz w:val="18"/>
              </w:rPr>
              <w:t>Preserved boundary</w:t>
            </w:r>
          </w:p>
        </w:tc>
      </w:tr>
      <w:tr>
        <w:trPr>
          <w:cantSplit/>
        </w:trPr>
        <w:tc>
          <w:tcPr>
            <w:tcW w:type="dxa" w:w="1944"/>
            <w:vAlign w:val="center"/>
            <w:shd w:fill="FFFFFF"/>
            <w:tcMar>
              <w:top w:w="90" w:type="dxa"/>
              <w:bottom w:w="90" w:type="dxa"/>
              <w:left w:w="90" w:type="dxa"/>
              <w:right w:w="90" w:type="dxa"/>
            </w:tcMar>
          </w:tcPr>
          <w:p>
            <w:pPr>
              <w:spacing w:after="60" w:line="240" w:lineRule="auto"/>
            </w:pPr>
            <w:r>
              <w:rPr>
                <w:b w:val="0"/>
                <w:color w:val="273444"/>
                <w:sz w:val="18"/>
              </w:rPr>
              <w:t>New agent</w:t>
            </w:r>
          </w:p>
        </w:tc>
        <w:tc>
          <w:tcPr>
            <w:tcW w:type="dxa" w:w="4320"/>
            <w:vAlign w:val="center"/>
            <w:shd w:fill="FFFFFF"/>
            <w:tcMar>
              <w:top w:w="90" w:type="dxa"/>
              <w:bottom w:w="90" w:type="dxa"/>
              <w:left w:w="90" w:type="dxa"/>
              <w:right w:w="90" w:type="dxa"/>
            </w:tcMar>
          </w:tcPr>
          <w:p>
            <w:pPr>
              <w:spacing w:after="60" w:line="240" w:lineRule="auto"/>
            </w:pPr>
            <w:r>
              <w:rPr>
                <w:b w:val="0"/>
                <w:color w:val="273444"/>
                <w:sz w:val="18"/>
              </w:rPr>
              <w:t>BaseAgent + AgentRegistry</w:t>
            </w:r>
          </w:p>
        </w:tc>
        <w:tc>
          <w:tcPr>
            <w:tcW w:type="dxa" w:w="3816"/>
            <w:vAlign w:val="center"/>
            <w:shd w:fill="FFFFFF"/>
            <w:tcMar>
              <w:top w:w="90" w:type="dxa"/>
              <w:bottom w:w="90" w:type="dxa"/>
              <w:left w:w="90" w:type="dxa"/>
              <w:right w:w="90" w:type="dxa"/>
            </w:tcMar>
          </w:tcPr>
          <w:p>
            <w:pPr>
              <w:spacing w:after="60" w:line="240" w:lineRule="auto"/>
            </w:pPr>
            <w:r>
              <w:rPr>
                <w:b w:val="0"/>
                <w:color w:val="273444"/>
                <w:sz w:val="18"/>
              </w:rPr>
              <w:t>Generic API / AgentOrchestrator</w:t>
            </w:r>
          </w:p>
        </w:tc>
      </w:tr>
      <w:tr>
        <w:trPr>
          <w:cantSplit/>
        </w:trPr>
        <w:tc>
          <w:tcPr>
            <w:tcW w:type="dxa" w:w="1944"/>
            <w:vAlign w:val="center"/>
            <w:shd w:fill="F3F6F9"/>
            <w:tcMar>
              <w:top w:w="90" w:type="dxa"/>
              <w:bottom w:w="90" w:type="dxa"/>
              <w:left w:w="90" w:type="dxa"/>
              <w:right w:w="90" w:type="dxa"/>
            </w:tcMar>
          </w:tcPr>
          <w:p>
            <w:pPr>
              <w:spacing w:after="60" w:line="240" w:lineRule="auto"/>
            </w:pPr>
            <w:r>
              <w:rPr>
                <w:b w:val="0"/>
                <w:color w:val="273444"/>
                <w:sz w:val="18"/>
              </w:rPr>
              <w:t>New provider</w:t>
            </w:r>
          </w:p>
        </w:tc>
        <w:tc>
          <w:tcPr>
            <w:tcW w:type="dxa" w:w="4320"/>
            <w:vAlign w:val="center"/>
            <w:shd w:fill="F3F6F9"/>
            <w:tcMar>
              <w:top w:w="90" w:type="dxa"/>
              <w:bottom w:w="90" w:type="dxa"/>
              <w:left w:w="90" w:type="dxa"/>
              <w:right w:w="90" w:type="dxa"/>
            </w:tcMar>
          </w:tcPr>
          <w:p>
            <w:pPr>
              <w:spacing w:after="60" w:line="240" w:lineRule="auto"/>
            </w:pPr>
            <w:r>
              <w:rPr>
                <w:b w:val="0"/>
                <w:color w:val="273444"/>
                <w:sz w:val="18"/>
              </w:rPr>
              <w:t>Implement the capability protocol; register capability + name.</w:t>
            </w:r>
          </w:p>
        </w:tc>
        <w:tc>
          <w:tcPr>
            <w:tcW w:type="dxa" w:w="3816"/>
            <w:vAlign w:val="center"/>
            <w:shd w:fill="F3F6F9"/>
            <w:tcMar>
              <w:top w:w="90" w:type="dxa"/>
              <w:bottom w:w="90" w:type="dxa"/>
              <w:left w:w="90" w:type="dxa"/>
              <w:right w:w="90" w:type="dxa"/>
            </w:tcMar>
          </w:tcPr>
          <w:p>
            <w:pPr>
              <w:spacing w:after="60" w:line="240" w:lineRule="auto"/>
            </w:pPr>
            <w:r>
              <w:rPr>
                <w:b w:val="0"/>
                <w:color w:val="273444"/>
                <w:sz w:val="18"/>
              </w:rPr>
              <w:t>Skill / Agent / API</w:t>
            </w:r>
          </w:p>
        </w:tc>
      </w:tr>
      <w:tr>
        <w:trPr>
          <w:cantSplit/>
        </w:trPr>
        <w:tc>
          <w:tcPr>
            <w:tcW w:type="dxa" w:w="1944"/>
            <w:vAlign w:val="center"/>
            <w:shd w:fill="FFFFFF"/>
            <w:tcMar>
              <w:top w:w="90" w:type="dxa"/>
              <w:bottom w:w="90" w:type="dxa"/>
              <w:left w:w="90" w:type="dxa"/>
              <w:right w:w="90" w:type="dxa"/>
            </w:tcMar>
          </w:tcPr>
          <w:p>
            <w:pPr>
              <w:spacing w:after="60" w:line="240" w:lineRule="auto"/>
            </w:pPr>
            <w:r>
              <w:rPr>
                <w:b w:val="0"/>
                <w:color w:val="273444"/>
                <w:sz w:val="18"/>
              </w:rPr>
              <w:t>New pipeline</w:t>
            </w:r>
          </w:p>
        </w:tc>
        <w:tc>
          <w:tcPr>
            <w:tcW w:type="dxa" w:w="4320"/>
            <w:vAlign w:val="center"/>
            <w:shd w:fill="FFFFFF"/>
            <w:tcMar>
              <w:top w:w="90" w:type="dxa"/>
              <w:bottom w:w="90" w:type="dxa"/>
              <w:left w:w="90" w:type="dxa"/>
              <w:right w:w="90" w:type="dxa"/>
            </w:tcMar>
          </w:tcPr>
          <w:p>
            <w:pPr>
              <w:spacing w:after="60" w:line="240" w:lineRule="auto"/>
            </w:pPr>
            <w:r>
              <w:rPr>
                <w:b w:val="0"/>
                <w:color w:val="273444"/>
                <w:sz w:val="18"/>
              </w:rPr>
              <w:t>Compose stages; register the named pipeline.</w:t>
            </w:r>
          </w:p>
        </w:tc>
        <w:tc>
          <w:tcPr>
            <w:tcW w:type="dxa" w:w="3816"/>
            <w:vAlign w:val="center"/>
            <w:shd w:fill="FFFFFF"/>
            <w:tcMar>
              <w:top w:w="90" w:type="dxa"/>
              <w:bottom w:w="90" w:type="dxa"/>
              <w:left w:w="90" w:type="dxa"/>
              <w:right w:w="90" w:type="dxa"/>
            </w:tcMar>
          </w:tcPr>
          <w:p>
            <w:pPr>
              <w:spacing w:after="60" w:line="240" w:lineRule="auto"/>
            </w:pPr>
            <w:r>
              <w:rPr>
                <w:b w:val="0"/>
                <w:color w:val="273444"/>
                <w:sz w:val="18"/>
              </w:rPr>
              <w:t>SequentialPipeline</w:t>
            </w:r>
          </w:p>
        </w:tc>
      </w:tr>
      <w:tr>
        <w:trPr>
          <w:cantSplit/>
        </w:trPr>
        <w:tc>
          <w:tcPr>
            <w:tcW w:type="dxa" w:w="1944"/>
            <w:vAlign w:val="center"/>
            <w:shd w:fill="F3F6F9"/>
            <w:tcMar>
              <w:top w:w="90" w:type="dxa"/>
              <w:bottom w:w="90" w:type="dxa"/>
              <w:left w:w="90" w:type="dxa"/>
              <w:right w:w="90" w:type="dxa"/>
            </w:tcMar>
          </w:tcPr>
          <w:p>
            <w:pPr>
              <w:spacing w:after="60" w:line="240" w:lineRule="auto"/>
            </w:pPr>
            <w:r>
              <w:rPr>
                <w:b w:val="0"/>
                <w:color w:val="273444"/>
                <w:sz w:val="18"/>
              </w:rPr>
              <w:t>New stage</w:t>
            </w:r>
          </w:p>
        </w:tc>
        <w:tc>
          <w:tcPr>
            <w:tcW w:type="dxa" w:w="4320"/>
            <w:vAlign w:val="center"/>
            <w:shd w:fill="F3F6F9"/>
            <w:tcMar>
              <w:top w:w="90" w:type="dxa"/>
              <w:bottom w:w="90" w:type="dxa"/>
              <w:left w:w="90" w:type="dxa"/>
              <w:right w:w="90" w:type="dxa"/>
            </w:tcMar>
          </w:tcPr>
          <w:p>
            <w:pPr>
              <w:spacing w:after="60" w:line="240" w:lineRule="auto"/>
            </w:pPr>
            <w:r>
              <w:rPr>
                <w:b w:val="0"/>
                <w:color w:val="273444"/>
                <w:sz w:val="18"/>
              </w:rPr>
              <w:t>Implement PipelineStage; include it in a configured pipeline.</w:t>
            </w:r>
          </w:p>
        </w:tc>
        <w:tc>
          <w:tcPr>
            <w:tcW w:type="dxa" w:w="3816"/>
            <w:vAlign w:val="center"/>
            <w:shd w:fill="F3F6F9"/>
            <w:tcMar>
              <w:top w:w="90" w:type="dxa"/>
              <w:bottom w:w="90" w:type="dxa"/>
              <w:left w:w="90" w:type="dxa"/>
              <w:right w:w="90" w:type="dxa"/>
            </w:tcMar>
          </w:tcPr>
          <w:p>
            <w:pPr>
              <w:spacing w:after="60" w:line="240" w:lineRule="auto"/>
            </w:pPr>
            <w:r>
              <w:rPr>
                <w:b w:val="0"/>
                <w:color w:val="273444"/>
                <w:sz w:val="18"/>
              </w:rPr>
              <w:t>InterpreterAgent / API</w:t>
            </w:r>
          </w:p>
        </w:tc>
      </w:tr>
      <w:tr>
        <w:trPr>
          <w:cantSplit/>
        </w:trPr>
        <w:tc>
          <w:tcPr>
            <w:tcW w:type="dxa" w:w="1944"/>
            <w:vAlign w:val="center"/>
            <w:shd w:fill="FFFFFF"/>
            <w:tcMar>
              <w:top w:w="90" w:type="dxa"/>
              <w:bottom w:w="90" w:type="dxa"/>
              <w:left w:w="90" w:type="dxa"/>
              <w:right w:w="90" w:type="dxa"/>
            </w:tcMar>
          </w:tcPr>
          <w:p>
            <w:pPr>
              <w:spacing w:after="60" w:line="240" w:lineRule="auto"/>
            </w:pPr>
            <w:r>
              <w:rPr>
                <w:b w:val="0"/>
                <w:color w:val="273444"/>
                <w:sz w:val="18"/>
              </w:rPr>
              <w:t>New live adapter</w:t>
            </w:r>
          </w:p>
        </w:tc>
        <w:tc>
          <w:tcPr>
            <w:tcW w:type="dxa" w:w="4320"/>
            <w:vAlign w:val="center"/>
            <w:shd w:fill="FFFFFF"/>
            <w:tcMar>
              <w:top w:w="90" w:type="dxa"/>
              <w:bottom w:w="90" w:type="dxa"/>
              <w:left w:w="90" w:type="dxa"/>
              <w:right w:w="90" w:type="dxa"/>
            </w:tcMar>
          </w:tcPr>
          <w:p>
            <w:pPr>
              <w:spacing w:after="60" w:line="240" w:lineRule="auto"/>
            </w:pPr>
            <w:r>
              <w:rPr>
                <w:b w:val="0"/>
                <w:color w:val="273444"/>
                <w:sz w:val="18"/>
              </w:rPr>
              <w:t>Implement the corresponding realtime or streaming protocol.</w:t>
            </w:r>
          </w:p>
        </w:tc>
        <w:tc>
          <w:tcPr>
            <w:tcW w:type="dxa" w:w="3816"/>
            <w:vAlign w:val="center"/>
            <w:shd w:fill="FFFFFF"/>
            <w:tcMar>
              <w:top w:w="90" w:type="dxa"/>
              <w:bottom w:w="90" w:type="dxa"/>
              <w:left w:w="90" w:type="dxa"/>
              <w:right w:w="90" w:type="dxa"/>
            </w:tcMar>
          </w:tcPr>
          <w:p>
            <w:pPr>
              <w:spacing w:after="60" w:line="240" w:lineRule="auto"/>
            </w:pPr>
            <w:r>
              <w:rPr>
                <w:b w:val="0"/>
                <w:color w:val="273444"/>
                <w:sz w:val="18"/>
              </w:rPr>
              <w:t>Service/processor and documented wire contract.</w:t>
            </w:r>
          </w:p>
        </w:tc>
      </w:tr>
      <w:tr>
        <w:trPr>
          <w:cantSplit/>
        </w:trPr>
        <w:tc>
          <w:tcPr>
            <w:tcW w:type="dxa" w:w="1944"/>
            <w:vAlign w:val="center"/>
            <w:shd w:fill="F3F6F9"/>
            <w:tcMar>
              <w:top w:w="90" w:type="dxa"/>
              <w:bottom w:w="90" w:type="dxa"/>
              <w:left w:w="90" w:type="dxa"/>
              <w:right w:w="90" w:type="dxa"/>
            </w:tcMar>
          </w:tcPr>
          <w:p>
            <w:pPr>
              <w:spacing w:after="60" w:line="240" w:lineRule="auto"/>
            </w:pPr>
            <w:r>
              <w:rPr>
                <w:b w:val="0"/>
                <w:color w:val="273444"/>
                <w:sz w:val="18"/>
              </w:rPr>
              <w:t>Context/quality strategy</w:t>
            </w:r>
          </w:p>
        </w:tc>
        <w:tc>
          <w:tcPr>
            <w:tcW w:type="dxa" w:w="4320"/>
            <w:vAlign w:val="center"/>
            <w:shd w:fill="F3F6F9"/>
            <w:tcMar>
              <w:top w:w="90" w:type="dxa"/>
              <w:bottom w:w="90" w:type="dxa"/>
              <w:left w:w="90" w:type="dxa"/>
              <w:right w:w="90" w:type="dxa"/>
            </w:tcMar>
          </w:tcPr>
          <w:p>
            <w:pPr>
              <w:spacing w:after="60" w:line="240" w:lineRule="auto"/>
            </w:pPr>
            <w:r>
              <w:rPr>
                <w:b w:val="0"/>
                <w:color w:val="273444"/>
                <w:sz w:val="18"/>
              </w:rPr>
              <w:t>Replace the internal provider through composition.</w:t>
            </w:r>
          </w:p>
        </w:tc>
        <w:tc>
          <w:tcPr>
            <w:tcW w:type="dxa" w:w="3816"/>
            <w:vAlign w:val="center"/>
            <w:shd w:fill="F3F6F9"/>
            <w:tcMar>
              <w:top w:w="90" w:type="dxa"/>
              <w:bottom w:w="90" w:type="dxa"/>
              <w:left w:w="90" w:type="dxa"/>
              <w:right w:w="90" w:type="dxa"/>
            </w:tcMar>
          </w:tcPr>
          <w:p>
            <w:pPr>
              <w:spacing w:after="60" w:line="240" w:lineRule="auto"/>
            </w:pPr>
            <w:r>
              <w:rPr>
                <w:b w:val="0"/>
                <w:color w:val="273444"/>
                <w:sz w:val="18"/>
              </w:rPr>
              <w:t>Pipeline structure; subject to internal contract review.</w:t>
            </w:r>
          </w:p>
        </w:tc>
      </w:tr>
    </w:tbl>
    <w:p>
      <w:pPr>
        <w:spacing w:after="0"/>
      </w:pPr>
    </w:p>
    <w:p>
      <w:r>
        <w:rPr>
          <w:b/>
          <w:color w:val="07847E"/>
        </w:rPr>
        <w:t xml:space="preserve">PUBLIC SURFACE  </w:t>
      </w:r>
      <w:r>
        <w:t>The stable facade covers agents, tracing, pipelines, registries, standard/live provider protocols and live value models. ContextProvider, QualityProvider, concrete Skills, bootstrap internals and third-party persistence repositories are not exported as stable extension contracts.</w:t>
      </w:r>
    </w:p>
    <w:p>
      <w:r>
        <w:t>app.framework.testing provides opt-in, pytest-independent conformance checks. Samples verify async/iterator conventions, result types and cleanup, including stream closure on errors or cancellation. They do not certify provider accuracy. CI runs an external example against the installed wheel outside the checkout.</w:t>
      </w:r>
    </w:p>
    <w:p>
      <w:pPr>
        <w:pStyle w:val="Heading2"/>
      </w:pPr>
      <w:r>
        <w:t>7. Context and Quality as first class capabilities</w:t>
      </w:r>
    </w:p>
    <w:p>
      <w:pPr>
        <w:pStyle w:val="ListBullet"/>
      </w:pPr>
      <w:r>
        <w:t>Standard: PassthroughContextProvider preserves source text and metadata; TranslationStage prefers enriched_text when present.</w:t>
      </w:r>
    </w:p>
    <w:p>
      <w:pPr>
        <w:pStyle w:val="ListBullet"/>
      </w:pPr>
      <w:r>
        <w:t>DeterministicQualityProvider performs structural checks. Its accepted/score/issues metadata is observable; rejection does not create an implicit blocking policy.</w:t>
      </w:r>
    </w:p>
    <w:p>
      <w:pPr>
        <w:pStyle w:val="ListBullet"/>
      </w:pPr>
      <w:r>
        <w:t>Direct bypasses the standard Context/Quality chain. Enhanced uses terminology and the previous three final source segments as reference-only context, not text to translate again.</w:t>
      </w:r>
    </w:p>
    <w:p>
      <w:r>
        <w:br w:type="page"/>
      </w:r>
    </w:p>
    <w:p>
      <w:pPr>
        <w:pStyle w:val="Heading1"/>
      </w:pPr>
      <w:r>
        <w:t>8. Reliability and observability inheritance</w:t>
      </w:r>
    </w:p>
    <w:p>
      <w:r>
        <w:t>The framework retains centralized provider timeout/retry policies where supported, normalized failures and cancellation propagation. ExecutionTrace records stage duration and outcome. Direct and Enhanced remain separately observable; earlier v0.4.x latency samples are historical measurements, not new v1.0.1 benchmarks or SLAs.</w:t>
      </w:r>
    </w:p>
    <w:p>
      <w:pPr>
        <w:pStyle w:val="Heading2"/>
      </w:pPr>
      <w:r>
        <w:t>HTTP and streaming stability</w:t>
      </w:r>
    </w:p>
    <w:p>
      <w:pPr>
        <w:pStyle w:val="ListBullet"/>
      </w:pPr>
      <w:r>
        <w:t>Reviewed OpenAPI and Enhanced WebSocket snapshots are checked on Linux and Windows; only the release version is normalized in the OpenAPI snapshot.</w:t>
      </w:r>
    </w:p>
    <w:p>
      <w:pPr>
        <w:pStyle w:val="ListBullet"/>
      </w:pPr>
      <w:r>
        <w:t>HTTP failures expose structured code/message envelopes. Unexpected errors are sanitized. Generic agent success output remains operation-specific.</w:t>
      </w:r>
    </w:p>
    <w:p>
      <w:pPr>
        <w:pStyle w:val="ListBullet"/>
      </w:pPr>
      <w:r>
        <w:t>Enhanced separates receive monitoring from serial processing, bounds its queues and closes provider streams on disconnect/cancellation. Invalid recoverable events produce documented errors.</w:t>
      </w:r>
    </w:p>
    <w:p>
      <w:pPr>
        <w:pStyle w:val="Heading2"/>
      </w:pPr>
      <w:r>
        <w:t>Production observability</w:t>
      </w:r>
    </w:p>
    <w:p>
      <w:r>
        <w:t>Business events correlate request_id, session_id, execution_mode, provider, model, source_language, target_language, latency_ms, status and error_type when known. Metrics cover HTTP/agent/stage activity, provider failures and durations, active persisted sessions, session duration and cleanup. Available provider token usage and explicitly configured rates support partial cost estimates.</w:t>
      </w:r>
    </w:p>
    <w:p>
      <w:r>
        <w:rPr>
          <w:b/>
          <w:color w:val="07847E"/>
        </w:rPr>
        <w:t xml:space="preserve">DATA BOUNDARY  </w:t>
      </w:r>
      <w:r>
        <w:t>Logs exclude transcripts, translations, audio, prompts, credentials and raw exception content. Metrics avoid high-cardinality client/request/session labels. OpenTelemetry uses a separate optional SDK lock and configuration; the default runtime does not depend on it.</w:t>
      </w:r>
    </w:p>
    <w:p>
      <w:pPr>
        <w:pStyle w:val="Heading2"/>
      </w:pPr>
      <w:r>
        <w:t>Persistent sessions and security</w:t>
      </w:r>
    </w:p>
    <w:p>
      <w:r>
        <w:t>SQLite persists immutable owner_id, status, languages, mode, timestamps, metadata and ordered messages. X-Client-Id is strictly validated, but remains self-declared identity rather than authentication. Protected session access and interpretation using a persisted session enforce ownership and lifecycle. Legacy ownerless rows require deliberate offline assignment.</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456"/>
        <w:gridCol w:w="936"/>
        <w:gridCol w:w="5688"/>
      </w:tblGrid>
      <w:tr>
        <w:trPr>
          <w:cantSplit/>
          <w:tblHeader/>
        </w:trPr>
        <w:tc>
          <w:tcPr>
            <w:tcW w:type="dxa" w:w="3456"/>
            <w:vAlign w:val="center"/>
            <w:shd w:fill="19364D"/>
            <w:tcMar>
              <w:top w:w="90" w:type="dxa"/>
              <w:bottom w:w="90" w:type="dxa"/>
              <w:left w:w="90" w:type="dxa"/>
              <w:right w:w="90" w:type="dxa"/>
            </w:tcMar>
          </w:tcPr>
          <w:p>
            <w:pPr>
              <w:spacing w:after="60" w:line="240" w:lineRule="auto"/>
            </w:pPr>
            <w:r>
              <w:rPr>
                <w:b/>
                <w:color w:val="FFFFFF"/>
                <w:sz w:val="18"/>
              </w:rPr>
              <w:t>Condition</w:t>
            </w:r>
          </w:p>
        </w:tc>
        <w:tc>
          <w:tcPr>
            <w:tcW w:type="dxa" w:w="936"/>
            <w:vAlign w:val="center"/>
            <w:shd w:fill="19364D"/>
            <w:tcMar>
              <w:top w:w="90" w:type="dxa"/>
              <w:bottom w:w="90" w:type="dxa"/>
              <w:left w:w="90" w:type="dxa"/>
              <w:right w:w="90" w:type="dxa"/>
            </w:tcMar>
          </w:tcPr>
          <w:p>
            <w:pPr>
              <w:spacing w:after="60" w:line="240" w:lineRule="auto"/>
            </w:pPr>
            <w:r>
              <w:rPr>
                <w:b/>
                <w:color w:val="FFFFFF"/>
                <w:sz w:val="18"/>
              </w:rPr>
              <w:t>Response</w:t>
            </w:r>
          </w:p>
        </w:tc>
        <w:tc>
          <w:tcPr>
            <w:tcW w:type="dxa" w:w="5688"/>
            <w:vAlign w:val="center"/>
            <w:shd w:fill="19364D"/>
            <w:tcMar>
              <w:top w:w="90" w:type="dxa"/>
              <w:bottom w:w="90" w:type="dxa"/>
              <w:left w:w="90" w:type="dxa"/>
              <w:right w:w="90" w:type="dxa"/>
            </w:tcMar>
          </w:tcPr>
          <w:p>
            <w:pPr>
              <w:spacing w:after="60" w:line="240" w:lineRule="auto"/>
            </w:pPr>
            <w:r>
              <w:rPr>
                <w:b/>
                <w:color w:val="FFFFFF"/>
                <w:sz w:val="18"/>
              </w:rPr>
              <w:t>Meaning</w:t>
            </w:r>
          </w:p>
        </w:tc>
      </w:tr>
      <w:tr>
        <w:trPr>
          <w:cantSplit/>
        </w:trPr>
        <w:tc>
          <w:tcPr>
            <w:tcW w:type="dxa" w:w="3456"/>
            <w:vAlign w:val="center"/>
            <w:shd w:fill="FFFFFF"/>
            <w:tcMar>
              <w:top w:w="90" w:type="dxa"/>
              <w:bottom w:w="90" w:type="dxa"/>
              <w:left w:w="90" w:type="dxa"/>
              <w:right w:w="90" w:type="dxa"/>
            </w:tcMar>
          </w:tcPr>
          <w:p>
            <w:pPr>
              <w:spacing w:after="60" w:line="240" w:lineRule="auto"/>
            </w:pPr>
            <w:r>
              <w:rPr>
                <w:b w:val="0"/>
                <w:color w:val="273444"/>
                <w:sz w:val="18"/>
              </w:rPr>
              <w:t>Missing/invalid identity</w:t>
            </w:r>
          </w:p>
        </w:tc>
        <w:tc>
          <w:tcPr>
            <w:tcW w:type="dxa" w:w="936"/>
            <w:vAlign w:val="center"/>
            <w:shd w:fill="FFFFFF"/>
            <w:tcMar>
              <w:top w:w="90" w:type="dxa"/>
              <w:bottom w:w="90" w:type="dxa"/>
              <w:left w:w="90" w:type="dxa"/>
              <w:right w:w="90" w:type="dxa"/>
            </w:tcMar>
          </w:tcPr>
          <w:p>
            <w:pPr>
              <w:spacing w:after="60" w:line="240" w:lineRule="auto"/>
            </w:pPr>
            <w:r>
              <w:rPr>
                <w:b w:val="0"/>
                <w:color w:val="273444"/>
                <w:sz w:val="18"/>
              </w:rPr>
              <w:t>401</w:t>
            </w:r>
          </w:p>
        </w:tc>
        <w:tc>
          <w:tcPr>
            <w:tcW w:type="dxa" w:w="5688"/>
            <w:vAlign w:val="center"/>
            <w:shd w:fill="FFFFFF"/>
            <w:tcMar>
              <w:top w:w="90" w:type="dxa"/>
              <w:bottom w:w="90" w:type="dxa"/>
              <w:left w:w="90" w:type="dxa"/>
              <w:right w:w="90" w:type="dxa"/>
            </w:tcMar>
          </w:tcPr>
          <w:p>
            <w:pPr>
              <w:spacing w:after="60" w:line="240" w:lineRule="auto"/>
            </w:pPr>
            <w:r>
              <w:rPr>
                <w:b w:val="0"/>
                <w:color w:val="273444"/>
                <w:sz w:val="18"/>
              </w:rPr>
              <w:t>A valid client header is required.</w:t>
            </w:r>
          </w:p>
        </w:tc>
      </w:tr>
      <w:tr>
        <w:trPr>
          <w:cantSplit/>
        </w:trPr>
        <w:tc>
          <w:tcPr>
            <w:tcW w:type="dxa" w:w="3456"/>
            <w:vAlign w:val="center"/>
            <w:shd w:fill="F3F6F9"/>
            <w:tcMar>
              <w:top w:w="90" w:type="dxa"/>
              <w:bottom w:w="90" w:type="dxa"/>
              <w:left w:w="90" w:type="dxa"/>
              <w:right w:w="90" w:type="dxa"/>
            </w:tcMar>
          </w:tcPr>
          <w:p>
            <w:pPr>
              <w:spacing w:after="60" w:line="240" w:lineRule="auto"/>
            </w:pPr>
            <w:r>
              <w:rPr>
                <w:b w:val="0"/>
                <w:color w:val="273444"/>
                <w:sz w:val="18"/>
              </w:rPr>
              <w:t>Foreign owner</w:t>
            </w:r>
          </w:p>
        </w:tc>
        <w:tc>
          <w:tcPr>
            <w:tcW w:type="dxa" w:w="936"/>
            <w:vAlign w:val="center"/>
            <w:shd w:fill="F3F6F9"/>
            <w:tcMar>
              <w:top w:w="90" w:type="dxa"/>
              <w:bottom w:w="90" w:type="dxa"/>
              <w:left w:w="90" w:type="dxa"/>
              <w:right w:w="90" w:type="dxa"/>
            </w:tcMar>
          </w:tcPr>
          <w:p>
            <w:pPr>
              <w:spacing w:after="60" w:line="240" w:lineRule="auto"/>
            </w:pPr>
            <w:r>
              <w:rPr>
                <w:b w:val="0"/>
                <w:color w:val="273444"/>
                <w:sz w:val="18"/>
              </w:rPr>
              <w:t>403</w:t>
            </w:r>
          </w:p>
        </w:tc>
        <w:tc>
          <w:tcPr>
            <w:tcW w:type="dxa" w:w="5688"/>
            <w:vAlign w:val="center"/>
            <w:shd w:fill="F3F6F9"/>
            <w:tcMar>
              <w:top w:w="90" w:type="dxa"/>
              <w:bottom w:w="90" w:type="dxa"/>
              <w:left w:w="90" w:type="dxa"/>
              <w:right w:w="90" w:type="dxa"/>
            </w:tcMar>
          </w:tcPr>
          <w:p>
            <w:pPr>
              <w:spacing w:after="60" w:line="240" w:lineRule="auto"/>
            </w:pPr>
            <w:r>
              <w:rPr>
                <w:b w:val="0"/>
                <w:color w:val="273444"/>
                <w:sz w:val="18"/>
              </w:rPr>
              <w:t>The persisted conversation belongs to another client.</w:t>
            </w:r>
          </w:p>
        </w:tc>
      </w:tr>
      <w:tr>
        <w:trPr>
          <w:cantSplit/>
        </w:trPr>
        <w:tc>
          <w:tcPr>
            <w:tcW w:type="dxa" w:w="3456"/>
            <w:vAlign w:val="center"/>
            <w:shd w:fill="FFFFFF"/>
            <w:tcMar>
              <w:top w:w="90" w:type="dxa"/>
              <w:bottom w:w="90" w:type="dxa"/>
              <w:left w:w="90" w:type="dxa"/>
              <w:right w:w="90" w:type="dxa"/>
            </w:tcMar>
          </w:tcPr>
          <w:p>
            <w:pPr>
              <w:spacing w:after="60" w:line="240" w:lineRule="auto"/>
            </w:pPr>
            <w:r>
              <w:rPr>
                <w:b w:val="0"/>
                <w:color w:val="273444"/>
                <w:sz w:val="18"/>
              </w:rPr>
              <w:t>Missing session</w:t>
            </w:r>
          </w:p>
        </w:tc>
        <w:tc>
          <w:tcPr>
            <w:tcW w:type="dxa" w:w="936"/>
            <w:vAlign w:val="center"/>
            <w:shd w:fill="FFFFFF"/>
            <w:tcMar>
              <w:top w:w="90" w:type="dxa"/>
              <w:bottom w:w="90" w:type="dxa"/>
              <w:left w:w="90" w:type="dxa"/>
              <w:right w:w="90" w:type="dxa"/>
            </w:tcMar>
          </w:tcPr>
          <w:p>
            <w:pPr>
              <w:spacing w:after="60" w:line="240" w:lineRule="auto"/>
            </w:pPr>
            <w:r>
              <w:rPr>
                <w:b w:val="0"/>
                <w:color w:val="273444"/>
                <w:sz w:val="18"/>
              </w:rPr>
              <w:t>404</w:t>
            </w:r>
          </w:p>
        </w:tc>
        <w:tc>
          <w:tcPr>
            <w:tcW w:type="dxa" w:w="5688"/>
            <w:vAlign w:val="center"/>
            <w:shd w:fill="FFFFFF"/>
            <w:tcMar>
              <w:top w:w="90" w:type="dxa"/>
              <w:bottom w:w="90" w:type="dxa"/>
              <w:left w:w="90" w:type="dxa"/>
              <w:right w:w="90" w:type="dxa"/>
            </w:tcMar>
          </w:tcPr>
          <w:p>
            <w:pPr>
              <w:spacing w:after="60" w:line="240" w:lineRule="auto"/>
            </w:pPr>
            <w:r>
              <w:rPr>
                <w:b w:val="0"/>
                <w:color w:val="273444"/>
                <w:sz w:val="18"/>
              </w:rPr>
              <w:t>Strict persisted lookup cannot find the session.</w:t>
            </w:r>
          </w:p>
        </w:tc>
      </w:tr>
      <w:tr>
        <w:trPr>
          <w:cantSplit/>
        </w:trPr>
        <w:tc>
          <w:tcPr>
            <w:tcW w:type="dxa" w:w="3456"/>
            <w:vAlign w:val="center"/>
            <w:shd w:fill="F3F6F9"/>
            <w:tcMar>
              <w:top w:w="90" w:type="dxa"/>
              <w:bottom w:w="90" w:type="dxa"/>
              <w:left w:w="90" w:type="dxa"/>
              <w:right w:w="90" w:type="dxa"/>
            </w:tcMar>
          </w:tcPr>
          <w:p>
            <w:pPr>
              <w:spacing w:after="60" w:line="240" w:lineRule="auto"/>
            </w:pPr>
            <w:r>
              <w:rPr>
                <w:b w:val="0"/>
                <w:color w:val="273444"/>
                <w:sz w:val="18"/>
              </w:rPr>
              <w:t>Closed session operation</w:t>
            </w:r>
          </w:p>
        </w:tc>
        <w:tc>
          <w:tcPr>
            <w:tcW w:type="dxa" w:w="936"/>
            <w:vAlign w:val="center"/>
            <w:shd w:fill="F3F6F9"/>
            <w:tcMar>
              <w:top w:w="90" w:type="dxa"/>
              <w:bottom w:w="90" w:type="dxa"/>
              <w:left w:w="90" w:type="dxa"/>
              <w:right w:w="90" w:type="dxa"/>
            </w:tcMar>
          </w:tcPr>
          <w:p>
            <w:pPr>
              <w:spacing w:after="60" w:line="240" w:lineRule="auto"/>
            </w:pPr>
            <w:r>
              <w:rPr>
                <w:b w:val="0"/>
                <w:color w:val="273444"/>
                <w:sz w:val="18"/>
              </w:rPr>
              <w:t>409</w:t>
            </w:r>
          </w:p>
        </w:tc>
        <w:tc>
          <w:tcPr>
            <w:tcW w:type="dxa" w:w="5688"/>
            <w:vAlign w:val="center"/>
            <w:shd w:fill="F3F6F9"/>
            <w:tcMar>
              <w:top w:w="90" w:type="dxa"/>
              <w:bottom w:w="90" w:type="dxa"/>
              <w:left w:w="90" w:type="dxa"/>
              <w:right w:w="90" w:type="dxa"/>
            </w:tcMar>
          </w:tcPr>
          <w:p>
            <w:pPr>
              <w:spacing w:after="60" w:line="240" w:lineRule="auto"/>
            </w:pPr>
            <w:r>
              <w:rPr>
                <w:b w:val="0"/>
                <w:color w:val="273444"/>
                <w:sz w:val="18"/>
              </w:rPr>
              <w:t>An operation requiring active state is rejected.</w:t>
            </w:r>
          </w:p>
        </w:tc>
      </w:tr>
    </w:tbl>
    <w:p>
      <w:pPr>
        <w:spacing w:after="0"/>
      </w:pPr>
    </w:p>
    <w:p>
      <w:r>
        <w:br w:type="page"/>
      </w:r>
    </w:p>
    <w:p>
      <w:pPr>
        <w:pStyle w:val="Heading2"/>
      </w:pPr>
      <w:r>
        <w:t>Production configuration and packaging</w:t>
      </w:r>
    </w:p>
    <w:p>
      <w:r>
        <w:t>Typed settings distinguish development, test and production. Backend and UI use separate hashed dependency locks. Source becomes a Python wheel, then a pinned-base container image running as non-root UID/GID 10001 with a persistent writable data volume. /health/live measures process liveness; /health/ready checks startup/local storage readiness, not provider availability.</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16"/>
        <w:gridCol w:w="3744"/>
        <w:gridCol w:w="4320"/>
      </w:tblGrid>
      <w:tr>
        <w:trPr>
          <w:cantSplit/>
          <w:tblHeader/>
        </w:trPr>
        <w:tc>
          <w:tcPr>
            <w:tcW w:type="dxa" w:w="2016"/>
            <w:vAlign w:val="center"/>
            <w:shd w:fill="19364D"/>
            <w:tcMar>
              <w:top w:w="90" w:type="dxa"/>
              <w:bottom w:w="90" w:type="dxa"/>
              <w:left w:w="90" w:type="dxa"/>
              <w:right w:w="90" w:type="dxa"/>
            </w:tcMar>
          </w:tcPr>
          <w:p>
            <w:pPr>
              <w:spacing w:after="60" w:line="240" w:lineRule="auto"/>
            </w:pPr>
            <w:r>
              <w:rPr>
                <w:b/>
                <w:color w:val="FFFFFF"/>
                <w:sz w:val="18"/>
              </w:rPr>
              <w:t>Component</w:t>
            </w:r>
          </w:p>
        </w:tc>
        <w:tc>
          <w:tcPr>
            <w:tcW w:type="dxa" w:w="3744"/>
            <w:vAlign w:val="center"/>
            <w:shd w:fill="19364D"/>
            <w:tcMar>
              <w:top w:w="90" w:type="dxa"/>
              <w:bottom w:w="90" w:type="dxa"/>
              <w:left w:w="90" w:type="dxa"/>
              <w:right w:w="90" w:type="dxa"/>
            </w:tcMar>
          </w:tcPr>
          <w:p>
            <w:pPr>
              <w:spacing w:after="60" w:line="240" w:lineRule="auto"/>
            </w:pPr>
            <w:r>
              <w:rPr>
                <w:b/>
                <w:color w:val="FFFFFF"/>
                <w:sz w:val="18"/>
              </w:rPr>
              <w:t>Supported profile</w:t>
            </w:r>
          </w:p>
        </w:tc>
        <w:tc>
          <w:tcPr>
            <w:tcW w:type="dxa" w:w="4320"/>
            <w:vAlign w:val="center"/>
            <w:shd w:fill="19364D"/>
            <w:tcMar>
              <w:top w:w="90" w:type="dxa"/>
              <w:bottom w:w="90" w:type="dxa"/>
              <w:left w:w="90" w:type="dxa"/>
              <w:right w:w="90" w:type="dxa"/>
            </w:tcMar>
          </w:tcPr>
          <w:p>
            <w:pPr>
              <w:spacing w:after="60" w:line="240" w:lineRule="auto"/>
            </w:pPr>
            <w:r>
              <w:rPr>
                <w:b/>
                <w:color w:val="FFFFFF"/>
                <w:sz w:val="18"/>
              </w:rPr>
              <w:t>Evidence gate</w:t>
            </w:r>
          </w:p>
        </w:tc>
      </w:tr>
      <w:tr>
        <w:trPr>
          <w:cantSplit/>
        </w:trPr>
        <w:tc>
          <w:tcPr>
            <w:tcW w:type="dxa" w:w="2016"/>
            <w:vAlign w:val="center"/>
            <w:shd w:fill="FFFFFF"/>
            <w:tcMar>
              <w:top w:w="90" w:type="dxa"/>
              <w:bottom w:w="90" w:type="dxa"/>
              <w:left w:w="90" w:type="dxa"/>
              <w:right w:w="90" w:type="dxa"/>
            </w:tcMar>
          </w:tcPr>
          <w:p>
            <w:pPr>
              <w:spacing w:after="60" w:line="240" w:lineRule="auto"/>
            </w:pPr>
            <w:r>
              <w:rPr>
                <w:b w:val="0"/>
                <w:color w:val="273444"/>
                <w:sz w:val="18"/>
              </w:rPr>
              <w:t>Backend / UI</w:t>
            </w:r>
          </w:p>
        </w:tc>
        <w:tc>
          <w:tcPr>
            <w:tcW w:type="dxa" w:w="3744"/>
            <w:vAlign w:val="center"/>
            <w:shd w:fill="FFFFFF"/>
            <w:tcMar>
              <w:top w:w="90" w:type="dxa"/>
              <w:bottom w:w="90" w:type="dxa"/>
              <w:left w:w="90" w:type="dxa"/>
              <w:right w:w="90" w:type="dxa"/>
            </w:tcMar>
          </w:tcPr>
          <w:p>
            <w:pPr>
              <w:spacing w:after="60" w:line="240" w:lineRule="auto"/>
            </w:pPr>
            <w:r>
              <w:rPr>
                <w:b w:val="0"/>
                <w:color w:val="273444"/>
                <w:sz w:val="18"/>
              </w:rPr>
              <w:t>CPython 3.12 · Linux/Windows x64</w:t>
            </w:r>
          </w:p>
        </w:tc>
        <w:tc>
          <w:tcPr>
            <w:tcW w:type="dxa" w:w="4320"/>
            <w:vAlign w:val="center"/>
            <w:shd w:fill="FFFFFF"/>
            <w:tcMar>
              <w:top w:w="90" w:type="dxa"/>
              <w:bottom w:w="90" w:type="dxa"/>
              <w:left w:w="90" w:type="dxa"/>
              <w:right w:w="90" w:type="dxa"/>
            </w:tcMar>
          </w:tcPr>
          <w:p>
            <w:pPr>
              <w:spacing w:after="60" w:line="240" w:lineRule="auto"/>
            </w:pPr>
            <w:r>
              <w:rPr>
                <w:b w:val="0"/>
                <w:color w:val="273444"/>
                <w:sz w:val="18"/>
              </w:rPr>
              <w:t>Clean independent locks; regressions and UI render checks.</w:t>
            </w:r>
          </w:p>
        </w:tc>
      </w:tr>
      <w:tr>
        <w:trPr>
          <w:cantSplit/>
        </w:trPr>
        <w:tc>
          <w:tcPr>
            <w:tcW w:type="dxa" w:w="2016"/>
            <w:vAlign w:val="center"/>
            <w:shd w:fill="F3F6F9"/>
            <w:tcMar>
              <w:top w:w="90" w:type="dxa"/>
              <w:bottom w:w="90" w:type="dxa"/>
              <w:left w:w="90" w:type="dxa"/>
              <w:right w:w="90" w:type="dxa"/>
            </w:tcMar>
          </w:tcPr>
          <w:p>
            <w:pPr>
              <w:spacing w:after="60" w:line="240" w:lineRule="auto"/>
            </w:pPr>
            <w:r>
              <w:rPr>
                <w:b w:val="0"/>
                <w:color w:val="273444"/>
                <w:sz w:val="18"/>
              </w:rPr>
              <w:t>Containers</w:t>
            </w:r>
          </w:p>
        </w:tc>
        <w:tc>
          <w:tcPr>
            <w:tcW w:type="dxa" w:w="3744"/>
            <w:vAlign w:val="center"/>
            <w:shd w:fill="F3F6F9"/>
            <w:tcMar>
              <w:top w:w="90" w:type="dxa"/>
              <w:bottom w:w="90" w:type="dxa"/>
              <w:left w:w="90" w:type="dxa"/>
              <w:right w:w="90" w:type="dxa"/>
            </w:tcMar>
          </w:tcPr>
          <w:p>
            <w:pPr>
              <w:spacing w:after="60" w:line="240" w:lineRule="auto"/>
            </w:pPr>
            <w:r>
              <w:rPr>
                <w:b w:val="0"/>
                <w:color w:val="273444"/>
                <w:sz w:val="18"/>
              </w:rPr>
              <w:t>Linux amd64 · 1 backend worker</w:t>
            </w:r>
          </w:p>
        </w:tc>
        <w:tc>
          <w:tcPr>
            <w:tcW w:type="dxa" w:w="4320"/>
            <w:vAlign w:val="center"/>
            <w:shd w:fill="F3F6F9"/>
            <w:tcMar>
              <w:top w:w="90" w:type="dxa"/>
              <w:bottom w:w="90" w:type="dxa"/>
              <w:left w:w="90" w:type="dxa"/>
              <w:right w:w="90" w:type="dxa"/>
            </w:tcMar>
          </w:tcPr>
          <w:p>
            <w:pPr>
              <w:spacing w:after="60" w:line="240" w:lineRule="auto"/>
            </w:pPr>
            <w:r>
              <w:rPr>
                <w:b w:val="0"/>
                <w:color w:val="273444"/>
                <w:sz w:val="18"/>
              </w:rPr>
              <w:t>Wheel installation, health, UID and restart smoke.</w:t>
            </w:r>
          </w:p>
        </w:tc>
      </w:tr>
      <w:tr>
        <w:trPr>
          <w:cantSplit/>
        </w:trPr>
        <w:tc>
          <w:tcPr>
            <w:tcW w:type="dxa" w:w="2016"/>
            <w:vAlign w:val="center"/>
            <w:shd w:fill="FFFFFF"/>
            <w:tcMar>
              <w:top w:w="90" w:type="dxa"/>
              <w:bottom w:w="90" w:type="dxa"/>
              <w:left w:w="90" w:type="dxa"/>
              <w:right w:w="90" w:type="dxa"/>
            </w:tcMar>
          </w:tcPr>
          <w:p>
            <w:pPr>
              <w:spacing w:after="60" w:line="240" w:lineRule="auto"/>
            </w:pPr>
            <w:r>
              <w:rPr>
                <w:b w:val="0"/>
                <w:color w:val="273444"/>
                <w:sz w:val="18"/>
              </w:rPr>
              <w:t>Persistence</w:t>
            </w:r>
          </w:p>
        </w:tc>
        <w:tc>
          <w:tcPr>
            <w:tcW w:type="dxa" w:w="3744"/>
            <w:vAlign w:val="center"/>
            <w:shd w:fill="FFFFFF"/>
            <w:tcMar>
              <w:top w:w="90" w:type="dxa"/>
              <w:bottom w:w="90" w:type="dxa"/>
              <w:left w:w="90" w:type="dxa"/>
              <w:right w:w="90" w:type="dxa"/>
            </w:tcMar>
          </w:tcPr>
          <w:p>
            <w:pPr>
              <w:spacing w:after="60" w:line="240" w:lineRule="auto"/>
            </w:pPr>
            <w:r>
              <w:rPr>
                <w:b w:val="0"/>
                <w:color w:val="273444"/>
                <w:sz w:val="18"/>
              </w:rPr>
              <w:t>SQLite schema 2 · WAL</w:t>
            </w:r>
          </w:p>
        </w:tc>
        <w:tc>
          <w:tcPr>
            <w:tcW w:type="dxa" w:w="4320"/>
            <w:vAlign w:val="center"/>
            <w:shd w:fill="FFFFFF"/>
            <w:tcMar>
              <w:top w:w="90" w:type="dxa"/>
              <w:bottom w:w="90" w:type="dxa"/>
              <w:left w:w="90" w:type="dxa"/>
              <w:right w:w="90" w:type="dxa"/>
            </w:tcMar>
          </w:tcPr>
          <w:p>
            <w:pPr>
              <w:spacing w:after="60" w:line="240" w:lineRule="auto"/>
            </w:pPr>
            <w:r>
              <w:rPr>
                <w:b w:val="0"/>
                <w:color w:val="273444"/>
                <w:sz w:val="18"/>
              </w:rPr>
              <w:t>Frozen v0.5 fixtures, integrity, WAL backup and reopen.</w:t>
            </w:r>
          </w:p>
        </w:tc>
      </w:tr>
      <w:tr>
        <w:trPr>
          <w:cantSplit/>
        </w:trPr>
        <w:tc>
          <w:tcPr>
            <w:tcW w:type="dxa" w:w="2016"/>
            <w:vAlign w:val="center"/>
            <w:shd w:fill="F3F6F9"/>
            <w:tcMar>
              <w:top w:w="90" w:type="dxa"/>
              <w:bottom w:w="90" w:type="dxa"/>
              <w:left w:w="90" w:type="dxa"/>
              <w:right w:w="90" w:type="dxa"/>
            </w:tcMar>
          </w:tcPr>
          <w:p>
            <w:pPr>
              <w:spacing w:after="60" w:line="240" w:lineRule="auto"/>
            </w:pPr>
            <w:r>
              <w:rPr>
                <w:b w:val="0"/>
                <w:color w:val="273444"/>
                <w:sz w:val="18"/>
              </w:rPr>
              <w:t>JavaScript checks</w:t>
            </w:r>
          </w:p>
        </w:tc>
        <w:tc>
          <w:tcPr>
            <w:tcW w:type="dxa" w:w="3744"/>
            <w:vAlign w:val="center"/>
            <w:shd w:fill="F3F6F9"/>
            <w:tcMar>
              <w:top w:w="90" w:type="dxa"/>
              <w:bottom w:w="90" w:type="dxa"/>
              <w:left w:w="90" w:type="dxa"/>
              <w:right w:w="90" w:type="dxa"/>
            </w:tcMar>
          </w:tcPr>
          <w:p>
            <w:pPr>
              <w:spacing w:after="60" w:line="240" w:lineRule="auto"/>
            </w:pPr>
            <w:r>
              <w:rPr>
                <w:b w:val="0"/>
                <w:color w:val="273444"/>
                <w:sz w:val="18"/>
              </w:rPr>
              <w:t>Node 22</w:t>
            </w:r>
          </w:p>
        </w:tc>
        <w:tc>
          <w:tcPr>
            <w:tcW w:type="dxa" w:w="4320"/>
            <w:vAlign w:val="center"/>
            <w:shd w:fill="F3F6F9"/>
            <w:tcMar>
              <w:top w:w="90" w:type="dxa"/>
              <w:bottom w:w="90" w:type="dxa"/>
              <w:left w:w="90" w:type="dxa"/>
              <w:right w:w="90" w:type="dxa"/>
            </w:tcMar>
          </w:tcPr>
          <w:p>
            <w:pPr>
              <w:spacing w:after="60" w:line="240" w:lineRule="auto"/>
            </w:pPr>
            <w:r>
              <w:rPr>
                <w:b w:val="0"/>
                <w:color w:val="273444"/>
                <w:sz w:val="18"/>
              </w:rPr>
              <w:t>Syntax/render CI; not an application runtime dependency.</w:t>
            </w:r>
          </w:p>
        </w:tc>
      </w:tr>
    </w:tbl>
    <w:p>
      <w:pPr>
        <w:spacing w:after="0"/>
      </w:pPr>
    </w:p>
    <w:p>
      <w:r>
        <w:t>Native macOS, ARM64 images, other Python minors and multiple backend workers/replicas are outside this validated profile. Windows Docker Desktop hosts the Linux artifact; it does not imply a native Windows container image.</w:t>
      </w:r>
    </w:p>
    <w:p>
      <w:pPr>
        <w:pStyle w:val="Heading2"/>
      </w:pPr>
      <w:r>
        <w:t>Upgrade and restart guarantees</w:t>
      </w:r>
    </w:p>
    <w:p>
      <w:r>
        <w:t>Upgrading v0.5.0 to the stable baseline keeps schema 2 and preserves stored identifiers, owners and ordered history. Initialization is idempotent and refuses future schemas before modifying them. The installed waaxalma-session-database utility inspects existing storage read-only and creates a new WAL-consistent SQLite backup without exposing conversation content.</w:t>
      </w:r>
    </w:p>
    <w:p>
      <w:pPr>
        <w:pStyle w:val="ListBullet"/>
      </w:pPr>
      <w:r>
        <w:t>Persisted active conversations remain active after restart. WebRTC/WebSocket connections, pending audio and transcript buffers must be recreated.</w:t>
      </w:r>
    </w:p>
    <w:p>
      <w:pPr>
        <w:pStyle w:val="ListBullet"/>
      </w:pPr>
      <w:r>
        <w:t>Closed-session cleanup is opt-in, with a configurable 30-day default. Active sessions are excluded; audio/file/log retention needs separate policies.</w:t>
      </w:r>
    </w:p>
    <w:p>
      <w:pPr>
        <w:pStyle w:val="ListBullet"/>
      </w:pPr>
      <w:r>
        <w:t>Default shutdown budgets are 15 seconds for Uvicorn draining and 30 seconds for Docker stop grace. Keep volume/configuration and previous artifacts for rollback.</w:t>
      </w:r>
    </w:p>
    <w:p>
      <w:pPr>
        <w:pStyle w:val="Heading2"/>
      </w:pPr>
      <w:r>
        <w:t>Portable quality gates</w:t>
      </w:r>
    </w:p>
    <w:p>
      <w:r>
        <w:t>Pull requests run static checks, clean Windows/Linux tests, optional telemetry tests, isolated wheel installation, container build and smoke/restart checks. Verified wheel/images receive streamed SHA256 checksums. CI artifacts have 14-day retention; publication and cloud deployment remain separate actions.</w:t>
      </w:r>
    </w:p>
    <w:p>
      <w:r>
        <w:br w:type="page"/>
      </w:r>
    </w:p>
    <w:p>
      <w:pPr>
        <w:pStyle w:val="Heading1"/>
      </w:pPr>
      <w:r>
        <w:t>9. Technical roadmap</w:t>
      </w:r>
    </w:p>
    <w:p>
      <w:r>
        <w:t>The roadmap retains the v0.4 progression and records the later delivered milestones. v1.0.1 aligns the documentation with that architecture; it does not add another execution mode or widen the stable contract.</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76"/>
        <w:gridCol w:w="1728"/>
        <w:gridCol w:w="5976"/>
      </w:tblGrid>
      <w:tr>
        <w:trPr>
          <w:cantSplit/>
          <w:tblHeader/>
        </w:trPr>
        <w:tc>
          <w:tcPr>
            <w:tcW w:type="dxa" w:w="2376"/>
            <w:vAlign w:val="center"/>
            <w:shd w:fill="19364D"/>
            <w:tcMar>
              <w:top w:w="90" w:type="dxa"/>
              <w:bottom w:w="90" w:type="dxa"/>
              <w:left w:w="90" w:type="dxa"/>
              <w:right w:w="90" w:type="dxa"/>
            </w:tcMar>
          </w:tcPr>
          <w:p>
            <w:pPr>
              <w:spacing w:after="60" w:line="240" w:lineRule="auto"/>
            </w:pPr>
            <w:r>
              <w:rPr>
                <w:b/>
                <w:color w:val="FFFFFF"/>
                <w:sz w:val="18"/>
              </w:rPr>
              <w:t>Stage</w:t>
            </w:r>
          </w:p>
        </w:tc>
        <w:tc>
          <w:tcPr>
            <w:tcW w:type="dxa" w:w="1728"/>
            <w:vAlign w:val="center"/>
            <w:shd w:fill="19364D"/>
            <w:tcMar>
              <w:top w:w="90" w:type="dxa"/>
              <w:bottom w:w="90" w:type="dxa"/>
              <w:left w:w="90" w:type="dxa"/>
              <w:right w:w="90" w:type="dxa"/>
            </w:tcMar>
          </w:tcPr>
          <w:p>
            <w:pPr>
              <w:spacing w:after="60" w:line="240" w:lineRule="auto"/>
            </w:pPr>
            <w:r>
              <w:rPr>
                <w:b/>
                <w:color w:val="FFFFFF"/>
                <w:sz w:val="18"/>
              </w:rPr>
              <w:t>State</w:t>
            </w:r>
          </w:p>
        </w:tc>
        <w:tc>
          <w:tcPr>
            <w:tcW w:type="dxa" w:w="5976"/>
            <w:vAlign w:val="center"/>
            <w:shd w:fill="19364D"/>
            <w:tcMar>
              <w:top w:w="90" w:type="dxa"/>
              <w:bottom w:w="90" w:type="dxa"/>
              <w:left w:w="90" w:type="dxa"/>
              <w:right w:w="90" w:type="dxa"/>
            </w:tcMar>
          </w:tcPr>
          <w:p>
            <w:pPr>
              <w:spacing w:after="60" w:line="240" w:lineRule="auto"/>
            </w:pPr>
            <w:r>
              <w:rPr>
                <w:b/>
                <w:color w:val="FFFFFF"/>
                <w:sz w:val="18"/>
              </w:rPr>
              <w:t>Deliverables and exit criterion</w:t>
            </w:r>
          </w:p>
        </w:tc>
      </w:tr>
      <w:tr>
        <w:trPr>
          <w:cantSplit/>
        </w:trPr>
        <w:tc>
          <w:tcPr>
            <w:tcW w:type="dxa" w:w="2376"/>
            <w:vAlign w:val="center"/>
            <w:shd w:fill="FFFFFF"/>
            <w:tcMar>
              <w:top w:w="90" w:type="dxa"/>
              <w:bottom w:w="90" w:type="dxa"/>
              <w:left w:w="90" w:type="dxa"/>
              <w:right w:w="90" w:type="dxa"/>
            </w:tcMar>
          </w:tcPr>
          <w:p>
            <w:pPr>
              <w:spacing w:after="60" w:line="240" w:lineRule="auto"/>
            </w:pPr>
            <w:r>
              <w:rPr>
                <w:b w:val="0"/>
                <w:color w:val="273444"/>
                <w:sz w:val="18"/>
              </w:rPr>
              <w:t>Prototype</w:t>
            </w:r>
          </w:p>
        </w:tc>
        <w:tc>
          <w:tcPr>
            <w:tcW w:type="dxa" w:w="1728"/>
            <w:vAlign w:val="center"/>
            <w:shd w:fill="FFFFFF"/>
            <w:tcMar>
              <w:top w:w="90" w:type="dxa"/>
              <w:bottom w:w="90" w:type="dxa"/>
              <w:left w:w="90" w:type="dxa"/>
              <w:right w:w="90" w:type="dxa"/>
            </w:tcMar>
          </w:tcPr>
          <w:p>
            <w:pPr>
              <w:spacing w:after="60" w:line="240" w:lineRule="auto"/>
            </w:pPr>
            <w:r>
              <w:rPr>
                <w:b w:val="0"/>
                <w:color w:val="273444"/>
                <w:sz w:val="18"/>
              </w:rPr>
              <w:t>Validated</w:t>
            </w:r>
          </w:p>
        </w:tc>
        <w:tc>
          <w:tcPr>
            <w:tcW w:type="dxa" w:w="5976"/>
            <w:vAlign w:val="center"/>
            <w:shd w:fill="FFFFFF"/>
            <w:tcMar>
              <w:top w:w="90" w:type="dxa"/>
              <w:bottom w:w="90" w:type="dxa"/>
              <w:left w:w="90" w:type="dxa"/>
              <w:right w:w="90" w:type="dxa"/>
            </w:tcMar>
          </w:tcPr>
          <w:p>
            <w:pPr>
              <w:spacing w:after="60" w:line="240" w:lineRule="auto"/>
            </w:pPr>
            <w:r>
              <w:rPr>
                <w:b w:val="0"/>
                <w:color w:val="273444"/>
                <w:sz w:val="18"/>
              </w:rPr>
              <w:t>Text/voice translation and audio journey.</w:t>
            </w:r>
          </w:p>
        </w:tc>
      </w:tr>
      <w:tr>
        <w:trPr>
          <w:cantSplit/>
        </w:trPr>
        <w:tc>
          <w:tcPr>
            <w:tcW w:type="dxa" w:w="2376"/>
            <w:vAlign w:val="center"/>
            <w:shd w:fill="F3F6F9"/>
            <w:tcMar>
              <w:top w:w="90" w:type="dxa"/>
              <w:bottom w:w="90" w:type="dxa"/>
              <w:left w:w="90" w:type="dxa"/>
              <w:right w:w="90" w:type="dxa"/>
            </w:tcMar>
          </w:tcPr>
          <w:p>
            <w:pPr>
              <w:spacing w:after="60" w:line="240" w:lineRule="auto"/>
            </w:pPr>
            <w:r>
              <w:rPr>
                <w:b w:val="0"/>
                <w:color w:val="273444"/>
                <w:sz w:val="18"/>
              </w:rPr>
              <w:t>Orchestration</w:t>
            </w:r>
          </w:p>
        </w:tc>
        <w:tc>
          <w:tcPr>
            <w:tcW w:type="dxa" w:w="1728"/>
            <w:vAlign w:val="center"/>
            <w:shd w:fill="F3F6F9"/>
            <w:tcMar>
              <w:top w:w="90" w:type="dxa"/>
              <w:bottom w:w="90" w:type="dxa"/>
              <w:left w:w="90" w:type="dxa"/>
              <w:right w:w="90" w:type="dxa"/>
            </w:tcMar>
          </w:tcPr>
          <w:p>
            <w:pPr>
              <w:spacing w:after="60" w:line="240" w:lineRule="auto"/>
            </w:pPr>
            <w:r>
              <w:rPr>
                <w:b w:val="0"/>
                <w:color w:val="273444"/>
                <w:sz w:val="18"/>
              </w:rPr>
              <w:t>Validated</w:t>
            </w:r>
          </w:p>
        </w:tc>
        <w:tc>
          <w:tcPr>
            <w:tcW w:type="dxa" w:w="5976"/>
            <w:vAlign w:val="center"/>
            <w:shd w:fill="F3F6F9"/>
            <w:tcMar>
              <w:top w:w="90" w:type="dxa"/>
              <w:bottom w:w="90" w:type="dxa"/>
              <w:left w:w="90" w:type="dxa"/>
              <w:right w:w="90" w:type="dxa"/>
            </w:tcMar>
          </w:tcPr>
          <w:p>
            <w:pPr>
              <w:spacing w:after="60" w:line="240" w:lineRule="auto"/>
            </w:pPr>
            <w:r>
              <w:rPr>
                <w:b w:val="0"/>
                <w:color w:val="273444"/>
                <w:sz w:val="18"/>
              </w:rPr>
              <w:t>Agent contracts and one execution model.</w:t>
            </w:r>
          </w:p>
        </w:tc>
      </w:tr>
      <w:tr>
        <w:trPr>
          <w:cantSplit/>
        </w:trPr>
        <w:tc>
          <w:tcPr>
            <w:tcW w:type="dxa" w:w="2376"/>
            <w:vAlign w:val="center"/>
            <w:shd w:fill="FFFFFF"/>
            <w:tcMar>
              <w:top w:w="90" w:type="dxa"/>
              <w:bottom w:w="90" w:type="dxa"/>
              <w:left w:w="90" w:type="dxa"/>
              <w:right w:w="90" w:type="dxa"/>
            </w:tcMar>
          </w:tcPr>
          <w:p>
            <w:pPr>
              <w:spacing w:after="60" w:line="240" w:lineRule="auto"/>
            </w:pPr>
            <w:r>
              <w:rPr>
                <w:b w:val="0"/>
                <w:color w:val="273444"/>
                <w:sz w:val="18"/>
              </w:rPr>
              <w:t>Reliability</w:t>
            </w:r>
          </w:p>
        </w:tc>
        <w:tc>
          <w:tcPr>
            <w:tcW w:type="dxa" w:w="1728"/>
            <w:vAlign w:val="center"/>
            <w:shd w:fill="FFFFFF"/>
            <w:tcMar>
              <w:top w:w="90" w:type="dxa"/>
              <w:bottom w:w="90" w:type="dxa"/>
              <w:left w:w="90" w:type="dxa"/>
              <w:right w:w="90" w:type="dxa"/>
            </w:tcMar>
          </w:tcPr>
          <w:p>
            <w:pPr>
              <w:spacing w:after="60" w:line="240" w:lineRule="auto"/>
            </w:pPr>
            <w:r>
              <w:rPr>
                <w:b w:val="0"/>
                <w:color w:val="273444"/>
                <w:sz w:val="18"/>
              </w:rPr>
              <w:t>Validated</w:t>
            </w:r>
          </w:p>
        </w:tc>
        <w:tc>
          <w:tcPr>
            <w:tcW w:type="dxa" w:w="5976"/>
            <w:vAlign w:val="center"/>
            <w:shd w:fill="FFFFFF"/>
            <w:tcMar>
              <w:top w:w="90" w:type="dxa"/>
              <w:bottom w:w="90" w:type="dxa"/>
              <w:left w:w="90" w:type="dxa"/>
              <w:right w:w="90" w:type="dxa"/>
            </w:tcMar>
          </w:tcPr>
          <w:p>
            <w:pPr>
              <w:spacing w:after="60" w:line="240" w:lineRule="auto"/>
            </w:pPr>
            <w:r>
              <w:rPr>
                <w:b w:val="0"/>
                <w:color w:val="273444"/>
                <w:sz w:val="18"/>
              </w:rPr>
              <w:t>Validation, retries/timeouts, traces and observable failures.</w:t>
            </w:r>
          </w:p>
        </w:tc>
      </w:tr>
      <w:tr>
        <w:trPr>
          <w:cantSplit/>
        </w:trPr>
        <w:tc>
          <w:tcPr>
            <w:tcW w:type="dxa" w:w="2376"/>
            <w:vAlign w:val="center"/>
            <w:shd w:fill="F3F6F9"/>
            <w:tcMar>
              <w:top w:w="90" w:type="dxa"/>
              <w:bottom w:w="90" w:type="dxa"/>
              <w:left w:w="90" w:type="dxa"/>
              <w:right w:w="90" w:type="dxa"/>
            </w:tcMar>
          </w:tcPr>
          <w:p>
            <w:pPr>
              <w:spacing w:after="60" w:line="240" w:lineRule="auto"/>
            </w:pPr>
            <w:r>
              <w:rPr>
                <w:b w:val="0"/>
                <w:color w:val="273444"/>
                <w:sz w:val="18"/>
              </w:rPr>
              <w:t>Framework Next</w:t>
            </w:r>
          </w:p>
        </w:tc>
        <w:tc>
          <w:tcPr>
            <w:tcW w:type="dxa" w:w="1728"/>
            <w:vAlign w:val="center"/>
            <w:shd w:fill="F3F6F9"/>
            <w:tcMar>
              <w:top w:w="90" w:type="dxa"/>
              <w:bottom w:w="90" w:type="dxa"/>
              <w:left w:w="90" w:type="dxa"/>
              <w:right w:w="90" w:type="dxa"/>
            </w:tcMar>
          </w:tcPr>
          <w:p>
            <w:pPr>
              <w:spacing w:after="60" w:line="240" w:lineRule="auto"/>
            </w:pPr>
            <w:r>
              <w:rPr>
                <w:b w:val="0"/>
                <w:color w:val="273444"/>
                <w:sz w:val="18"/>
              </w:rPr>
              <w:t>Validated</w:t>
            </w:r>
          </w:p>
        </w:tc>
        <w:tc>
          <w:tcPr>
            <w:tcW w:type="dxa" w:w="5976"/>
            <w:vAlign w:val="center"/>
            <w:shd w:fill="F3F6F9"/>
            <w:tcMar>
              <w:top w:w="90" w:type="dxa"/>
              <w:bottom w:w="90" w:type="dxa"/>
              <w:left w:w="90" w:type="dxa"/>
              <w:right w:w="90" w:type="dxa"/>
            </w:tcMar>
          </w:tcPr>
          <w:p>
            <w:pPr>
              <w:spacing w:after="60" w:line="240" w:lineRule="auto"/>
            </w:pPr>
            <w:r>
              <w:rPr>
                <w:b w:val="0"/>
                <w:color w:val="273444"/>
                <w:sz w:val="18"/>
              </w:rPr>
              <w:t>Registries, configured pipelines, Context/Quality capabilities.</w:t>
            </w:r>
          </w:p>
        </w:tc>
      </w:tr>
      <w:tr>
        <w:trPr>
          <w:cantSplit/>
        </w:trPr>
        <w:tc>
          <w:tcPr>
            <w:tcW w:type="dxa" w:w="2376"/>
            <w:vAlign w:val="center"/>
            <w:shd w:fill="FFFFFF"/>
            <w:tcMar>
              <w:top w:w="90" w:type="dxa"/>
              <w:bottom w:w="90" w:type="dxa"/>
              <w:left w:w="90" w:type="dxa"/>
              <w:right w:w="90" w:type="dxa"/>
            </w:tcMar>
          </w:tcPr>
          <w:p>
            <w:pPr>
              <w:spacing w:after="60" w:line="240" w:lineRule="auto"/>
            </w:pPr>
            <w:r>
              <w:rPr>
                <w:b w:val="0"/>
                <w:color w:val="273444"/>
                <w:sz w:val="18"/>
              </w:rPr>
              <w:t>Realtime and devices</w:t>
            </w:r>
          </w:p>
        </w:tc>
        <w:tc>
          <w:tcPr>
            <w:tcW w:type="dxa" w:w="1728"/>
            <w:vAlign w:val="center"/>
            <w:shd w:fill="FFFFFF"/>
            <w:tcMar>
              <w:top w:w="90" w:type="dxa"/>
              <w:bottom w:w="90" w:type="dxa"/>
              <w:left w:w="90" w:type="dxa"/>
              <w:right w:w="90" w:type="dxa"/>
            </w:tcMar>
          </w:tcPr>
          <w:p>
            <w:pPr>
              <w:spacing w:after="60" w:line="240" w:lineRule="auto"/>
            </w:pPr>
            <w:r>
              <w:rPr>
                <w:b w:val="0"/>
                <w:color w:val="273444"/>
                <w:sz w:val="18"/>
              </w:rPr>
              <w:t>Validated</w:t>
            </w:r>
          </w:p>
        </w:tc>
        <w:tc>
          <w:tcPr>
            <w:tcW w:type="dxa" w:w="5976"/>
            <w:vAlign w:val="center"/>
            <w:shd w:fill="FFFFFF"/>
            <w:tcMar>
              <w:top w:w="90" w:type="dxa"/>
              <w:bottom w:w="90" w:type="dxa"/>
              <w:left w:w="90" w:type="dxa"/>
              <w:right w:w="90" w:type="dxa"/>
            </w:tcMar>
          </w:tcPr>
          <w:p>
            <w:pPr>
              <w:spacing w:after="60" w:line="240" w:lineRule="auto"/>
            </w:pPr>
            <w:r>
              <w:rPr>
                <w:b w:val="0"/>
                <w:color w:val="273444"/>
                <w:sz w:val="18"/>
              </w:rPr>
              <w:t>Direct/Enhanced, shared output, explicit input and local monitor.</w:t>
            </w:r>
          </w:p>
        </w:tc>
      </w:tr>
      <w:tr>
        <w:trPr>
          <w:cantSplit/>
        </w:trPr>
        <w:tc>
          <w:tcPr>
            <w:tcW w:type="dxa" w:w="2376"/>
            <w:vAlign w:val="center"/>
            <w:shd w:fill="F3F6F9"/>
            <w:tcMar>
              <w:top w:w="90" w:type="dxa"/>
              <w:bottom w:w="90" w:type="dxa"/>
              <w:left w:w="90" w:type="dxa"/>
              <w:right w:w="90" w:type="dxa"/>
            </w:tcMar>
          </w:tcPr>
          <w:p>
            <w:pPr>
              <w:spacing w:after="60" w:line="240" w:lineRule="auto"/>
            </w:pPr>
            <w:r>
              <w:rPr>
                <w:b w:val="0"/>
                <w:color w:val="273444"/>
                <w:sz w:val="18"/>
              </w:rPr>
              <w:t>Product Readiness</w:t>
            </w:r>
          </w:p>
        </w:tc>
        <w:tc>
          <w:tcPr>
            <w:tcW w:type="dxa" w:w="1728"/>
            <w:vAlign w:val="center"/>
            <w:shd w:fill="F3F6F9"/>
            <w:tcMar>
              <w:top w:w="90" w:type="dxa"/>
              <w:bottom w:w="90" w:type="dxa"/>
              <w:left w:w="90" w:type="dxa"/>
              <w:right w:w="90" w:type="dxa"/>
            </w:tcMar>
          </w:tcPr>
          <w:p>
            <w:pPr>
              <w:spacing w:after="60" w:line="240" w:lineRule="auto"/>
            </w:pPr>
            <w:r>
              <w:rPr>
                <w:b w:val="0"/>
                <w:color w:val="273444"/>
                <w:sz w:val="18"/>
              </w:rPr>
              <w:t>Validated</w:t>
            </w:r>
          </w:p>
        </w:tc>
        <w:tc>
          <w:tcPr>
            <w:tcW w:type="dxa" w:w="5976"/>
            <w:vAlign w:val="center"/>
            <w:shd w:fill="F3F6F9"/>
            <w:tcMar>
              <w:top w:w="90" w:type="dxa"/>
              <w:bottom w:w="90" w:type="dxa"/>
              <w:left w:w="90" w:type="dxa"/>
              <w:right w:w="90" w:type="dxa"/>
            </w:tcMar>
          </w:tcPr>
          <w:p>
            <w:pPr>
              <w:spacing w:after="60" w:line="240" w:lineRule="auto"/>
            </w:pPr>
            <w:r>
              <w:rPr>
                <w:b w:val="0"/>
                <w:color w:val="273444"/>
                <w:sz w:val="18"/>
              </w:rPr>
              <w:t>Persistent sessions, isolation, packaging, CI, telemetry, governance.</w:t>
            </w:r>
          </w:p>
        </w:tc>
      </w:tr>
      <w:tr>
        <w:trPr>
          <w:cantSplit/>
        </w:trPr>
        <w:tc>
          <w:tcPr>
            <w:tcW w:type="dxa" w:w="2376"/>
            <w:vAlign w:val="center"/>
            <w:shd w:fill="FFFFFF"/>
            <w:tcMar>
              <w:top w:w="90" w:type="dxa"/>
              <w:bottom w:w="90" w:type="dxa"/>
              <w:left w:w="90" w:type="dxa"/>
              <w:right w:w="90" w:type="dxa"/>
            </w:tcMar>
          </w:tcPr>
          <w:p>
            <w:pPr>
              <w:spacing w:after="60" w:line="240" w:lineRule="auto"/>
            </w:pPr>
            <w:r>
              <w:rPr>
                <w:b w:val="0"/>
                <w:color w:val="273444"/>
                <w:sz w:val="18"/>
              </w:rPr>
              <w:t>Stable Framework</w:t>
            </w:r>
          </w:p>
        </w:tc>
        <w:tc>
          <w:tcPr>
            <w:tcW w:type="dxa" w:w="1728"/>
            <w:vAlign w:val="center"/>
            <w:shd w:fill="FFFFFF"/>
            <w:tcMar>
              <w:top w:w="90" w:type="dxa"/>
              <w:bottom w:w="90" w:type="dxa"/>
              <w:left w:w="90" w:type="dxa"/>
              <w:right w:w="90" w:type="dxa"/>
            </w:tcMar>
          </w:tcPr>
          <w:p>
            <w:pPr>
              <w:spacing w:after="60" w:line="240" w:lineRule="auto"/>
            </w:pPr>
            <w:r>
              <w:rPr>
                <w:b w:val="0"/>
                <w:color w:val="273444"/>
                <w:sz w:val="18"/>
              </w:rPr>
              <w:t>Validated baseline</w:t>
            </w:r>
          </w:p>
        </w:tc>
        <w:tc>
          <w:tcPr>
            <w:tcW w:type="dxa" w:w="5976"/>
            <w:vAlign w:val="center"/>
            <w:shd w:fill="FFFFFF"/>
            <w:tcMar>
              <w:top w:w="90" w:type="dxa"/>
              <w:bottom w:w="90" w:type="dxa"/>
              <w:left w:w="90" w:type="dxa"/>
              <w:right w:w="90" w:type="dxa"/>
            </w:tcMar>
          </w:tcPr>
          <w:p>
            <w:pPr>
              <w:spacing w:after="60" w:line="240" w:lineRule="auto"/>
            </w:pPr>
            <w:r>
              <w:rPr>
                <w:b w:val="0"/>
                <w:color w:val="273444"/>
                <w:sz w:val="18"/>
              </w:rPr>
              <w:t>Public facade, conformance, transport snapshots, runtime/upgrade.</w:t>
            </w:r>
          </w:p>
        </w:tc>
      </w:tr>
      <w:tr>
        <w:trPr>
          <w:cantSplit/>
        </w:trPr>
        <w:tc>
          <w:tcPr>
            <w:tcW w:type="dxa" w:w="2376"/>
            <w:vAlign w:val="center"/>
            <w:shd w:fill="F3F6F9"/>
            <w:tcMar>
              <w:top w:w="90" w:type="dxa"/>
              <w:bottom w:w="90" w:type="dxa"/>
              <w:left w:w="90" w:type="dxa"/>
              <w:right w:w="90" w:type="dxa"/>
            </w:tcMar>
          </w:tcPr>
          <w:p>
            <w:pPr>
              <w:spacing w:after="60" w:line="240" w:lineRule="auto"/>
            </w:pPr>
            <w:r>
              <w:rPr>
                <w:b w:val="0"/>
                <w:color w:val="273444"/>
                <w:sz w:val="18"/>
              </w:rPr>
              <w:t>Documentation alignment</w:t>
            </w:r>
          </w:p>
        </w:tc>
        <w:tc>
          <w:tcPr>
            <w:tcW w:type="dxa" w:w="1728"/>
            <w:vAlign w:val="center"/>
            <w:shd w:fill="F3F6F9"/>
            <w:tcMar>
              <w:top w:w="90" w:type="dxa"/>
              <w:bottom w:w="90" w:type="dxa"/>
              <w:left w:w="90" w:type="dxa"/>
              <w:right w:w="90" w:type="dxa"/>
            </w:tcMar>
          </w:tcPr>
          <w:p>
            <w:pPr>
              <w:spacing w:after="60" w:line="240" w:lineRule="auto"/>
            </w:pPr>
            <w:r>
              <w:rPr>
                <w:b w:val="0"/>
                <w:color w:val="273444"/>
                <w:sz w:val="18"/>
              </w:rPr>
              <w:t>Patch prepared</w:t>
            </w:r>
          </w:p>
        </w:tc>
        <w:tc>
          <w:tcPr>
            <w:tcW w:type="dxa" w:w="5976"/>
            <w:vAlign w:val="center"/>
            <w:shd w:fill="F3F6F9"/>
            <w:tcMar>
              <w:top w:w="90" w:type="dxa"/>
              <w:bottom w:w="90" w:type="dxa"/>
              <w:left w:w="90" w:type="dxa"/>
              <w:right w:w="90" w:type="dxa"/>
            </w:tcMar>
          </w:tcPr>
          <w:p>
            <w:pPr>
              <w:spacing w:after="60" w:line="240" w:lineRule="auto"/>
            </w:pPr>
            <w:r>
              <w:rPr>
                <w:b w:val="0"/>
                <w:color w:val="273444"/>
                <w:sz w:val="18"/>
              </w:rPr>
              <w:t>Equivalent EN/FR books and restored architecture/flow diagrams.</w:t>
            </w:r>
          </w:p>
        </w:tc>
      </w:tr>
    </w:tbl>
    <w:p>
      <w:pPr>
        <w:spacing w:after="0"/>
      </w:pPr>
    </w:p>
    <w:p>
      <w:pPr>
        <w:pStyle w:val="Heading2"/>
      </w:pPr>
      <w:r>
        <w:t>10. Git release map</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160"/>
        <w:gridCol w:w="4032"/>
        <w:gridCol w:w="3888"/>
      </w:tblGrid>
      <w:tr>
        <w:trPr>
          <w:cantSplit/>
          <w:tblHeader/>
        </w:trPr>
        <w:tc>
          <w:tcPr>
            <w:tcW w:type="dxa" w:w="2160"/>
            <w:vAlign w:val="center"/>
            <w:shd w:fill="19364D"/>
            <w:tcMar>
              <w:top w:w="90" w:type="dxa"/>
              <w:bottom w:w="90" w:type="dxa"/>
              <w:left w:w="90" w:type="dxa"/>
              <w:right w:w="90" w:type="dxa"/>
            </w:tcMar>
          </w:tcPr>
          <w:p>
            <w:pPr>
              <w:spacing w:after="60" w:line="240" w:lineRule="auto"/>
            </w:pPr>
            <w:r>
              <w:rPr>
                <w:b/>
                <w:color w:val="FFFFFF"/>
                <w:sz w:val="18"/>
              </w:rPr>
              <w:t>Version</w:t>
            </w:r>
          </w:p>
        </w:tc>
        <w:tc>
          <w:tcPr>
            <w:tcW w:type="dxa" w:w="4032"/>
            <w:vAlign w:val="center"/>
            <w:shd w:fill="19364D"/>
            <w:tcMar>
              <w:top w:w="90" w:type="dxa"/>
              <w:bottom w:w="90" w:type="dxa"/>
              <w:left w:w="90" w:type="dxa"/>
              <w:right w:w="90" w:type="dxa"/>
            </w:tcMar>
          </w:tcPr>
          <w:p>
            <w:pPr>
              <w:spacing w:after="60" w:line="240" w:lineRule="auto"/>
            </w:pPr>
            <w:r>
              <w:rPr>
                <w:b/>
                <w:color w:val="FFFFFF"/>
                <w:sz w:val="18"/>
              </w:rPr>
              <w:t>Milestone</w:t>
            </w:r>
          </w:p>
        </w:tc>
        <w:tc>
          <w:tcPr>
            <w:tcW w:type="dxa" w:w="3888"/>
            <w:vAlign w:val="center"/>
            <w:shd w:fill="19364D"/>
            <w:tcMar>
              <w:top w:w="90" w:type="dxa"/>
              <w:bottom w:w="90" w:type="dxa"/>
              <w:left w:w="90" w:type="dxa"/>
              <w:right w:w="90" w:type="dxa"/>
            </w:tcMar>
          </w:tcPr>
          <w:p>
            <w:pPr>
              <w:spacing w:after="60" w:line="240" w:lineRule="auto"/>
            </w:pPr>
            <w:r>
              <w:rPr>
                <w:b/>
                <w:color w:val="FFFFFF"/>
                <w:sz w:val="18"/>
              </w:rPr>
              <w:t>Position</w:t>
            </w:r>
          </w:p>
        </w:tc>
      </w:tr>
      <w:tr>
        <w:trPr>
          <w:cantSplit/>
        </w:trPr>
        <w:tc>
          <w:tcPr>
            <w:tcW w:type="dxa" w:w="2160"/>
            <w:vAlign w:val="center"/>
            <w:shd w:fill="FFFFFF"/>
            <w:tcMar>
              <w:top w:w="90" w:type="dxa"/>
              <w:bottom w:w="90" w:type="dxa"/>
              <w:left w:w="90" w:type="dxa"/>
              <w:right w:w="90" w:type="dxa"/>
            </w:tcMar>
          </w:tcPr>
          <w:p>
            <w:pPr>
              <w:spacing w:after="60" w:line="240" w:lineRule="auto"/>
            </w:pPr>
            <w:r>
              <w:rPr>
                <w:b w:val="0"/>
                <w:color w:val="273444"/>
                <w:sz w:val="18"/>
              </w:rPr>
              <w:t>v0.1.0 / v0.2.0 / v0.3.0</w:t>
            </w:r>
          </w:p>
        </w:tc>
        <w:tc>
          <w:tcPr>
            <w:tcW w:type="dxa" w:w="4032"/>
            <w:vAlign w:val="center"/>
            <w:shd w:fill="FFFFFF"/>
            <w:tcMar>
              <w:top w:w="90" w:type="dxa"/>
              <w:bottom w:w="90" w:type="dxa"/>
              <w:left w:w="90" w:type="dxa"/>
              <w:right w:w="90" w:type="dxa"/>
            </w:tcMar>
          </w:tcPr>
          <w:p>
            <w:pPr>
              <w:spacing w:after="60" w:line="240" w:lineRule="auto"/>
            </w:pPr>
            <w:r>
              <w:rPr>
                <w:b w:val="0"/>
                <w:color w:val="273444"/>
                <w:sz w:val="18"/>
              </w:rPr>
              <w:t>Prototype / Orchestration / Reliability</w:t>
            </w:r>
          </w:p>
        </w:tc>
        <w:tc>
          <w:tcPr>
            <w:tcW w:type="dxa" w:w="3888"/>
            <w:vAlign w:val="center"/>
            <w:shd w:fill="FFFFFF"/>
            <w:tcMar>
              <w:top w:w="90" w:type="dxa"/>
              <w:bottom w:w="90" w:type="dxa"/>
              <w:left w:w="90" w:type="dxa"/>
              <w:right w:w="90" w:type="dxa"/>
            </w:tcMar>
          </w:tcPr>
          <w:p>
            <w:pPr>
              <w:spacing w:after="60" w:line="240" w:lineRule="auto"/>
            </w:pPr>
            <w:r>
              <w:rPr>
                <w:b w:val="0"/>
                <w:color w:val="273444"/>
                <w:sz w:val="18"/>
              </w:rPr>
              <w:t>Historical foundations</w:t>
            </w:r>
          </w:p>
        </w:tc>
      </w:tr>
      <w:tr>
        <w:trPr>
          <w:cantSplit/>
        </w:trPr>
        <w:tc>
          <w:tcPr>
            <w:tcW w:type="dxa" w:w="2160"/>
            <w:vAlign w:val="center"/>
            <w:shd w:fill="F3F6F9"/>
            <w:tcMar>
              <w:top w:w="90" w:type="dxa"/>
              <w:bottom w:w="90" w:type="dxa"/>
              <w:left w:w="90" w:type="dxa"/>
              <w:right w:w="90" w:type="dxa"/>
            </w:tcMar>
          </w:tcPr>
          <w:p>
            <w:pPr>
              <w:spacing w:after="60" w:line="240" w:lineRule="auto"/>
            </w:pPr>
            <w:r>
              <w:rPr>
                <w:b w:val="0"/>
                <w:color w:val="273444"/>
                <w:sz w:val="18"/>
              </w:rPr>
              <w:t>v0.4.0</w:t>
            </w:r>
          </w:p>
        </w:tc>
        <w:tc>
          <w:tcPr>
            <w:tcW w:type="dxa" w:w="4032"/>
            <w:vAlign w:val="center"/>
            <w:shd w:fill="F3F6F9"/>
            <w:tcMar>
              <w:top w:w="90" w:type="dxa"/>
              <w:bottom w:w="90" w:type="dxa"/>
              <w:left w:w="90" w:type="dxa"/>
              <w:right w:w="90" w:type="dxa"/>
            </w:tcMar>
          </w:tcPr>
          <w:p>
            <w:pPr>
              <w:spacing w:after="60" w:line="240" w:lineRule="auto"/>
            </w:pPr>
            <w:r>
              <w:rPr>
                <w:b w:val="0"/>
                <w:color w:val="273444"/>
                <w:sz w:val="18"/>
              </w:rPr>
              <w:t>Framework Next</w:t>
            </w:r>
          </w:p>
        </w:tc>
        <w:tc>
          <w:tcPr>
            <w:tcW w:type="dxa" w:w="3888"/>
            <w:vAlign w:val="center"/>
            <w:shd w:fill="F3F6F9"/>
            <w:tcMar>
              <w:top w:w="90" w:type="dxa"/>
              <w:bottom w:w="90" w:type="dxa"/>
              <w:left w:w="90" w:type="dxa"/>
              <w:right w:w="90" w:type="dxa"/>
            </w:tcMar>
          </w:tcPr>
          <w:p>
            <w:pPr>
              <w:spacing w:after="60" w:line="240" w:lineRule="auto"/>
            </w:pPr>
            <w:r>
              <w:rPr>
                <w:b w:val="0"/>
                <w:color w:val="273444"/>
                <w:sz w:val="18"/>
              </w:rPr>
              <w:t>Architecture template baseline</w:t>
            </w:r>
          </w:p>
        </w:tc>
      </w:tr>
      <w:tr>
        <w:trPr>
          <w:cantSplit/>
        </w:trPr>
        <w:tc>
          <w:tcPr>
            <w:tcW w:type="dxa" w:w="2160"/>
            <w:vAlign w:val="center"/>
            <w:shd w:fill="FFFFFF"/>
            <w:tcMar>
              <w:top w:w="90" w:type="dxa"/>
              <w:bottom w:w="90" w:type="dxa"/>
              <w:left w:w="90" w:type="dxa"/>
              <w:right w:w="90" w:type="dxa"/>
            </w:tcMar>
          </w:tcPr>
          <w:p>
            <w:pPr>
              <w:spacing w:after="60" w:line="240" w:lineRule="auto"/>
            </w:pPr>
            <w:r>
              <w:rPr>
                <w:b w:val="0"/>
                <w:color w:val="273444"/>
                <w:sz w:val="18"/>
              </w:rPr>
              <w:t>v0.4.1–v0.4.4</w:t>
            </w:r>
          </w:p>
        </w:tc>
        <w:tc>
          <w:tcPr>
            <w:tcW w:type="dxa" w:w="4032"/>
            <w:vAlign w:val="center"/>
            <w:shd w:fill="FFFFFF"/>
            <w:tcMar>
              <w:top w:w="90" w:type="dxa"/>
              <w:bottom w:w="90" w:type="dxa"/>
              <w:left w:w="90" w:type="dxa"/>
              <w:right w:w="90" w:type="dxa"/>
            </w:tcMar>
          </w:tcPr>
          <w:p>
            <w:pPr>
              <w:spacing w:after="60" w:line="240" w:lineRule="auto"/>
            </w:pPr>
            <w:r>
              <w:rPr>
                <w:b w:val="0"/>
                <w:color w:val="273444"/>
                <w:sz w:val="18"/>
              </w:rPr>
              <w:t>Realtime / Audio output / Device control</w:t>
            </w:r>
          </w:p>
        </w:tc>
        <w:tc>
          <w:tcPr>
            <w:tcW w:type="dxa" w:w="3888"/>
            <w:vAlign w:val="center"/>
            <w:shd w:fill="FFFFFF"/>
            <w:tcMar>
              <w:top w:w="90" w:type="dxa"/>
              <w:bottom w:w="90" w:type="dxa"/>
              <w:left w:w="90" w:type="dxa"/>
              <w:right w:w="90" w:type="dxa"/>
            </w:tcMar>
          </w:tcPr>
          <w:p>
            <w:pPr>
              <w:spacing w:after="60" w:line="240" w:lineRule="auto"/>
            </w:pPr>
            <w:r>
              <w:rPr>
                <w:b w:val="0"/>
                <w:color w:val="273444"/>
                <w:sz w:val="18"/>
              </w:rPr>
              <w:t>Retained capabilities</w:t>
            </w:r>
          </w:p>
        </w:tc>
      </w:tr>
      <w:tr>
        <w:trPr>
          <w:cantSplit/>
        </w:trPr>
        <w:tc>
          <w:tcPr>
            <w:tcW w:type="dxa" w:w="2160"/>
            <w:vAlign w:val="center"/>
            <w:shd w:fill="F3F6F9"/>
            <w:tcMar>
              <w:top w:w="90" w:type="dxa"/>
              <w:bottom w:w="90" w:type="dxa"/>
              <w:left w:w="90" w:type="dxa"/>
              <w:right w:w="90" w:type="dxa"/>
            </w:tcMar>
          </w:tcPr>
          <w:p>
            <w:pPr>
              <w:spacing w:after="60" w:line="240" w:lineRule="auto"/>
            </w:pPr>
            <w:r>
              <w:rPr>
                <w:b w:val="0"/>
                <w:color w:val="273444"/>
                <w:sz w:val="18"/>
              </w:rPr>
              <w:t>v0.5.0</w:t>
            </w:r>
          </w:p>
        </w:tc>
        <w:tc>
          <w:tcPr>
            <w:tcW w:type="dxa" w:w="4032"/>
            <w:vAlign w:val="center"/>
            <w:shd w:fill="F3F6F9"/>
            <w:tcMar>
              <w:top w:w="90" w:type="dxa"/>
              <w:bottom w:w="90" w:type="dxa"/>
              <w:left w:w="90" w:type="dxa"/>
              <w:right w:w="90" w:type="dxa"/>
            </w:tcMar>
          </w:tcPr>
          <w:p>
            <w:pPr>
              <w:spacing w:after="60" w:line="240" w:lineRule="auto"/>
            </w:pPr>
            <w:r>
              <w:rPr>
                <w:b w:val="0"/>
                <w:color w:val="273444"/>
                <w:sz w:val="18"/>
              </w:rPr>
              <w:t>Product Readiness</w:t>
            </w:r>
          </w:p>
        </w:tc>
        <w:tc>
          <w:tcPr>
            <w:tcW w:type="dxa" w:w="3888"/>
            <w:vAlign w:val="center"/>
            <w:shd w:fill="F3F6F9"/>
            <w:tcMar>
              <w:top w:w="90" w:type="dxa"/>
              <w:bottom w:w="90" w:type="dxa"/>
              <w:left w:w="90" w:type="dxa"/>
              <w:right w:w="90" w:type="dxa"/>
            </w:tcMar>
          </w:tcPr>
          <w:p>
            <w:pPr>
              <w:spacing w:after="60" w:line="240" w:lineRule="auto"/>
            </w:pPr>
            <w:r>
              <w:rPr>
                <w:b w:val="0"/>
                <w:color w:val="273444"/>
                <w:sz w:val="18"/>
              </w:rPr>
              <w:t>Delivered operational foundation</w:t>
            </w:r>
          </w:p>
        </w:tc>
      </w:tr>
      <w:tr>
        <w:trPr>
          <w:cantSplit/>
        </w:trPr>
        <w:tc>
          <w:tcPr>
            <w:tcW w:type="dxa" w:w="2160"/>
            <w:vAlign w:val="center"/>
            <w:shd w:fill="FFFFFF"/>
            <w:tcMar>
              <w:top w:w="90" w:type="dxa"/>
              <w:bottom w:w="90" w:type="dxa"/>
              <w:left w:w="90" w:type="dxa"/>
              <w:right w:w="90" w:type="dxa"/>
            </w:tcMar>
          </w:tcPr>
          <w:p>
            <w:pPr>
              <w:spacing w:after="60" w:line="240" w:lineRule="auto"/>
            </w:pPr>
            <w:r>
              <w:rPr>
                <w:b w:val="0"/>
                <w:color w:val="273444"/>
                <w:sz w:val="18"/>
              </w:rPr>
              <w:t>v1.0.0</w:t>
            </w:r>
          </w:p>
        </w:tc>
        <w:tc>
          <w:tcPr>
            <w:tcW w:type="dxa" w:w="4032"/>
            <w:vAlign w:val="center"/>
            <w:shd w:fill="FFFFFF"/>
            <w:tcMar>
              <w:top w:w="90" w:type="dxa"/>
              <w:bottom w:w="90" w:type="dxa"/>
              <w:left w:w="90" w:type="dxa"/>
              <w:right w:w="90" w:type="dxa"/>
            </w:tcMar>
          </w:tcPr>
          <w:p>
            <w:pPr>
              <w:spacing w:after="60" w:line="240" w:lineRule="auto"/>
            </w:pPr>
            <w:r>
              <w:rPr>
                <w:b w:val="0"/>
                <w:color w:val="273444"/>
                <w:sz w:val="18"/>
              </w:rPr>
              <w:t>Stable Framework Release</w:t>
            </w:r>
          </w:p>
        </w:tc>
        <w:tc>
          <w:tcPr>
            <w:tcW w:type="dxa" w:w="3888"/>
            <w:vAlign w:val="center"/>
            <w:shd w:fill="FFFFFF"/>
            <w:tcMar>
              <w:top w:w="90" w:type="dxa"/>
              <w:bottom w:w="90" w:type="dxa"/>
              <w:left w:w="90" w:type="dxa"/>
              <w:right w:w="90" w:type="dxa"/>
            </w:tcMar>
          </w:tcPr>
          <w:p>
            <w:pPr>
              <w:spacing w:after="60" w:line="240" w:lineRule="auto"/>
            </w:pPr>
            <w:r>
              <w:rPr>
                <w:b w:val="0"/>
                <w:color w:val="273444"/>
                <w:sz w:val="18"/>
              </w:rPr>
              <w:t>Accepted implementation baseline</w:t>
            </w:r>
          </w:p>
        </w:tc>
      </w:tr>
      <w:tr>
        <w:trPr>
          <w:cantSplit/>
        </w:trPr>
        <w:tc>
          <w:tcPr>
            <w:tcW w:type="dxa" w:w="2160"/>
            <w:vAlign w:val="center"/>
            <w:shd w:fill="F3F6F9"/>
            <w:tcMar>
              <w:top w:w="90" w:type="dxa"/>
              <w:bottom w:w="90" w:type="dxa"/>
              <w:left w:w="90" w:type="dxa"/>
              <w:right w:w="90" w:type="dxa"/>
            </w:tcMar>
          </w:tcPr>
          <w:p>
            <w:pPr>
              <w:spacing w:after="60" w:line="240" w:lineRule="auto"/>
            </w:pPr>
            <w:r>
              <w:rPr>
                <w:b w:val="0"/>
                <w:color w:val="273444"/>
                <w:sz w:val="18"/>
              </w:rPr>
              <w:t>v1.0.1</w:t>
            </w:r>
          </w:p>
        </w:tc>
        <w:tc>
          <w:tcPr>
            <w:tcW w:type="dxa" w:w="4032"/>
            <w:vAlign w:val="center"/>
            <w:shd w:fill="F3F6F9"/>
            <w:tcMar>
              <w:top w:w="90" w:type="dxa"/>
              <w:bottom w:w="90" w:type="dxa"/>
              <w:left w:w="90" w:type="dxa"/>
              <w:right w:w="90" w:type="dxa"/>
            </w:tcMar>
          </w:tcPr>
          <w:p>
            <w:pPr>
              <w:spacing w:after="60" w:line="240" w:lineRule="auto"/>
            </w:pPr>
            <w:r>
              <w:rPr>
                <w:b w:val="0"/>
                <w:color w:val="273444"/>
                <w:sz w:val="18"/>
              </w:rPr>
              <w:t>Bilingual architecture-book correction</w:t>
            </w:r>
          </w:p>
        </w:tc>
        <w:tc>
          <w:tcPr>
            <w:tcW w:type="dxa" w:w="3888"/>
            <w:vAlign w:val="center"/>
            <w:shd w:fill="F3F6F9"/>
            <w:tcMar>
              <w:top w:w="90" w:type="dxa"/>
              <w:bottom w:w="90" w:type="dxa"/>
              <w:left w:w="90" w:type="dxa"/>
              <w:right w:w="90" w:type="dxa"/>
            </w:tcMar>
          </w:tcPr>
          <w:p>
            <w:pPr>
              <w:spacing w:after="60" w:line="240" w:lineRule="auto"/>
            </w:pPr>
            <w:r>
              <w:rPr>
                <w:b w:val="0"/>
                <w:color w:val="273444"/>
                <w:sz w:val="18"/>
              </w:rPr>
              <w:t>Prepared documentation; tag by maintainer</w:t>
            </w:r>
          </w:p>
        </w:tc>
      </w:tr>
    </w:tbl>
    <w:p>
      <w:pPr>
        <w:spacing w:after="0"/>
      </w:pPr>
    </w:p>
    <w:p>
      <w:r>
        <w:rPr>
          <w:b/>
          <w:color w:val="07847E"/>
        </w:rPr>
        <w:t xml:space="preserve">RELEASE STATUS  </w:t>
      </w:r>
      <w:r>
        <w:t>Version labels identify milestones. This edition does not itself create or attest a Git tag, registry upload or public release. The maintainer releases the verified commit.</w:t>
      </w:r>
    </w:p>
    <w:p>
      <w:r>
        <w:br w:type="page"/>
      </w:r>
    </w:p>
    <w:p>
      <w:pPr>
        <w:pStyle w:val="Heading1"/>
      </w:pPr>
      <w:r>
        <w:t>11. Stable framework definition of done</w:t>
      </w:r>
    </w:p>
    <w:p>
      <w:r>
        <w:t>Acceptance concerns actual extension boundaries and operational behavior. The documentation patch must preserve those guarantees while making the architecture legible again.</w:t>
      </w:r>
    </w:p>
    <w:p>
      <w:pPr>
        <w:pStyle w:val="ListBullet"/>
      </w:pPr>
      <w:r>
        <w:t>Public facade exports retain original object identity and documented async conventions; imports do not initialize application services.</w:t>
      </w:r>
    </w:p>
    <w:p>
      <w:pPr>
        <w:pStyle w:val="ListBullet"/>
      </w:pPr>
      <w:r>
        <w:t>External extensions run through conformance checks and a clean installed wheel. Internal implementation modules do not become public contracts.</w:t>
      </w:r>
    </w:p>
    <w:p>
      <w:pPr>
        <w:pStyle w:val="ListBullet"/>
      </w:pPr>
      <w:r>
        <w:t>Reviewed HTTP/WebSocket snapshots, safe errors, bounded queues and deterministic cancellation/cleanup are regression-tested.</w:t>
      </w:r>
    </w:p>
    <w:p>
      <w:pPr>
        <w:pStyle w:val="ListBullet"/>
      </w:pPr>
      <w:r>
        <w:t>Supported runtime, schema refusal, read-only backup, ownership continuity and history preservation are explicit and tested.</w:t>
      </w:r>
    </w:p>
    <w:p>
      <w:pPr>
        <w:pStyle w:val="ListBullet"/>
      </w:pPr>
      <w:r>
        <w:t>Windows/Linux quality jobs and container gates validate the release commit; real browser audio acceptance remains necessary for Standard, Direct and Enhanced.</w:t>
      </w:r>
    </w:p>
    <w:p>
      <w:pPr>
        <w:pStyle w:val="ListBullet"/>
      </w:pPr>
      <w:r>
        <w:t>The EN/FR editions carry the same sections, diagrams and limitations. Documentation corrections do not promise new runtime support.</w:t>
      </w:r>
    </w:p>
    <w:p>
      <w:r>
        <w:rPr>
          <w:b/>
          <w:color w:val="07847E"/>
        </w:rPr>
        <w:t xml:space="preserve">VALIDATION BASELINE  </w:t>
      </w:r>
      <w:r>
        <w:t>The integrated stable implementation recorded 472 passed tests, four optional OpenTelemetry SDK skips and one known non-blocking Starlette deprecation warning in the local default environment. This is baseline evidence, not a newly executed v1.0.1 test run or a provider performance claim.</w:t>
      </w:r>
    </w:p>
    <w:p>
      <w:pPr>
        <w:pStyle w:val="Heading2"/>
      </w:pPr>
      <w:r>
        <w:t>12. Recommended next slice</w:t>
      </w:r>
    </w:p>
    <w:p>
      <w:r>
        <w:t>Choose the next product objective explicitly: authenticated ingress, protected audio delivery, more providers, stronger data-retention policy or dedicated inbound/full-duplex acceptance. Each needs its own threat model, contract review and runtime evidence; none is silently included by this patch.</w:t>
      </w:r>
    </w:p>
    <w:p>
      <w:r>
        <w:rPr>
          <w:b/>
          <w:color w:val="07847E"/>
        </w:rPr>
        <w:t xml:space="preserve">COMPATIBILITY  </w:t>
      </w:r>
      <w:r>
        <w:t>Patch releases preserve documented calls; minor releases add optional features; incompatible public changes require a major release. Deprecations identify a replacement and removal version, with at least one minor transition before later-major removal.</w:t>
      </w:r>
    </w:p>
    <w:p>
      <w:pPr>
        <w:pStyle w:val="Heading2"/>
      </w:pPr>
      <w:r>
        <w:t>Repository documentation</w:t>
      </w:r>
    </w:p>
    <w:p>
      <w:r>
        <w:t>Implementation detail: docs/framework-contracts.md; docs/extension-conformance.md; docs/api-streaming-stability.md; docs/supported-runtime.md; docs/upgrade-v0.5-to-v1.md; docs/operations.md; docs/observability.md; SECURITY.md; ENVIRONMENT.md. The v1.0.0 release checklist remains the baseline process; patch release metadata must be aligned separately before tagging.</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Waaxalma v1.0.1   ·   </w:t>
    </w:r>
    <w:r>
      <w:rPr>
        <w:color w:val="667085"/>
        <w:sz w:val="16"/>
      </w:rPr>
      <w:fldChar w:fldCharType="begin"/>
      <w:instrText xml:space="preserve">PAGE</w:instrText>
      <w:fldChar w:fldCharType="end"/>
    </w:r>
    <w:r>
      <w:rPr>
        <w:color w:val="667085"/>
        <w:sz w:val="16"/>
      </w:rPr>
      <w:t xml:space="preserve"> / </w:t>
    </w:r>
    <w:r>
      <w:rPr>
        <w:color w:val="66708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718096"/>
        <w:sz w:val="16"/>
      </w:rPr>
      <w:t>WAAXALMA  ·  ARCHITECTURE &amp; VISION 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1936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Waaxalma Architecture and Vision Book v1.0.1 EN</dc:title>
  <dc:subject>Stable framework architecture and execution flows</dc:subject>
  <dc:creator>Waaxalma</dc:creator>
  <cp:keywords>Waaxalma, voice agents, architecture, v0.4, framework, providers, pipelines</cp:keywords>
  <dc:description/>
  <cp:lastModifiedBy/>
  <cp:revision>1</cp:revision>
  <dcterms:created xsi:type="dcterms:W3CDTF">2013-12-23T23:15:00Z</dcterms:created>
  <dcterms:modified xsi:type="dcterms:W3CDTF">2013-12-23T23:15:00Z</dcterms:modified>
  <cp:category/>
</cp:coreProperties>
</file>