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color w:val="1F4E79"/>
          <w:sz w:val="40"/>
          <w:szCs w:val="40"/>
        </w:rPr>
        <w:t xml:space="preserve">Карманные ответы — собеседование в Markway</w:t>
      </w:r>
    </w:p>
    <w:p>
      <w:pPr>
        <w:spacing w:before="0" w:after="240"/>
      </w:pPr>
      <w:r>
        <w:rPr>
          <w:i/>
          <w:color w:val="595959"/>
          <w:sz w:val="20"/>
          <w:szCs w:val="20"/>
        </w:rPr>
        <w:t xml:space="preserve">Интернет-маркетолог / Digital-маркетолог · короткие версии для быстрого проговаривания перед звонком</w:t>
      </w:r>
    </w:p>
    <w:p>
      <w:pPr>
        <w:pBdr>
          <w:bottom w:val="single" w:sz="6" w:space="4" w:color="1F4E79"/>
        </w:pBdr>
        <w:spacing w:before="280" w:after="100"/>
      </w:pPr>
      <w:r>
        <w:rPr>
          <w:b/>
          <w:color w:val="1F4E79"/>
          <w:sz w:val="26"/>
          <w:szCs w:val="26"/>
        </w:rPr>
        <w:t xml:space="preserve">1. Расскажите про самый успешный кейс</w:t>
      </w:r>
    </w:p>
    <w:p>
      <w:pPr>
        <w:spacing w:before="0" w:after="120"/>
      </w:pPr>
      <w:r>
        <w:rPr>
          <w:sz w:val="24"/>
          <w:szCs w:val="24"/>
        </w:rPr>
        <w:t xml:space="preserve">Академия Медушкиной: платные каналы работали в минус. Я пересобрала систему лидогенерации и взяла воронку под управление — отсекала нецелевой трафик на входе и переобучила кабинеты. Результат — ROMI из минуса в +200% за первый месяц, при CPL около 300 ₽ и среднем чеке 6 250 ₽.</w:t>
      </w:r>
    </w:p>
    <w:p>
      <w:pPr>
        <w:spacing w:before="0" w:after="80"/>
      </w:pPr>
      <w:r>
        <w:rPr>
          <w:b/>
          <w:color w:val="595959"/>
          <w:sz w:val="20"/>
          <w:szCs w:val="20"/>
        </w:rPr>
        <w:t xml:space="preserve">Опора на цифры: </w:t>
      </w:r>
      <w:r>
        <w:rPr>
          <w:i/>
          <w:color w:val="595959"/>
          <w:sz w:val="20"/>
          <w:szCs w:val="20"/>
        </w:rPr>
        <w:t xml:space="preserve">ROMI из минуса → +200% за 1-й месяц · CPL ~300 ₽ · чек 6 250 ₽. Если про B2B — ВИАРДА: застройщики и банк, высокий чек, длинная воронка.</w:t>
      </w:r>
    </w:p>
    <w:p>
      <w:pPr>
        <w:pBdr>
          <w:bottom w:val="single" w:sz="6" w:space="4" w:color="1F4E79"/>
        </w:pBdr>
        <w:spacing w:before="280" w:after="100"/>
      </w:pPr>
      <w:r>
        <w:rPr>
          <w:b/>
          <w:color w:val="1F4E79"/>
          <w:sz w:val="26"/>
          <w:szCs w:val="26"/>
        </w:rPr>
        <w:t xml:space="preserve">2. Как снижали CPL</w:t>
      </w:r>
    </w:p>
    <w:p>
      <w:pPr>
        <w:spacing w:before="0" w:after="120"/>
      </w:pPr>
      <w:r>
        <w:rPr>
          <w:sz w:val="24"/>
          <w:szCs w:val="24"/>
        </w:rPr>
        <w:t xml:space="preserve">Снижаю CPL так, чтобы качество лида при этом росло, а не падало. Отсекаю нецелевой на входе смыслами и квизом, обучаю кабинеты на целевое действие, тестирую офферы и посадочные — на Академии подняли CTR ключевых кампаний в 3 раза. Бюджет держу 80/20 и переливаю в связки с понятным ROMI. Итог — CPL около 300 ₽ при живом качестве заявок.</w:t>
      </w:r>
    </w:p>
    <w:p>
      <w:pPr>
        <w:spacing w:before="0" w:after="80"/>
      </w:pPr>
      <w:r>
        <w:rPr>
          <w:b/>
          <w:color w:val="595959"/>
          <w:sz w:val="20"/>
          <w:szCs w:val="20"/>
        </w:rPr>
        <w:t xml:space="preserve">Опора на цифры: </w:t>
      </w:r>
      <w:r>
        <w:rPr>
          <w:i/>
          <w:color w:val="595959"/>
          <w:sz w:val="20"/>
          <w:szCs w:val="20"/>
        </w:rPr>
        <w:t xml:space="preserve">CTR ключевых кампаний ×3 · CPL ~300 ₽ · правило бюджета 80/20.</w:t>
      </w:r>
    </w:p>
    <w:p>
      <w:pPr>
        <w:pBdr>
          <w:bottom w:val="single" w:sz="6" w:space="4" w:color="1F4E79"/>
        </w:pBdr>
        <w:spacing w:before="280" w:after="100"/>
      </w:pPr>
      <w:r>
        <w:rPr>
          <w:b/>
          <w:color w:val="1F4E79"/>
          <w:sz w:val="26"/>
          <w:szCs w:val="26"/>
        </w:rPr>
        <w:t xml:space="preserve">3. Как работаете с плохим качеством лидов</w:t>
      </w:r>
    </w:p>
    <w:p>
      <w:pPr>
        <w:spacing w:before="0" w:after="120"/>
      </w:pPr>
      <w:r>
        <w:rPr>
          <w:sz w:val="24"/>
          <w:szCs w:val="24"/>
        </w:rPr>
        <w:t xml:space="preserve">Для меня плохой лид — это сигнал в аналитике, а не жалоба. Смотрю вглубь воронки до SQL и сделки, оптимизирую на стоимость квалифицированного лида, а не заявки. Забираю у отдела продаж причины отказов и метку качества лида в CRM и возвращаю это в рекламу. Параллельно чиню вход — квалификация и лид-магнит; на Академии такой пересбор дал +20% целевых заявок.</w:t>
      </w:r>
    </w:p>
    <w:p>
      <w:pPr>
        <w:spacing w:before="0" w:after="80"/>
      </w:pPr>
      <w:r>
        <w:rPr>
          <w:b/>
          <w:color w:val="595959"/>
          <w:sz w:val="20"/>
          <w:szCs w:val="20"/>
        </w:rPr>
        <w:t xml:space="preserve">Опора на цифры: </w:t>
      </w:r>
      <w:r>
        <w:rPr>
          <w:i/>
          <w:color w:val="595959"/>
          <w:sz w:val="20"/>
          <w:szCs w:val="20"/>
        </w:rPr>
        <w:t xml:space="preserve">Сквозная аналитика с нуля: Calltouch + Битрикс24, выгрузки через SQL/API в BigQuery · +20% целевых заявок.</w:t>
      </w:r>
    </w:p>
    <w:p>
      <w:pPr>
        <w:pBdr>
          <w:bottom w:val="single" w:sz="6" w:space="4" w:color="1F4E79"/>
        </w:pBdr>
        <w:spacing w:before="280" w:after="100"/>
      </w:pPr>
      <w:r>
        <w:rPr>
          <w:b/>
          <w:color w:val="1F4E79"/>
          <w:sz w:val="26"/>
          <w:szCs w:val="26"/>
        </w:rPr>
        <w:t xml:space="preserve">4. Как оцениваете SEO / SMM / ORM подрядчиков</w:t>
      </w:r>
    </w:p>
    <w:p>
      <w:pPr>
        <w:spacing w:before="0" w:after="120"/>
      </w:pPr>
      <w:r>
        <w:rPr>
          <w:sz w:val="24"/>
          <w:szCs w:val="24"/>
        </w:rPr>
        <w:t xml:space="preserve">Оцениваю по вкладу в бизнес-результат, а не по красивым отчётам-простыням:</w:t>
      </w:r>
    </w:p>
    <w:p>
      <w:pPr>
        <w:numPr>
          <w:ilvl w:val="0"/>
          <w:numId w:val="1"/>
        </w:numPr>
        <w:spacing w:before="0" w:after="60"/>
      </w:pPr>
      <w:r>
        <w:rPr>
          <w:sz w:val="22"/>
          <w:szCs w:val="22"/>
        </w:rPr>
        <w:t xml:space="preserve">SEO — позиции по маржинальным запросам, органика в заявки, техническое здоровье сайта.</w:t>
      </w:r>
    </w:p>
    <w:p>
      <w:pPr>
        <w:numPr>
          <w:ilvl w:val="0"/>
          <w:numId w:val="1"/>
        </w:numPr>
        <w:spacing w:before="0" w:after="60"/>
      </w:pPr>
      <w:r>
        <w:rPr>
          <w:sz w:val="22"/>
          <w:szCs w:val="22"/>
        </w:rPr>
        <w:t xml:space="preserve">SMM — охваты и вовлечение это гигиена; спрашиваю за заявки и маржинальность контента.</w:t>
      </w:r>
    </w:p>
    <w:p>
      <w:pPr>
        <w:numPr>
          <w:ilvl w:val="0"/>
          <w:numId w:val="1"/>
        </w:numPr>
        <w:spacing w:before="0" w:after="60"/>
      </w:pPr>
      <w:r>
        <w:rPr>
          <w:sz w:val="22"/>
          <w:szCs w:val="22"/>
        </w:rPr>
        <w:t xml:space="preserve">ORM — тональность выдачи и её динамика, доля позитива, вытеснение негатива, присутствие бренда (тут честно: у Markway экспертиза сильнее моей).</w:t>
      </w:r>
    </w:p>
    <w:p>
      <w:pPr>
        <w:spacing w:before="0" w:after="120"/>
      </w:pPr>
      <w:r>
        <w:rPr>
          <w:sz w:val="24"/>
          <w:szCs w:val="24"/>
        </w:rPr>
        <w:t xml:space="preserve">Поперёк всех троих — понятное ТЗ, сроки и отчётность в единых метриках.</w:t>
      </w:r>
    </w:p>
    <w:p>
      <w:pPr>
        <w:spacing w:before="0" w:after="80"/>
      </w:pPr>
      <w:r>
        <w:rPr>
          <w:b/>
          <w:color w:val="595959"/>
          <w:sz w:val="20"/>
          <w:szCs w:val="20"/>
        </w:rPr>
        <w:t xml:space="preserve">Опора на цифры: </w:t>
      </w:r>
      <w:r>
        <w:rPr>
          <w:i/>
          <w:color w:val="595959"/>
          <w:sz w:val="20"/>
          <w:szCs w:val="20"/>
        </w:rPr>
        <w:t xml:space="preserve">SMM: сместила фокус на маржинальные продукты → маржинальный ROMI канала +25%. SEO: вывела маржинальные услуги в топ.</w:t>
      </w:r>
    </w:p>
    <w:p>
      <w:pPr>
        <w:pBdr>
          <w:bottom w:val="single" w:sz="6" w:space="4" w:color="1F4E79"/>
        </w:pBdr>
        <w:spacing w:before="280" w:after="100"/>
      </w:pPr>
      <w:r>
        <w:rPr>
          <w:b/>
          <w:color w:val="1F4E79"/>
          <w:sz w:val="26"/>
          <w:szCs w:val="26"/>
        </w:rPr>
        <w:t xml:space="preserve">5. Почему хотите в Markway</w:t>
      </w:r>
    </w:p>
    <w:p>
      <w:pPr>
        <w:spacing w:before="0" w:after="120"/>
      </w:pPr>
      <w:r>
        <w:rPr>
          <w:sz w:val="24"/>
          <w:szCs w:val="24"/>
        </w:rPr>
        <w:t xml:space="preserve">Три причины. Первое — направление: репутация и ORM решают, купят у бизнеса или нет, особенно на высоком чеке, а Markway здесь №1 в стране. Второе — задача совпадает с тем, кто я есть: системный маркетолог, свожу performance, аналитику, SEO, SMM и рассылки в единую окупаемую систему, и вела руками и командами 10–14 человек. Третье — рост: наставник и Markway Development Program, я быстро вхожу в специфику. Коротко — маркетинг для меня про деньги и окупаемость, и хочется применять это там, где продукт про репутацию и доверие.</w:t>
      </w:r>
    </w:p>
    <w:p>
      <w:pPr>
        <w:spacing w:before="0" w:after="80"/>
      </w:pPr>
      <w:r>
        <w:rPr>
          <w:b/>
          <w:color w:val="595959"/>
          <w:sz w:val="20"/>
          <w:szCs w:val="20"/>
        </w:rPr>
        <w:t xml:space="preserve">Опора на цифры: </w:t>
      </w:r>
      <w:r>
        <w:rPr>
          <w:i/>
          <w:color w:val="595959"/>
          <w:sz w:val="20"/>
          <w:szCs w:val="20"/>
        </w:rPr>
        <w:t xml:space="preserve">№1 по управлению репутацией · клиенты ВТБ, Газпром, МТС · опыт руководства командами 10–14 чел.</w:t>
      </w:r>
    </w:p>
    <w:p>
      <w:pPr>
        <w:pBdr>
          <w:top w:val="single" w:sz="6" w:space="6" w:color="BFBFBF"/>
        </w:pBdr>
        <w:spacing w:before="360" w:after="120"/>
      </w:pPr>
      <w:r>
        <w:rPr>
          <w:i/>
          <w:color w:val="595959"/>
          <w:sz w:val="20"/>
          <w:szCs w:val="20"/>
        </w:rPr>
        <w:t xml:space="preserve">Не забыть на собесе: уточнить вилку с бонусами и потолок (оклад «от 80к» против целевого фикса 110к).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