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28414" w14:textId="1C11DC6F" w:rsidR="001411CC" w:rsidRPr="001411CC" w:rsidRDefault="001411CC" w:rsidP="001411CC">
      <w:pPr>
        <w:tabs>
          <w:tab w:val="left" w:pos="7549"/>
        </w:tabs>
        <w:rPr>
          <w:rFonts w:ascii="Arial" w:hAnsi="Arial" w:cs="Arial"/>
          <w:sz w:val="24"/>
          <w:szCs w:val="24"/>
        </w:rPr>
      </w:pPr>
      <w:r w:rsidRPr="002F75AC">
        <w:rPr>
          <w:rFonts w:ascii="Arial" w:hAnsi="Arial" w:cs="Arial"/>
          <w:b/>
          <w:bCs/>
          <w:sz w:val="24"/>
          <w:szCs w:val="24"/>
        </w:rPr>
        <w:t>Supplementary Fi</w:t>
      </w:r>
      <w:r>
        <w:rPr>
          <w:rFonts w:ascii="Arial" w:hAnsi="Arial" w:cs="Arial"/>
          <w:b/>
          <w:bCs/>
          <w:sz w:val="24"/>
          <w:szCs w:val="24"/>
        </w:rPr>
        <w:t>le</w:t>
      </w:r>
    </w:p>
    <w:p w14:paraId="7301E408" w14:textId="77777777" w:rsidR="001411CC" w:rsidRDefault="001411CC" w:rsidP="001411CC">
      <w:pPr>
        <w:tabs>
          <w:tab w:val="left" w:pos="7549"/>
        </w:tabs>
        <w:rPr>
          <w:rFonts w:ascii="Arial" w:hAnsi="Arial" w:cs="Arial"/>
          <w:b/>
          <w:bCs/>
          <w:sz w:val="24"/>
          <w:szCs w:val="24"/>
        </w:rPr>
      </w:pPr>
    </w:p>
    <w:p w14:paraId="2A95EEFC" w14:textId="77777777" w:rsidR="001411CC" w:rsidRDefault="001411CC" w:rsidP="001411C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additional analysis was performed to estimate the stability of SARS-CoV-2 antibodies expressed as anti-spike 1 receptor binding domain (S1RBD) IgG concentrations in international units/mL (IU/mL). Here, we used data from a previously published study, where both anti-S1 IgG OD ratios and anti-S1RBD IgG concentrations (IU/mL) were determined on the same samples </w:t>
      </w:r>
      <w:r>
        <w:rPr>
          <w:rFonts w:ascii="Arial" w:hAnsi="Arial" w:cs="Arial"/>
          <w:sz w:val="24"/>
          <w:szCs w:val="24"/>
        </w:rPr>
        <w:fldChar w:fldCharType="begin">
          <w:fldData xml:space="preserve">PEVuZE5vdGU+PENpdGU+PEF1dGhvcj5XaXRrb3dza2k8L0F1dGhvcj48WWVhcj4yMDIyPC9ZZWFy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==
</w:fldData>
        </w:fldChar>
      </w:r>
      <w:r>
        <w:rPr>
          <w:rFonts w:ascii="Arial" w:hAnsi="Arial" w:cs="Arial"/>
          <w:sz w:val="24"/>
          <w:szCs w:val="24"/>
        </w:rPr>
        <w:instrText xml:space="preserve"> ADDIN EN.CITE </w:instrText>
      </w:r>
      <w:r>
        <w:rPr>
          <w:rFonts w:ascii="Arial" w:hAnsi="Arial" w:cs="Arial"/>
          <w:sz w:val="24"/>
          <w:szCs w:val="24"/>
        </w:rPr>
        <w:fldChar w:fldCharType="begin">
          <w:fldData xml:space="preserve">PEVuZE5vdGU+PENpdGU+PEF1dGhvcj5XaXRrb3dza2k8L0F1dGhvcj48WWVhcj4yMDIyPC9ZZWFy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==
</w:fldData>
        </w:fldChar>
      </w:r>
      <w:r>
        <w:rPr>
          <w:rFonts w:ascii="Arial" w:hAnsi="Arial" w:cs="Arial"/>
          <w:sz w:val="24"/>
          <w:szCs w:val="24"/>
        </w:rPr>
        <w:instrText xml:space="preserve"> ADDIN EN.CITE.DATA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(28, 29)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. In the current analysis, we performed simple linear regression on this dataset. Using the regression fit, we interpolated the anti-S1 IgG OD ratios retrieved after short-/long- term storage to log</w:t>
      </w:r>
      <w:r w:rsidRPr="002F75AC"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S1RBD IgG concentrations (IU/mL). Mixed effects models were applied on the interpolated log</w:t>
      </w:r>
      <w:r w:rsidRPr="005D6D3B"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S1RBD IgG concentrations with </w:t>
      </w:r>
      <w:r w:rsidRPr="00744704">
        <w:rPr>
          <w:rFonts w:ascii="Arial" w:hAnsi="Arial" w:cs="Arial"/>
          <w:sz w:val="24"/>
          <w:szCs w:val="24"/>
        </w:rPr>
        <w:t>storage time</w:t>
      </w:r>
      <w:r>
        <w:rPr>
          <w:rFonts w:ascii="Arial" w:hAnsi="Arial" w:cs="Arial"/>
          <w:sz w:val="24"/>
          <w:szCs w:val="24"/>
        </w:rPr>
        <w:t xml:space="preserve"> </w:t>
      </w:r>
      <w:r w:rsidRPr="00744704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z w:val="24"/>
          <w:szCs w:val="24"/>
        </w:rPr>
        <w:t xml:space="preserve">a </w:t>
      </w:r>
      <w:r w:rsidRPr="00744704">
        <w:rPr>
          <w:rFonts w:ascii="Arial" w:hAnsi="Arial" w:cs="Arial"/>
          <w:sz w:val="24"/>
          <w:szCs w:val="24"/>
        </w:rPr>
        <w:t>fixed effect</w:t>
      </w:r>
      <w:r>
        <w:rPr>
          <w:rFonts w:ascii="Arial" w:hAnsi="Arial" w:cs="Arial"/>
          <w:sz w:val="24"/>
          <w:szCs w:val="24"/>
        </w:rPr>
        <w:t xml:space="preserve"> and subject as random effect.  </w:t>
      </w:r>
      <w:r w:rsidRPr="00744704">
        <w:rPr>
          <w:rFonts w:ascii="Arial" w:hAnsi="Arial" w:cs="Arial"/>
          <w:sz w:val="24"/>
          <w:szCs w:val="24"/>
        </w:rPr>
        <w:t>A Bonferroni correction was applied for multiple comparisons.</w:t>
      </w:r>
      <w:r>
        <w:rPr>
          <w:rFonts w:ascii="Arial" w:hAnsi="Arial" w:cs="Arial"/>
          <w:sz w:val="24"/>
          <w:szCs w:val="24"/>
        </w:rPr>
        <w:t xml:space="preserve"> S1RBD IgG concentrations were plotted over time after back transformation. No significant differences in S1RBD IgG concentrations were observed compared to baseline, except after month 4 during storage at -20°C (p=0.0044). </w:t>
      </w:r>
    </w:p>
    <w:p w14:paraId="54FDF890" w14:textId="77777777" w:rsidR="001411CC" w:rsidRDefault="001411CC" w:rsidP="001411C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5E89543" w14:textId="77777777" w:rsidR="001411CC" w:rsidRDefault="001411CC" w:rsidP="001411CC">
      <w:pPr>
        <w:spacing w:line="480" w:lineRule="auto"/>
      </w:pPr>
      <w:r>
        <w:object w:dxaOrig="6029" w:dyaOrig="4404" w14:anchorId="03868B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35pt;height:342.4pt" o:ole="">
            <v:imagedata r:id="rId6" o:title=""/>
          </v:shape>
          <o:OLEObject Type="Embed" ProgID="Prism9.Document" ShapeID="_x0000_i1025" DrawAspect="Content" ObjectID="_1788242535" r:id="rId7"/>
        </w:object>
      </w:r>
    </w:p>
    <w:p w14:paraId="664EBF0A" w14:textId="77777777" w:rsidR="001411CC" w:rsidRDefault="001411CC" w:rsidP="001411CC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Supplementary Figure 1.  Regression plot of the </w:t>
      </w:r>
      <w:r w:rsidRPr="002F0558">
        <w:rPr>
          <w:rFonts w:ascii="Arial" w:hAnsi="Arial" w:cs="Arial"/>
          <w:b/>
          <w:bCs/>
          <w:sz w:val="24"/>
          <w:szCs w:val="24"/>
        </w:rPr>
        <w:t>raw optical density</w:t>
      </w:r>
      <w:r>
        <w:rPr>
          <w:rFonts w:ascii="Arial" w:hAnsi="Arial" w:cs="Arial"/>
          <w:b/>
          <w:bCs/>
          <w:sz w:val="24"/>
          <w:szCs w:val="24"/>
        </w:rPr>
        <w:t xml:space="preserve"> (OD)</w:t>
      </w:r>
      <w:r w:rsidRPr="002F0558">
        <w:rPr>
          <w:rFonts w:ascii="Arial" w:hAnsi="Arial" w:cs="Arial"/>
          <w:b/>
          <w:bCs/>
          <w:sz w:val="24"/>
          <w:szCs w:val="24"/>
        </w:rPr>
        <w:t xml:space="preserve"> values from paired </w:t>
      </w:r>
      <w:r>
        <w:rPr>
          <w:rFonts w:ascii="Arial" w:hAnsi="Arial" w:cs="Arial"/>
          <w:b/>
          <w:bCs/>
          <w:sz w:val="24"/>
          <w:szCs w:val="24"/>
        </w:rPr>
        <w:t>measurements</w:t>
      </w:r>
      <w:r w:rsidRPr="002F0558">
        <w:rPr>
          <w:rFonts w:ascii="Arial" w:hAnsi="Arial" w:cs="Arial"/>
          <w:b/>
          <w:bCs/>
          <w:sz w:val="24"/>
          <w:szCs w:val="24"/>
        </w:rPr>
        <w:t xml:space="preserve"> obtained by the Behring Elisa Processor III </w:t>
      </w:r>
      <w:r w:rsidRPr="002F75AC">
        <w:rPr>
          <w:rFonts w:ascii="Arial" w:hAnsi="Arial" w:cs="Arial"/>
          <w:b/>
          <w:bCs/>
          <w:sz w:val="24"/>
          <w:szCs w:val="24"/>
        </w:rPr>
        <w:t>(Siemens AG, Munich, Germany)</w:t>
      </w:r>
      <w:r w:rsidRPr="002F0558">
        <w:rPr>
          <w:rFonts w:ascii="Arial" w:hAnsi="Arial" w:cs="Arial"/>
          <w:b/>
          <w:bCs/>
          <w:sz w:val="24"/>
          <w:szCs w:val="24"/>
        </w:rPr>
        <w:t xml:space="preserve"> and Magellan Sunrise™ </w:t>
      </w:r>
      <w:r w:rsidRPr="002F75AC">
        <w:rPr>
          <w:rFonts w:ascii="Arial" w:hAnsi="Arial" w:cs="Arial"/>
          <w:b/>
          <w:bCs/>
          <w:sz w:val="24"/>
          <w:szCs w:val="24"/>
        </w:rPr>
        <w:t xml:space="preserve">(Tecan Group Ltd., </w:t>
      </w:r>
      <w:proofErr w:type="spellStart"/>
      <w:r w:rsidRPr="002F75AC">
        <w:rPr>
          <w:rFonts w:ascii="Arial" w:hAnsi="Arial" w:cs="Arial"/>
          <w:b/>
          <w:bCs/>
          <w:sz w:val="24"/>
          <w:szCs w:val="24"/>
        </w:rPr>
        <w:t>Männedorf</w:t>
      </w:r>
      <w:proofErr w:type="spellEnd"/>
      <w:r w:rsidRPr="002F75AC">
        <w:rPr>
          <w:rFonts w:ascii="Arial" w:hAnsi="Arial" w:cs="Arial"/>
          <w:b/>
          <w:bCs/>
          <w:sz w:val="24"/>
          <w:szCs w:val="24"/>
        </w:rPr>
        <w:t>, Switzerland)</w:t>
      </w:r>
      <w:r w:rsidRPr="002F0558">
        <w:rPr>
          <w:rFonts w:ascii="Arial" w:hAnsi="Arial" w:cs="Arial"/>
          <w:b/>
          <w:bCs/>
          <w:sz w:val="24"/>
          <w:szCs w:val="24"/>
        </w:rPr>
        <w:t xml:space="preserve"> 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F75AC">
        <w:rPr>
          <w:rFonts w:ascii="Arial" w:hAnsi="Arial" w:cs="Arial"/>
          <w:sz w:val="24"/>
          <w:szCs w:val="24"/>
        </w:rPr>
        <w:t>n=160</w:t>
      </w:r>
    </w:p>
    <w:p w14:paraId="00007C2A" w14:textId="77777777" w:rsidR="001411CC" w:rsidRDefault="001411CC" w:rsidP="001411CC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02A5E09" w14:textId="77777777" w:rsidR="001411CC" w:rsidRDefault="001411CC" w:rsidP="001411CC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EA6783" w14:textId="77777777" w:rsidR="001411CC" w:rsidRDefault="001411CC" w:rsidP="001411CC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2FDBB2" w14:textId="77777777" w:rsidR="001411CC" w:rsidRDefault="001411CC" w:rsidP="001411CC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7A5FB5" w14:textId="77777777" w:rsidR="001411CC" w:rsidRDefault="001411CC" w:rsidP="001411CC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158EAD" w14:textId="77777777" w:rsidR="001411CC" w:rsidRDefault="001411CC" w:rsidP="001411CC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1CC01E" w14:textId="77777777" w:rsidR="001411CC" w:rsidRDefault="001411CC" w:rsidP="001411C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229EC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42F7E6" wp14:editId="492D1FBA">
                <wp:simplePos x="0" y="0"/>
                <wp:positionH relativeFrom="column">
                  <wp:posOffset>319101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2893F" w14:textId="77777777" w:rsidR="001411CC" w:rsidRPr="002F75AC" w:rsidRDefault="001411CC" w:rsidP="001411C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2F75AC">
                              <w:rPr>
                                <w:b/>
                                <w:bCs/>
                                <w:sz w:val="32"/>
                                <w:szCs w:val="32"/>
                                <w:lang w:val="nl-NL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42F7E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5.15pt;margin-top:.4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" stroked="f">
                <v:textbox style="mso-fit-shape-to-text:t">
                  <w:txbxContent>
                    <w:p w14:paraId="54D2893F" w14:textId="77777777" w:rsidR="001411CC" w:rsidRPr="002F75AC" w:rsidRDefault="001411CC" w:rsidP="001411CC">
                      <w:pPr>
                        <w:rPr>
                          <w:b/>
                          <w:bCs/>
                          <w:sz w:val="32"/>
                          <w:szCs w:val="32"/>
                          <w:lang w:val="nl-NL"/>
                        </w:rPr>
                      </w:pPr>
                      <w:r w:rsidRPr="002F75AC">
                        <w:rPr>
                          <w:b/>
                          <w:bCs/>
                          <w:sz w:val="32"/>
                          <w:szCs w:val="32"/>
                          <w:lang w:val="nl-NL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326EEFF" wp14:editId="67AB90F7">
            <wp:simplePos x="0" y="0"/>
            <wp:positionH relativeFrom="margin">
              <wp:align>center</wp:align>
            </wp:positionH>
            <wp:positionV relativeFrom="paragraph">
              <wp:posOffset>55</wp:posOffset>
            </wp:positionV>
            <wp:extent cx="5156200" cy="3595370"/>
            <wp:effectExtent l="0" t="0" r="0" b="0"/>
            <wp:wrapTight wrapText="bothSides">
              <wp:wrapPolygon edited="0">
                <wp:start x="2793" y="1259"/>
                <wp:lineTo x="718" y="3090"/>
                <wp:lineTo x="638" y="15565"/>
                <wp:lineTo x="1357" y="16137"/>
                <wp:lineTo x="2793" y="16137"/>
                <wp:lineTo x="2314" y="16709"/>
                <wp:lineTo x="3352" y="17968"/>
                <wp:lineTo x="3352" y="18540"/>
                <wp:lineTo x="7182" y="19799"/>
                <wp:lineTo x="8699" y="20143"/>
                <wp:lineTo x="10055" y="20600"/>
                <wp:lineTo x="10454" y="20600"/>
                <wp:lineTo x="13008" y="20372"/>
                <wp:lineTo x="14205" y="20143"/>
                <wp:lineTo x="15721" y="19799"/>
                <wp:lineTo x="19632" y="18540"/>
                <wp:lineTo x="19791" y="16595"/>
                <wp:lineTo x="18514" y="16480"/>
                <wp:lineTo x="5107" y="16137"/>
                <wp:lineTo x="5107" y="14306"/>
                <wp:lineTo x="18913" y="13161"/>
                <wp:lineTo x="18913" y="12818"/>
                <wp:lineTo x="5107" y="12475"/>
                <wp:lineTo x="6544" y="10644"/>
                <wp:lineTo x="12449" y="10644"/>
                <wp:lineTo x="12689" y="9385"/>
                <wp:lineTo x="11172" y="8812"/>
                <wp:lineTo x="12848" y="8812"/>
                <wp:lineTo x="17237" y="7439"/>
                <wp:lineTo x="17158" y="6981"/>
                <wp:lineTo x="17557" y="6981"/>
                <wp:lineTo x="17796" y="5951"/>
                <wp:lineTo x="17796" y="4578"/>
                <wp:lineTo x="14684" y="4235"/>
                <wp:lineTo x="5107" y="3319"/>
                <wp:lineTo x="5267" y="2174"/>
                <wp:lineTo x="4948" y="1831"/>
                <wp:lineTo x="3192" y="1259"/>
                <wp:lineTo x="2793" y="1259"/>
              </wp:wrapPolygon>
            </wp:wrapTight>
            <wp:docPr id="5814166" name="Afbeelding 4" descr="Afbeelding met schermopname, zwart, duisternis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166" name="Afbeelding 4" descr="Afbeelding met schermopname, zwart, duisternis,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595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2F79E" w14:textId="77777777" w:rsidR="001411CC" w:rsidRDefault="001411CC" w:rsidP="001411C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CE2557F" w14:textId="77777777" w:rsidR="001411CC" w:rsidRDefault="001411CC" w:rsidP="001411C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1F6AE99" w14:textId="77777777" w:rsidR="001411CC" w:rsidRDefault="001411CC" w:rsidP="001411C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F94E5AB" w14:textId="77777777" w:rsidR="001411CC" w:rsidRDefault="001411CC" w:rsidP="001411C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E3BB2E6" w14:textId="77777777" w:rsidR="001411CC" w:rsidRPr="00C24D4E" w:rsidRDefault="001411CC" w:rsidP="001411C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34B2356" w14:textId="77777777" w:rsidR="001411CC" w:rsidRDefault="001411CC" w:rsidP="001411CC">
      <w:pPr>
        <w:tabs>
          <w:tab w:val="left" w:pos="7549"/>
        </w:tabs>
        <w:rPr>
          <w:rFonts w:ascii="Arial" w:hAnsi="Arial" w:cs="Arial"/>
          <w:b/>
          <w:bCs/>
          <w:sz w:val="24"/>
          <w:szCs w:val="24"/>
        </w:rPr>
      </w:pPr>
    </w:p>
    <w:p w14:paraId="74973E6E" w14:textId="5AF30236" w:rsidR="001411CC" w:rsidRPr="007D4771" w:rsidRDefault="001411CC" w:rsidP="001411CC">
      <w:pPr>
        <w:tabs>
          <w:tab w:val="left" w:pos="7549"/>
        </w:tabs>
        <w:rPr>
          <w:rFonts w:ascii="Arial" w:hAnsi="Arial" w:cs="Arial"/>
          <w:b/>
          <w:bCs/>
          <w:sz w:val="24"/>
          <w:szCs w:val="24"/>
        </w:rPr>
      </w:pPr>
    </w:p>
    <w:p w14:paraId="54BB0147" w14:textId="7351884C" w:rsidR="004073CC" w:rsidRDefault="001411CC">
      <w:r w:rsidRPr="00B229EC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E0085F" wp14:editId="4625AA0D">
                <wp:simplePos x="0" y="0"/>
                <wp:positionH relativeFrom="column">
                  <wp:posOffset>2855430</wp:posOffset>
                </wp:positionH>
                <wp:positionV relativeFrom="paragraph">
                  <wp:posOffset>2343481</wp:posOffset>
                </wp:positionV>
                <wp:extent cx="2360930" cy="1404620"/>
                <wp:effectExtent l="0" t="0" r="0" b="6350"/>
                <wp:wrapSquare wrapText="bothSides"/>
                <wp:docPr id="144486969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435D4" w14:textId="77777777" w:rsidR="001411CC" w:rsidRPr="002F75AC" w:rsidRDefault="001411CC" w:rsidP="001411C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nl-NL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E0085F" id="_x0000_s1027" type="#_x0000_t202" style="position:absolute;margin-left:224.85pt;margin-top:184.5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" filled="f" stroked="f">
                <v:textbox style="mso-fit-shape-to-text:t">
                  <w:txbxContent>
                    <w:p w14:paraId="716435D4" w14:textId="77777777" w:rsidR="001411CC" w:rsidRPr="002F75AC" w:rsidRDefault="001411CC" w:rsidP="001411CC">
                      <w:pPr>
                        <w:rPr>
                          <w:b/>
                          <w:bCs/>
                          <w:sz w:val="32"/>
                          <w:szCs w:val="32"/>
                          <w:lang w:val="nl-NL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nl-NL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29EC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C1A2DA" wp14:editId="7C3E1C47">
                <wp:simplePos x="0" y="0"/>
                <wp:positionH relativeFrom="column">
                  <wp:posOffset>2919454</wp:posOffset>
                </wp:positionH>
                <wp:positionV relativeFrom="paragraph">
                  <wp:posOffset>441408</wp:posOffset>
                </wp:positionV>
                <wp:extent cx="2360930" cy="1404620"/>
                <wp:effectExtent l="0" t="0" r="0" b="6350"/>
                <wp:wrapSquare wrapText="bothSides"/>
                <wp:docPr id="12918827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FC575" w14:textId="77777777" w:rsidR="001411CC" w:rsidRPr="002F75AC" w:rsidRDefault="001411CC" w:rsidP="001411C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nl-NL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C1A2DA" id="_x0000_s1028" type="#_x0000_t202" style="position:absolute;margin-left:229.9pt;margin-top:34.7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" filled="f" stroked="f">
                <v:textbox style="mso-fit-shape-to-text:t">
                  <w:txbxContent>
                    <w:p w14:paraId="2A7FC575" w14:textId="77777777" w:rsidR="001411CC" w:rsidRPr="002F75AC" w:rsidRDefault="001411CC" w:rsidP="001411CC">
                      <w:pPr>
                        <w:rPr>
                          <w:b/>
                          <w:bCs/>
                          <w:sz w:val="32"/>
                          <w:szCs w:val="32"/>
                          <w:lang w:val="nl-NL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nl-NL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29EC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D82966" wp14:editId="6337D52D">
                <wp:simplePos x="0" y="0"/>
                <wp:positionH relativeFrom="column">
                  <wp:posOffset>221284</wp:posOffset>
                </wp:positionH>
                <wp:positionV relativeFrom="paragraph">
                  <wp:posOffset>442678</wp:posOffset>
                </wp:positionV>
                <wp:extent cx="2360930" cy="1404620"/>
                <wp:effectExtent l="0" t="0" r="0" b="6350"/>
                <wp:wrapSquare wrapText="bothSides"/>
                <wp:docPr id="44634796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E575C" w14:textId="77777777" w:rsidR="001411CC" w:rsidRPr="002F75AC" w:rsidRDefault="001411CC" w:rsidP="001411C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nl-NL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D82966" id="_x0000_s1029" type="#_x0000_t202" style="position:absolute;margin-left:17.4pt;margin-top:34.8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" filled="f" stroked="f">
                <v:textbox style="mso-fit-shape-to-text:t">
                  <w:txbxContent>
                    <w:p w14:paraId="411E575C" w14:textId="77777777" w:rsidR="001411CC" w:rsidRPr="002F75AC" w:rsidRDefault="001411CC" w:rsidP="001411CC">
                      <w:pPr>
                        <w:rPr>
                          <w:b/>
                          <w:bCs/>
                          <w:sz w:val="32"/>
                          <w:szCs w:val="32"/>
                          <w:lang w:val="nl-NL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nl-NL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D146CA7" wp14:editId="186C2E46">
            <wp:simplePos x="0" y="0"/>
            <wp:positionH relativeFrom="margin">
              <wp:align>right</wp:align>
            </wp:positionH>
            <wp:positionV relativeFrom="paragraph">
              <wp:posOffset>365539</wp:posOffset>
            </wp:positionV>
            <wp:extent cx="5733415" cy="4218940"/>
            <wp:effectExtent l="0" t="0" r="0" b="0"/>
            <wp:wrapTight wrapText="bothSides">
              <wp:wrapPolygon edited="0">
                <wp:start x="5311" y="683"/>
                <wp:lineTo x="1579" y="2146"/>
                <wp:lineTo x="1148" y="3511"/>
                <wp:lineTo x="718" y="4291"/>
                <wp:lineTo x="646" y="6535"/>
                <wp:lineTo x="789" y="7120"/>
                <wp:lineTo x="2368" y="8973"/>
                <wp:lineTo x="5024" y="10241"/>
                <wp:lineTo x="5598" y="10241"/>
                <wp:lineTo x="5598" y="11704"/>
                <wp:lineTo x="6387" y="11801"/>
                <wp:lineTo x="16004" y="11801"/>
                <wp:lineTo x="1794" y="12191"/>
                <wp:lineTo x="1651" y="12679"/>
                <wp:lineTo x="2799" y="13362"/>
                <wp:lineTo x="1077" y="13752"/>
                <wp:lineTo x="502" y="14142"/>
                <wp:lineTo x="502" y="17068"/>
                <wp:lineTo x="1866" y="18043"/>
                <wp:lineTo x="2799" y="18043"/>
                <wp:lineTo x="2440" y="18726"/>
                <wp:lineTo x="2512" y="18921"/>
                <wp:lineTo x="3732" y="19604"/>
                <wp:lineTo x="5526" y="20384"/>
                <wp:lineTo x="5598" y="20579"/>
                <wp:lineTo x="7177" y="20579"/>
                <wp:lineTo x="17009" y="20189"/>
                <wp:lineTo x="17368" y="19701"/>
                <wp:lineTo x="20311" y="19409"/>
                <wp:lineTo x="20167" y="18336"/>
                <wp:lineTo x="18157" y="17946"/>
                <wp:lineTo x="20167" y="17556"/>
                <wp:lineTo x="20023" y="15800"/>
                <wp:lineTo x="19808" y="15020"/>
                <wp:lineTo x="19521" y="14922"/>
                <wp:lineTo x="19880" y="14435"/>
                <wp:lineTo x="19808" y="13947"/>
                <wp:lineTo x="19378" y="13362"/>
                <wp:lineTo x="17224" y="11801"/>
                <wp:lineTo x="17296" y="10241"/>
                <wp:lineTo x="18014" y="10241"/>
                <wp:lineTo x="20167" y="9070"/>
                <wp:lineTo x="20167" y="7803"/>
                <wp:lineTo x="19090" y="7120"/>
                <wp:lineTo x="20023" y="7120"/>
                <wp:lineTo x="19880" y="5559"/>
                <wp:lineTo x="19378" y="5364"/>
                <wp:lineTo x="19306" y="4486"/>
                <wp:lineTo x="14354" y="3999"/>
                <wp:lineTo x="19306" y="3999"/>
                <wp:lineTo x="19234" y="3511"/>
                <wp:lineTo x="13134" y="2438"/>
                <wp:lineTo x="17009" y="1658"/>
                <wp:lineTo x="16866" y="878"/>
                <wp:lineTo x="7823" y="683"/>
                <wp:lineTo x="5311" y="683"/>
              </wp:wrapPolygon>
            </wp:wrapTight>
            <wp:docPr id="109837292" name="Afbeelding 5" descr="Afbeelding met tekst, schermopname, zwart, zwart-wi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7292" name="Afbeelding 5" descr="Afbeelding met tekst, schermopname, zwart, zwart-wi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1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229EC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E535E3" wp14:editId="45E67F28">
                <wp:simplePos x="0" y="0"/>
                <wp:positionH relativeFrom="column">
                  <wp:posOffset>257589</wp:posOffset>
                </wp:positionH>
                <wp:positionV relativeFrom="paragraph">
                  <wp:posOffset>2067809</wp:posOffset>
                </wp:positionV>
                <wp:extent cx="2360930" cy="1404620"/>
                <wp:effectExtent l="0" t="0" r="0" b="6350"/>
                <wp:wrapSquare wrapText="bothSides"/>
                <wp:docPr id="59134153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A2871" w14:textId="77777777" w:rsidR="001411CC" w:rsidRPr="002F75AC" w:rsidRDefault="001411CC" w:rsidP="001411C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nl-NL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E535E3" id="_x0000_s1030" type="#_x0000_t202" style="position:absolute;margin-left:20.3pt;margin-top:162.8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" filled="f" stroked="f">
                <v:textbox style="mso-fit-shape-to-text:t">
                  <w:txbxContent>
                    <w:p w14:paraId="031A2871" w14:textId="77777777" w:rsidR="001411CC" w:rsidRPr="002F75AC" w:rsidRDefault="001411CC" w:rsidP="001411CC">
                      <w:pPr>
                        <w:rPr>
                          <w:b/>
                          <w:bCs/>
                          <w:sz w:val="32"/>
                          <w:szCs w:val="32"/>
                          <w:lang w:val="nl-NL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nl-NL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C6D4C2" w14:textId="77777777" w:rsidR="001411CC" w:rsidRPr="001411CC" w:rsidRDefault="001411CC" w:rsidP="001411CC"/>
    <w:p w14:paraId="4F1E7809" w14:textId="77777777" w:rsidR="001411CC" w:rsidRPr="001411CC" w:rsidRDefault="001411CC" w:rsidP="001411CC"/>
    <w:p w14:paraId="311BD9AA" w14:textId="77777777" w:rsidR="001411CC" w:rsidRPr="001411CC" w:rsidRDefault="001411CC" w:rsidP="001411CC"/>
    <w:p w14:paraId="29C8518C" w14:textId="77777777" w:rsidR="001411CC" w:rsidRPr="001411CC" w:rsidRDefault="001411CC" w:rsidP="001411CC"/>
    <w:p w14:paraId="17E81C49" w14:textId="77777777" w:rsidR="001411CC" w:rsidRPr="001411CC" w:rsidRDefault="001411CC" w:rsidP="001411CC"/>
    <w:p w14:paraId="7EA2703D" w14:textId="77777777" w:rsidR="001411CC" w:rsidRPr="001411CC" w:rsidRDefault="001411CC" w:rsidP="001411CC"/>
    <w:p w14:paraId="26F6D741" w14:textId="77777777" w:rsidR="001411CC" w:rsidRPr="001411CC" w:rsidRDefault="001411CC" w:rsidP="001411CC"/>
    <w:p w14:paraId="06FCA3B5" w14:textId="77777777" w:rsidR="001411CC" w:rsidRPr="001411CC" w:rsidRDefault="001411CC" w:rsidP="001411CC"/>
    <w:p w14:paraId="023B8C76" w14:textId="77777777" w:rsidR="001411CC" w:rsidRPr="001411CC" w:rsidRDefault="001411CC" w:rsidP="001411CC"/>
    <w:p w14:paraId="2017C6D0" w14:textId="77777777" w:rsidR="001411CC" w:rsidRPr="001411CC" w:rsidRDefault="001411CC" w:rsidP="001411CC"/>
    <w:p w14:paraId="79AE2ABF" w14:textId="77777777" w:rsidR="001411CC" w:rsidRPr="001411CC" w:rsidRDefault="001411CC" w:rsidP="001411CC"/>
    <w:p w14:paraId="1A557E59" w14:textId="77777777" w:rsidR="001411CC" w:rsidRPr="001411CC" w:rsidRDefault="001411CC" w:rsidP="001411CC"/>
    <w:p w14:paraId="20814E54" w14:textId="77777777" w:rsidR="001411CC" w:rsidRPr="001411CC" w:rsidRDefault="001411CC" w:rsidP="001411CC"/>
    <w:p w14:paraId="62F2BDD5" w14:textId="77777777" w:rsidR="001411CC" w:rsidRDefault="001411CC" w:rsidP="001411CC"/>
    <w:p w14:paraId="092C06B8" w14:textId="77777777" w:rsidR="001411CC" w:rsidRDefault="001411CC" w:rsidP="001411CC"/>
    <w:p w14:paraId="11463C3F" w14:textId="58306A05" w:rsidR="001F5B6E" w:rsidRPr="001F5B6E" w:rsidRDefault="001411CC" w:rsidP="001F5B6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F75AC">
        <w:rPr>
          <w:rFonts w:ascii="Arial" w:hAnsi="Arial" w:cs="Arial"/>
          <w:b/>
          <w:bCs/>
          <w:sz w:val="24"/>
          <w:szCs w:val="24"/>
        </w:rPr>
        <w:t>Supplementary Figure 2:  Stability of SARS-CoV-2 antibodies over time expressed in in international units/mL</w:t>
      </w:r>
      <w:r w:rsidRPr="00C24D4E">
        <w:rPr>
          <w:rFonts w:ascii="Arial" w:hAnsi="Arial" w:cs="Arial"/>
          <w:b/>
          <w:bCs/>
          <w:sz w:val="24"/>
          <w:szCs w:val="24"/>
        </w:rPr>
        <w:t xml:space="preserve"> (IU/mL)</w:t>
      </w:r>
      <w:r w:rsidRPr="002F75AC">
        <w:rPr>
          <w:rFonts w:ascii="Arial" w:hAnsi="Arial" w:cs="Arial"/>
          <w:b/>
          <w:bCs/>
          <w:sz w:val="24"/>
          <w:szCs w:val="24"/>
        </w:rPr>
        <w:t>.</w:t>
      </w:r>
      <w:r w:rsidRPr="00C24D4E">
        <w:rPr>
          <w:rFonts w:ascii="Arial" w:hAnsi="Arial" w:cs="Arial"/>
          <w:b/>
          <w:bCs/>
          <w:sz w:val="24"/>
          <w:szCs w:val="24"/>
        </w:rPr>
        <w:t xml:space="preserve"> 2A:</w:t>
      </w:r>
      <w:r w:rsidRPr="002F75AC">
        <w:rPr>
          <w:rFonts w:ascii="Arial" w:hAnsi="Arial" w:cs="Arial"/>
          <w:sz w:val="24"/>
          <w:szCs w:val="24"/>
        </w:rPr>
        <w:t xml:space="preserve"> Regression fit of </w:t>
      </w:r>
      <w:r w:rsidRPr="00C24D4E">
        <w:rPr>
          <w:rFonts w:ascii="Arial" w:hAnsi="Arial" w:cs="Arial"/>
          <w:sz w:val="24"/>
          <w:szCs w:val="24"/>
        </w:rPr>
        <w:t>log</w:t>
      </w:r>
      <w:r w:rsidRPr="00C24D4E">
        <w:rPr>
          <w:rFonts w:ascii="Arial" w:hAnsi="Arial" w:cs="Arial"/>
          <w:sz w:val="24"/>
          <w:szCs w:val="24"/>
          <w:vertAlign w:val="subscript"/>
        </w:rPr>
        <w:t xml:space="preserve">10 </w:t>
      </w:r>
      <w:r w:rsidRPr="00C24D4E">
        <w:rPr>
          <w:rFonts w:ascii="Arial" w:hAnsi="Arial" w:cs="Arial"/>
          <w:sz w:val="24"/>
          <w:szCs w:val="24"/>
        </w:rPr>
        <w:t>S1RBD IgG concentrations (IU/</w:t>
      </w:r>
      <w:r>
        <w:rPr>
          <w:rFonts w:ascii="Arial" w:hAnsi="Arial" w:cs="Arial"/>
          <w:sz w:val="24"/>
          <w:szCs w:val="24"/>
        </w:rPr>
        <w:t>mL</w:t>
      </w:r>
      <w:r w:rsidRPr="00C24D4E">
        <w:rPr>
          <w:rFonts w:ascii="Arial" w:hAnsi="Arial" w:cs="Arial"/>
          <w:sz w:val="24"/>
          <w:szCs w:val="24"/>
        </w:rPr>
        <w:t>)</w:t>
      </w:r>
      <w:r w:rsidRPr="002F75AC">
        <w:rPr>
          <w:rFonts w:ascii="Arial" w:hAnsi="Arial" w:cs="Arial"/>
          <w:sz w:val="24"/>
          <w:szCs w:val="24"/>
        </w:rPr>
        <w:t xml:space="preserve"> and </w:t>
      </w:r>
      <w:r w:rsidRPr="00C24D4E">
        <w:rPr>
          <w:rFonts w:ascii="Arial" w:hAnsi="Arial" w:cs="Arial"/>
          <w:sz w:val="24"/>
          <w:szCs w:val="24"/>
        </w:rPr>
        <w:t>anti-S1 IgG</w:t>
      </w:r>
      <w:r w:rsidRPr="002F75AC">
        <w:rPr>
          <w:rFonts w:ascii="Arial" w:hAnsi="Arial" w:cs="Arial"/>
          <w:sz w:val="24"/>
          <w:szCs w:val="24"/>
        </w:rPr>
        <w:t xml:space="preserve"> optical density</w:t>
      </w:r>
      <w:r w:rsidRPr="00C24D4E">
        <w:rPr>
          <w:rFonts w:ascii="Arial" w:hAnsi="Arial" w:cs="Arial"/>
          <w:sz w:val="24"/>
          <w:szCs w:val="24"/>
        </w:rPr>
        <w:t xml:space="preserve"> ratios</w:t>
      </w:r>
      <w:r w:rsidRPr="002F75A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2F75AC">
        <w:rPr>
          <w:rFonts w:ascii="Arial" w:hAnsi="Arial" w:cs="Arial"/>
          <w:b/>
          <w:bCs/>
          <w:sz w:val="24"/>
          <w:szCs w:val="24"/>
        </w:rPr>
        <w:t>2B: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F75AC">
        <w:rPr>
          <w:rFonts w:ascii="Arial" w:hAnsi="Arial" w:cs="Arial"/>
          <w:sz w:val="24"/>
          <w:szCs w:val="24"/>
        </w:rPr>
        <w:t xml:space="preserve">Stability of </w:t>
      </w:r>
      <w:r w:rsidRPr="002F75AC">
        <w:rPr>
          <w:rFonts w:ascii="Arial" w:hAnsi="Arial" w:cs="Arial"/>
          <w:sz w:val="24"/>
          <w:szCs w:val="24"/>
        </w:rPr>
        <w:lastRenderedPageBreak/>
        <w:t>interpolated S1RBD IgG antibodies over two months at room temperature.</w:t>
      </w:r>
      <w:r>
        <w:rPr>
          <w:rFonts w:ascii="Arial" w:hAnsi="Arial" w:cs="Arial"/>
          <w:b/>
          <w:bCs/>
          <w:sz w:val="24"/>
          <w:szCs w:val="24"/>
        </w:rPr>
        <w:t xml:space="preserve"> 2C: </w:t>
      </w:r>
      <w:r w:rsidRPr="005D6D3B">
        <w:rPr>
          <w:rFonts w:ascii="Arial" w:hAnsi="Arial" w:cs="Arial"/>
          <w:sz w:val="24"/>
          <w:szCs w:val="24"/>
        </w:rPr>
        <w:t>Stability of interpolated S1RBD IgG antibodies over two months at</w:t>
      </w:r>
      <w:r>
        <w:rPr>
          <w:rFonts w:ascii="Arial" w:hAnsi="Arial" w:cs="Arial"/>
          <w:sz w:val="24"/>
          <w:szCs w:val="24"/>
        </w:rPr>
        <w:t xml:space="preserve"> 4°C</w:t>
      </w:r>
      <w:r w:rsidRPr="005D6D3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2F75AC">
        <w:rPr>
          <w:rFonts w:ascii="Arial" w:hAnsi="Arial" w:cs="Arial"/>
          <w:b/>
          <w:bCs/>
          <w:sz w:val="24"/>
          <w:szCs w:val="24"/>
        </w:rPr>
        <w:t>2D: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D6D3B">
        <w:rPr>
          <w:rFonts w:ascii="Arial" w:hAnsi="Arial" w:cs="Arial"/>
          <w:sz w:val="24"/>
          <w:szCs w:val="24"/>
        </w:rPr>
        <w:t>Stability of interpolated S1RBD IgG antibodies over two months at</w:t>
      </w:r>
      <w:r>
        <w:rPr>
          <w:rFonts w:ascii="Arial" w:hAnsi="Arial" w:cs="Arial"/>
          <w:sz w:val="24"/>
          <w:szCs w:val="24"/>
        </w:rPr>
        <w:t xml:space="preserve"> -20°C</w:t>
      </w:r>
      <w:r w:rsidRPr="005D6D3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2F75AC">
        <w:rPr>
          <w:rFonts w:ascii="Arial" w:hAnsi="Arial" w:cs="Arial"/>
          <w:b/>
          <w:bCs/>
          <w:sz w:val="24"/>
          <w:szCs w:val="24"/>
        </w:rPr>
        <w:t>2E: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D6D3B">
        <w:rPr>
          <w:rFonts w:ascii="Arial" w:hAnsi="Arial" w:cs="Arial"/>
          <w:sz w:val="24"/>
          <w:szCs w:val="24"/>
        </w:rPr>
        <w:t xml:space="preserve">Stability of interpolated S1RBD IgG antibodies over two </w:t>
      </w:r>
      <w:r>
        <w:rPr>
          <w:rFonts w:ascii="Arial" w:hAnsi="Arial" w:cs="Arial"/>
          <w:sz w:val="24"/>
          <w:szCs w:val="24"/>
        </w:rPr>
        <w:t xml:space="preserve">years </w:t>
      </w:r>
      <w:r w:rsidRPr="005D6D3B"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 xml:space="preserve"> -20°C. **p=0.0044; S1RBD: spike 1 receptor binding domain; S1: spike 1</w:t>
      </w:r>
    </w:p>
    <w:p w14:paraId="174975F9" w14:textId="77777777" w:rsidR="001F5B6E" w:rsidRDefault="001F5B6E"/>
    <w:p w14:paraId="4AD72400" w14:textId="77777777" w:rsidR="001F5B6E" w:rsidRDefault="001F5B6E">
      <w:pPr>
        <w:sectPr w:rsidR="001F5B6E" w:rsidSect="00AD6874">
          <w:footerReference w:type="default" r:id="rId10"/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</w:p>
    <w:tbl>
      <w:tblPr>
        <w:tblStyle w:val="Tabelraster"/>
        <w:tblpPr w:leftFromText="141" w:rightFromText="141" w:horzAnchor="margin" w:tblpY="530"/>
        <w:tblW w:w="0" w:type="auto"/>
        <w:tblLook w:val="04A0" w:firstRow="1" w:lastRow="0" w:firstColumn="1" w:lastColumn="0" w:noHBand="0" w:noVBand="1"/>
      </w:tblPr>
      <w:tblGrid>
        <w:gridCol w:w="1636"/>
        <w:gridCol w:w="988"/>
        <w:gridCol w:w="1029"/>
        <w:gridCol w:w="1057"/>
        <w:gridCol w:w="856"/>
        <w:gridCol w:w="856"/>
        <w:gridCol w:w="856"/>
        <w:gridCol w:w="1135"/>
        <w:gridCol w:w="1057"/>
        <w:gridCol w:w="1104"/>
        <w:gridCol w:w="1073"/>
        <w:gridCol w:w="1182"/>
        <w:gridCol w:w="1119"/>
      </w:tblGrid>
      <w:tr w:rsidR="00E57DA4" w:rsidRPr="001F5B6E" w14:paraId="24CC22C3" w14:textId="77777777" w:rsidTr="00366156">
        <w:trPr>
          <w:trHeight w:val="310"/>
        </w:trPr>
        <w:tc>
          <w:tcPr>
            <w:tcW w:w="1636" w:type="dxa"/>
            <w:noWrap/>
            <w:vAlign w:val="center"/>
            <w:hideMark/>
          </w:tcPr>
          <w:p w14:paraId="0659714D" w14:textId="77777777" w:rsidR="00E57DA4" w:rsidRPr="001F5B6E" w:rsidRDefault="00E57DA4" w:rsidP="00366156">
            <w:pPr>
              <w:jc w:val="center"/>
              <w:rPr>
                <w:sz w:val="14"/>
                <w:szCs w:val="14"/>
                <w:lang w:val="nl-BE"/>
              </w:rPr>
            </w:pPr>
          </w:p>
        </w:tc>
        <w:tc>
          <w:tcPr>
            <w:tcW w:w="988" w:type="dxa"/>
            <w:noWrap/>
            <w:vAlign w:val="center"/>
            <w:hideMark/>
          </w:tcPr>
          <w:p w14:paraId="305C3B9D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BASELINE</w:t>
            </w:r>
          </w:p>
        </w:tc>
        <w:tc>
          <w:tcPr>
            <w:tcW w:w="1029" w:type="dxa"/>
            <w:noWrap/>
            <w:vAlign w:val="center"/>
            <w:hideMark/>
          </w:tcPr>
          <w:p w14:paraId="5D67C90E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14 days</w:t>
            </w:r>
          </w:p>
        </w:tc>
        <w:tc>
          <w:tcPr>
            <w:tcW w:w="1057" w:type="dxa"/>
            <w:noWrap/>
            <w:vAlign w:val="center"/>
            <w:hideMark/>
          </w:tcPr>
          <w:p w14:paraId="719901D0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1 month</w:t>
            </w:r>
          </w:p>
        </w:tc>
        <w:tc>
          <w:tcPr>
            <w:tcW w:w="856" w:type="dxa"/>
            <w:noWrap/>
            <w:vAlign w:val="center"/>
            <w:hideMark/>
          </w:tcPr>
          <w:p w14:paraId="15E77FB4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2 months</w:t>
            </w:r>
          </w:p>
        </w:tc>
        <w:tc>
          <w:tcPr>
            <w:tcW w:w="856" w:type="dxa"/>
            <w:noWrap/>
            <w:vAlign w:val="center"/>
            <w:hideMark/>
          </w:tcPr>
          <w:p w14:paraId="6D1AC8AC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3 months</w:t>
            </w:r>
          </w:p>
        </w:tc>
        <w:tc>
          <w:tcPr>
            <w:tcW w:w="856" w:type="dxa"/>
            <w:noWrap/>
            <w:vAlign w:val="center"/>
            <w:hideMark/>
          </w:tcPr>
          <w:p w14:paraId="379155BD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4 months</w:t>
            </w:r>
          </w:p>
        </w:tc>
        <w:tc>
          <w:tcPr>
            <w:tcW w:w="1135" w:type="dxa"/>
            <w:noWrap/>
            <w:vAlign w:val="center"/>
            <w:hideMark/>
          </w:tcPr>
          <w:p w14:paraId="5D92F2D3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6 months</w:t>
            </w:r>
          </w:p>
        </w:tc>
        <w:tc>
          <w:tcPr>
            <w:tcW w:w="1057" w:type="dxa"/>
            <w:noWrap/>
            <w:vAlign w:val="center"/>
            <w:hideMark/>
          </w:tcPr>
          <w:p w14:paraId="697A6736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10 months</w:t>
            </w:r>
          </w:p>
        </w:tc>
        <w:tc>
          <w:tcPr>
            <w:tcW w:w="1104" w:type="dxa"/>
            <w:noWrap/>
            <w:vAlign w:val="center"/>
            <w:hideMark/>
          </w:tcPr>
          <w:p w14:paraId="17D6654D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12 months</w:t>
            </w:r>
          </w:p>
        </w:tc>
        <w:tc>
          <w:tcPr>
            <w:tcW w:w="1073" w:type="dxa"/>
            <w:noWrap/>
            <w:vAlign w:val="center"/>
            <w:hideMark/>
          </w:tcPr>
          <w:p w14:paraId="16F8F6EB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14 months</w:t>
            </w:r>
          </w:p>
        </w:tc>
        <w:tc>
          <w:tcPr>
            <w:tcW w:w="1182" w:type="dxa"/>
            <w:noWrap/>
            <w:vAlign w:val="center"/>
            <w:hideMark/>
          </w:tcPr>
          <w:p w14:paraId="682554D5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18 months</w:t>
            </w:r>
          </w:p>
        </w:tc>
        <w:tc>
          <w:tcPr>
            <w:tcW w:w="1119" w:type="dxa"/>
            <w:noWrap/>
            <w:vAlign w:val="center"/>
            <w:hideMark/>
          </w:tcPr>
          <w:p w14:paraId="7B3469CF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24 months</w:t>
            </w:r>
          </w:p>
        </w:tc>
      </w:tr>
      <w:tr w:rsidR="00E57DA4" w:rsidRPr="001F5B6E" w14:paraId="09D568BE" w14:textId="77777777" w:rsidTr="00366156">
        <w:trPr>
          <w:trHeight w:val="310"/>
        </w:trPr>
        <w:tc>
          <w:tcPr>
            <w:tcW w:w="1636" w:type="dxa"/>
            <w:noWrap/>
            <w:vAlign w:val="center"/>
            <w:hideMark/>
          </w:tcPr>
          <w:p w14:paraId="465E505B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988" w:type="dxa"/>
            <w:noWrap/>
            <w:vAlign w:val="center"/>
            <w:hideMark/>
          </w:tcPr>
          <w:p w14:paraId="2B3D91C5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14/07/2021</w:t>
            </w:r>
          </w:p>
        </w:tc>
        <w:tc>
          <w:tcPr>
            <w:tcW w:w="1029" w:type="dxa"/>
            <w:noWrap/>
            <w:vAlign w:val="center"/>
            <w:hideMark/>
          </w:tcPr>
          <w:p w14:paraId="740DFCD1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28/07/2021</w:t>
            </w:r>
          </w:p>
        </w:tc>
        <w:tc>
          <w:tcPr>
            <w:tcW w:w="1057" w:type="dxa"/>
            <w:noWrap/>
            <w:vAlign w:val="center"/>
            <w:hideMark/>
          </w:tcPr>
          <w:p w14:paraId="57A8DE5A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12/08/2021</w:t>
            </w:r>
          </w:p>
        </w:tc>
        <w:tc>
          <w:tcPr>
            <w:tcW w:w="856" w:type="dxa"/>
            <w:noWrap/>
            <w:vAlign w:val="center"/>
            <w:hideMark/>
          </w:tcPr>
          <w:p w14:paraId="0467096D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2/09/2021</w:t>
            </w:r>
          </w:p>
        </w:tc>
        <w:tc>
          <w:tcPr>
            <w:tcW w:w="856" w:type="dxa"/>
            <w:noWrap/>
            <w:vAlign w:val="center"/>
            <w:hideMark/>
          </w:tcPr>
          <w:p w14:paraId="7FE14F32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6/10/21</w:t>
            </w:r>
          </w:p>
        </w:tc>
        <w:tc>
          <w:tcPr>
            <w:tcW w:w="856" w:type="dxa"/>
            <w:noWrap/>
            <w:vAlign w:val="center"/>
            <w:hideMark/>
          </w:tcPr>
          <w:p w14:paraId="01A81EA3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5/11/21</w:t>
            </w:r>
          </w:p>
        </w:tc>
        <w:tc>
          <w:tcPr>
            <w:tcW w:w="1135" w:type="dxa"/>
            <w:noWrap/>
            <w:vAlign w:val="center"/>
            <w:hideMark/>
          </w:tcPr>
          <w:p w14:paraId="29AC153A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22/12/2021</w:t>
            </w:r>
          </w:p>
        </w:tc>
        <w:tc>
          <w:tcPr>
            <w:tcW w:w="1057" w:type="dxa"/>
            <w:noWrap/>
            <w:vAlign w:val="center"/>
            <w:hideMark/>
          </w:tcPr>
          <w:p w14:paraId="49B72CE2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26/04/2022</w:t>
            </w:r>
          </w:p>
        </w:tc>
        <w:tc>
          <w:tcPr>
            <w:tcW w:w="1104" w:type="dxa"/>
            <w:noWrap/>
            <w:vAlign w:val="center"/>
            <w:hideMark/>
          </w:tcPr>
          <w:p w14:paraId="1341C524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27/06/2022</w:t>
            </w:r>
          </w:p>
        </w:tc>
        <w:tc>
          <w:tcPr>
            <w:tcW w:w="1073" w:type="dxa"/>
            <w:noWrap/>
            <w:vAlign w:val="center"/>
            <w:hideMark/>
          </w:tcPr>
          <w:p w14:paraId="5D34A894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18/08/2022</w:t>
            </w:r>
          </w:p>
        </w:tc>
        <w:tc>
          <w:tcPr>
            <w:tcW w:w="1182" w:type="dxa"/>
            <w:noWrap/>
            <w:vAlign w:val="center"/>
            <w:hideMark/>
          </w:tcPr>
          <w:p w14:paraId="48341FF0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20/12/2022</w:t>
            </w:r>
          </w:p>
        </w:tc>
        <w:tc>
          <w:tcPr>
            <w:tcW w:w="1119" w:type="dxa"/>
            <w:noWrap/>
            <w:vAlign w:val="center"/>
            <w:hideMark/>
          </w:tcPr>
          <w:p w14:paraId="12BA22CA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23/06/2023</w:t>
            </w:r>
          </w:p>
        </w:tc>
      </w:tr>
      <w:tr w:rsidR="00E57DA4" w:rsidRPr="001F5B6E" w14:paraId="0676E9FB" w14:textId="77777777" w:rsidTr="00366156">
        <w:trPr>
          <w:trHeight w:val="310"/>
        </w:trPr>
        <w:tc>
          <w:tcPr>
            <w:tcW w:w="1636" w:type="dxa"/>
            <w:noWrap/>
            <w:vAlign w:val="center"/>
            <w:hideMark/>
          </w:tcPr>
          <w:p w14:paraId="5B1FEDD4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Sample ID</w:t>
            </w:r>
          </w:p>
        </w:tc>
        <w:tc>
          <w:tcPr>
            <w:tcW w:w="988" w:type="dxa"/>
            <w:noWrap/>
            <w:vAlign w:val="center"/>
            <w:hideMark/>
          </w:tcPr>
          <w:p w14:paraId="72F3CFAE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Baseline</w:t>
            </w:r>
          </w:p>
        </w:tc>
        <w:tc>
          <w:tcPr>
            <w:tcW w:w="1029" w:type="dxa"/>
            <w:noWrap/>
            <w:vAlign w:val="center"/>
            <w:hideMark/>
          </w:tcPr>
          <w:p w14:paraId="0E73351C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Freezer</w:t>
            </w:r>
          </w:p>
        </w:tc>
        <w:tc>
          <w:tcPr>
            <w:tcW w:w="1057" w:type="dxa"/>
            <w:noWrap/>
            <w:vAlign w:val="center"/>
            <w:hideMark/>
          </w:tcPr>
          <w:p w14:paraId="74C9200D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FREEZER</w:t>
            </w:r>
          </w:p>
        </w:tc>
        <w:tc>
          <w:tcPr>
            <w:tcW w:w="856" w:type="dxa"/>
            <w:noWrap/>
            <w:vAlign w:val="center"/>
            <w:hideMark/>
          </w:tcPr>
          <w:p w14:paraId="62DF8B5B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FREEZER</w:t>
            </w:r>
          </w:p>
        </w:tc>
        <w:tc>
          <w:tcPr>
            <w:tcW w:w="856" w:type="dxa"/>
            <w:noWrap/>
            <w:vAlign w:val="center"/>
            <w:hideMark/>
          </w:tcPr>
          <w:p w14:paraId="34F20CFB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FREEZER</w:t>
            </w:r>
          </w:p>
        </w:tc>
        <w:tc>
          <w:tcPr>
            <w:tcW w:w="856" w:type="dxa"/>
            <w:noWrap/>
            <w:vAlign w:val="center"/>
            <w:hideMark/>
          </w:tcPr>
          <w:p w14:paraId="44E8DABE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FREEZER</w:t>
            </w:r>
          </w:p>
        </w:tc>
        <w:tc>
          <w:tcPr>
            <w:tcW w:w="1135" w:type="dxa"/>
            <w:noWrap/>
            <w:vAlign w:val="center"/>
            <w:hideMark/>
          </w:tcPr>
          <w:p w14:paraId="341C7188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FREEZER</w:t>
            </w:r>
          </w:p>
        </w:tc>
        <w:tc>
          <w:tcPr>
            <w:tcW w:w="1057" w:type="dxa"/>
            <w:noWrap/>
            <w:vAlign w:val="center"/>
            <w:hideMark/>
          </w:tcPr>
          <w:p w14:paraId="423C4553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FREEZER</w:t>
            </w:r>
          </w:p>
        </w:tc>
        <w:tc>
          <w:tcPr>
            <w:tcW w:w="1104" w:type="dxa"/>
            <w:noWrap/>
            <w:vAlign w:val="center"/>
            <w:hideMark/>
          </w:tcPr>
          <w:p w14:paraId="1D3C4F9B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FREEZER</w:t>
            </w:r>
          </w:p>
        </w:tc>
        <w:tc>
          <w:tcPr>
            <w:tcW w:w="1073" w:type="dxa"/>
            <w:noWrap/>
            <w:vAlign w:val="center"/>
            <w:hideMark/>
          </w:tcPr>
          <w:p w14:paraId="2DC6A79B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FREEZER</w:t>
            </w:r>
          </w:p>
        </w:tc>
        <w:tc>
          <w:tcPr>
            <w:tcW w:w="1182" w:type="dxa"/>
            <w:noWrap/>
            <w:vAlign w:val="center"/>
            <w:hideMark/>
          </w:tcPr>
          <w:p w14:paraId="3918A4EC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FREEZER</w:t>
            </w:r>
          </w:p>
        </w:tc>
        <w:tc>
          <w:tcPr>
            <w:tcW w:w="1119" w:type="dxa"/>
            <w:noWrap/>
            <w:vAlign w:val="center"/>
            <w:hideMark/>
          </w:tcPr>
          <w:p w14:paraId="017BD3BF" w14:textId="77777777" w:rsidR="00E57DA4" w:rsidRPr="001F5B6E" w:rsidRDefault="00E57DA4" w:rsidP="00366156">
            <w:pPr>
              <w:jc w:val="center"/>
              <w:rPr>
                <w:b/>
                <w:bCs/>
                <w:sz w:val="14"/>
                <w:szCs w:val="14"/>
              </w:rPr>
            </w:pPr>
            <w:r w:rsidRPr="001F5B6E">
              <w:rPr>
                <w:b/>
                <w:bCs/>
                <w:sz w:val="14"/>
                <w:szCs w:val="14"/>
              </w:rPr>
              <w:t>FREEZER</w:t>
            </w:r>
          </w:p>
        </w:tc>
      </w:tr>
      <w:tr w:rsidR="00E57DA4" w:rsidRPr="001F5B6E" w14:paraId="45A86F76" w14:textId="77777777" w:rsidTr="00366156">
        <w:trPr>
          <w:trHeight w:val="310"/>
        </w:trPr>
        <w:tc>
          <w:tcPr>
            <w:tcW w:w="1636" w:type="dxa"/>
            <w:noWrap/>
            <w:vAlign w:val="center"/>
            <w:hideMark/>
          </w:tcPr>
          <w:p w14:paraId="1AFB0061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STABILITY SUBJECT 1</w:t>
            </w:r>
          </w:p>
        </w:tc>
        <w:tc>
          <w:tcPr>
            <w:tcW w:w="988" w:type="dxa"/>
            <w:noWrap/>
            <w:vAlign w:val="center"/>
            <w:hideMark/>
          </w:tcPr>
          <w:p w14:paraId="2A4A3F12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5.72</w:t>
            </w:r>
          </w:p>
        </w:tc>
        <w:tc>
          <w:tcPr>
            <w:tcW w:w="1029" w:type="dxa"/>
            <w:noWrap/>
            <w:vAlign w:val="center"/>
            <w:hideMark/>
          </w:tcPr>
          <w:p w14:paraId="7D626812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4.311</w:t>
            </w:r>
          </w:p>
        </w:tc>
        <w:tc>
          <w:tcPr>
            <w:tcW w:w="1057" w:type="dxa"/>
            <w:noWrap/>
            <w:vAlign w:val="center"/>
            <w:hideMark/>
          </w:tcPr>
          <w:p w14:paraId="433F6A85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4.8</w:t>
            </w:r>
          </w:p>
        </w:tc>
        <w:tc>
          <w:tcPr>
            <w:tcW w:w="856" w:type="dxa"/>
            <w:noWrap/>
            <w:vAlign w:val="center"/>
            <w:hideMark/>
          </w:tcPr>
          <w:p w14:paraId="72E648CE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4.75</w:t>
            </w:r>
          </w:p>
        </w:tc>
        <w:tc>
          <w:tcPr>
            <w:tcW w:w="856" w:type="dxa"/>
            <w:noWrap/>
            <w:vAlign w:val="center"/>
            <w:hideMark/>
          </w:tcPr>
          <w:p w14:paraId="0783F489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3.92</w:t>
            </w:r>
          </w:p>
        </w:tc>
        <w:tc>
          <w:tcPr>
            <w:tcW w:w="856" w:type="dxa"/>
            <w:noWrap/>
            <w:vAlign w:val="center"/>
            <w:hideMark/>
          </w:tcPr>
          <w:p w14:paraId="6C48DC3F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4.08</w:t>
            </w:r>
          </w:p>
        </w:tc>
        <w:tc>
          <w:tcPr>
            <w:tcW w:w="1135" w:type="dxa"/>
            <w:noWrap/>
            <w:vAlign w:val="center"/>
            <w:hideMark/>
          </w:tcPr>
          <w:p w14:paraId="42364ABB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4.86</w:t>
            </w:r>
          </w:p>
        </w:tc>
        <w:tc>
          <w:tcPr>
            <w:tcW w:w="1057" w:type="dxa"/>
            <w:noWrap/>
            <w:vAlign w:val="center"/>
            <w:hideMark/>
          </w:tcPr>
          <w:p w14:paraId="37DDCCDD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4.83</w:t>
            </w:r>
          </w:p>
        </w:tc>
        <w:tc>
          <w:tcPr>
            <w:tcW w:w="1104" w:type="dxa"/>
            <w:noWrap/>
            <w:vAlign w:val="center"/>
            <w:hideMark/>
          </w:tcPr>
          <w:p w14:paraId="53090776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4.43</w:t>
            </w:r>
          </w:p>
        </w:tc>
        <w:tc>
          <w:tcPr>
            <w:tcW w:w="1073" w:type="dxa"/>
            <w:noWrap/>
            <w:vAlign w:val="center"/>
            <w:hideMark/>
          </w:tcPr>
          <w:p w14:paraId="1C701728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4.24</w:t>
            </w:r>
          </w:p>
        </w:tc>
        <w:tc>
          <w:tcPr>
            <w:tcW w:w="1182" w:type="dxa"/>
            <w:noWrap/>
            <w:vAlign w:val="center"/>
            <w:hideMark/>
          </w:tcPr>
          <w:p w14:paraId="1335127B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4.80</w:t>
            </w:r>
          </w:p>
        </w:tc>
        <w:tc>
          <w:tcPr>
            <w:tcW w:w="1119" w:type="dxa"/>
            <w:noWrap/>
            <w:vAlign w:val="center"/>
            <w:hideMark/>
          </w:tcPr>
          <w:p w14:paraId="7612ADF4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4.2</w:t>
            </w:r>
          </w:p>
        </w:tc>
      </w:tr>
      <w:tr w:rsidR="00E57DA4" w:rsidRPr="001F5B6E" w14:paraId="3C1B8DF4" w14:textId="77777777" w:rsidTr="00366156">
        <w:trPr>
          <w:trHeight w:val="310"/>
        </w:trPr>
        <w:tc>
          <w:tcPr>
            <w:tcW w:w="1636" w:type="dxa"/>
            <w:noWrap/>
            <w:vAlign w:val="center"/>
            <w:hideMark/>
          </w:tcPr>
          <w:p w14:paraId="69C8EB97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STABILITY SUBJECT 2</w:t>
            </w:r>
          </w:p>
        </w:tc>
        <w:tc>
          <w:tcPr>
            <w:tcW w:w="988" w:type="dxa"/>
            <w:noWrap/>
            <w:vAlign w:val="center"/>
            <w:hideMark/>
          </w:tcPr>
          <w:p w14:paraId="5C02E502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2.1</w:t>
            </w:r>
          </w:p>
        </w:tc>
        <w:tc>
          <w:tcPr>
            <w:tcW w:w="1029" w:type="dxa"/>
            <w:noWrap/>
            <w:vAlign w:val="center"/>
            <w:hideMark/>
          </w:tcPr>
          <w:p w14:paraId="76185FCE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2.114</w:t>
            </w:r>
          </w:p>
        </w:tc>
        <w:tc>
          <w:tcPr>
            <w:tcW w:w="1057" w:type="dxa"/>
            <w:noWrap/>
            <w:vAlign w:val="center"/>
            <w:hideMark/>
          </w:tcPr>
          <w:p w14:paraId="20205920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1.81</w:t>
            </w:r>
          </w:p>
        </w:tc>
        <w:tc>
          <w:tcPr>
            <w:tcW w:w="856" w:type="dxa"/>
            <w:noWrap/>
            <w:vAlign w:val="center"/>
            <w:hideMark/>
          </w:tcPr>
          <w:p w14:paraId="1407DAB3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1.91</w:t>
            </w:r>
          </w:p>
        </w:tc>
        <w:tc>
          <w:tcPr>
            <w:tcW w:w="856" w:type="dxa"/>
            <w:noWrap/>
            <w:vAlign w:val="center"/>
            <w:hideMark/>
          </w:tcPr>
          <w:p w14:paraId="0C5DAFBD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1.96</w:t>
            </w:r>
          </w:p>
        </w:tc>
        <w:tc>
          <w:tcPr>
            <w:tcW w:w="856" w:type="dxa"/>
            <w:noWrap/>
            <w:vAlign w:val="center"/>
            <w:hideMark/>
          </w:tcPr>
          <w:p w14:paraId="012BADAC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1.37</w:t>
            </w:r>
          </w:p>
        </w:tc>
        <w:tc>
          <w:tcPr>
            <w:tcW w:w="1135" w:type="dxa"/>
            <w:noWrap/>
            <w:vAlign w:val="center"/>
            <w:hideMark/>
          </w:tcPr>
          <w:p w14:paraId="03B241F5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2.14</w:t>
            </w:r>
          </w:p>
        </w:tc>
        <w:tc>
          <w:tcPr>
            <w:tcW w:w="1057" w:type="dxa"/>
            <w:noWrap/>
            <w:vAlign w:val="center"/>
            <w:hideMark/>
          </w:tcPr>
          <w:p w14:paraId="6898F665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2.08</w:t>
            </w:r>
          </w:p>
        </w:tc>
        <w:tc>
          <w:tcPr>
            <w:tcW w:w="1104" w:type="dxa"/>
            <w:noWrap/>
            <w:vAlign w:val="center"/>
            <w:hideMark/>
          </w:tcPr>
          <w:p w14:paraId="4F317457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2.16</w:t>
            </w:r>
          </w:p>
        </w:tc>
        <w:tc>
          <w:tcPr>
            <w:tcW w:w="1073" w:type="dxa"/>
            <w:noWrap/>
            <w:vAlign w:val="center"/>
            <w:hideMark/>
          </w:tcPr>
          <w:p w14:paraId="3748FA8F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2.30</w:t>
            </w:r>
          </w:p>
        </w:tc>
        <w:tc>
          <w:tcPr>
            <w:tcW w:w="1182" w:type="dxa"/>
            <w:noWrap/>
            <w:vAlign w:val="center"/>
            <w:hideMark/>
          </w:tcPr>
          <w:p w14:paraId="05C10855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2.81</w:t>
            </w:r>
          </w:p>
        </w:tc>
        <w:tc>
          <w:tcPr>
            <w:tcW w:w="1119" w:type="dxa"/>
            <w:noWrap/>
            <w:vAlign w:val="center"/>
            <w:hideMark/>
          </w:tcPr>
          <w:p w14:paraId="59696A30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2.11</w:t>
            </w:r>
          </w:p>
        </w:tc>
      </w:tr>
      <w:tr w:rsidR="00E57DA4" w:rsidRPr="001F5B6E" w14:paraId="466085C1" w14:textId="77777777" w:rsidTr="00366156">
        <w:trPr>
          <w:trHeight w:val="310"/>
        </w:trPr>
        <w:tc>
          <w:tcPr>
            <w:tcW w:w="1636" w:type="dxa"/>
            <w:noWrap/>
            <w:vAlign w:val="center"/>
            <w:hideMark/>
          </w:tcPr>
          <w:p w14:paraId="08218D4E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STABILITY SUBJECT 3</w:t>
            </w:r>
          </w:p>
        </w:tc>
        <w:tc>
          <w:tcPr>
            <w:tcW w:w="988" w:type="dxa"/>
            <w:noWrap/>
            <w:vAlign w:val="center"/>
            <w:hideMark/>
          </w:tcPr>
          <w:p w14:paraId="0A369DA4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8.9</w:t>
            </w:r>
          </w:p>
        </w:tc>
        <w:tc>
          <w:tcPr>
            <w:tcW w:w="1029" w:type="dxa"/>
            <w:noWrap/>
            <w:vAlign w:val="center"/>
            <w:hideMark/>
          </w:tcPr>
          <w:p w14:paraId="6C4A47CF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9.622</w:t>
            </w:r>
          </w:p>
        </w:tc>
        <w:tc>
          <w:tcPr>
            <w:tcW w:w="1057" w:type="dxa"/>
            <w:noWrap/>
            <w:vAlign w:val="center"/>
            <w:hideMark/>
          </w:tcPr>
          <w:p w14:paraId="78B1C8FB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9.32</w:t>
            </w:r>
          </w:p>
        </w:tc>
        <w:tc>
          <w:tcPr>
            <w:tcW w:w="856" w:type="dxa"/>
            <w:noWrap/>
            <w:vAlign w:val="center"/>
            <w:hideMark/>
          </w:tcPr>
          <w:p w14:paraId="57783DE4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9.48</w:t>
            </w:r>
          </w:p>
        </w:tc>
        <w:tc>
          <w:tcPr>
            <w:tcW w:w="856" w:type="dxa"/>
            <w:noWrap/>
            <w:vAlign w:val="center"/>
            <w:hideMark/>
          </w:tcPr>
          <w:p w14:paraId="3AEB45A5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8.55</w:t>
            </w:r>
          </w:p>
        </w:tc>
        <w:tc>
          <w:tcPr>
            <w:tcW w:w="856" w:type="dxa"/>
            <w:noWrap/>
            <w:vAlign w:val="center"/>
            <w:hideMark/>
          </w:tcPr>
          <w:p w14:paraId="6EDBA168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8.08</w:t>
            </w:r>
          </w:p>
        </w:tc>
        <w:tc>
          <w:tcPr>
            <w:tcW w:w="1135" w:type="dxa"/>
            <w:noWrap/>
            <w:vAlign w:val="center"/>
            <w:hideMark/>
          </w:tcPr>
          <w:p w14:paraId="7ACC0425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9.94</w:t>
            </w:r>
          </w:p>
        </w:tc>
        <w:tc>
          <w:tcPr>
            <w:tcW w:w="1057" w:type="dxa"/>
            <w:noWrap/>
            <w:vAlign w:val="center"/>
            <w:hideMark/>
          </w:tcPr>
          <w:p w14:paraId="7FC7F8E6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9.36</w:t>
            </w:r>
          </w:p>
        </w:tc>
        <w:tc>
          <w:tcPr>
            <w:tcW w:w="1104" w:type="dxa"/>
            <w:noWrap/>
            <w:vAlign w:val="center"/>
            <w:hideMark/>
          </w:tcPr>
          <w:p w14:paraId="35A47A54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11.04</w:t>
            </w:r>
          </w:p>
        </w:tc>
        <w:tc>
          <w:tcPr>
            <w:tcW w:w="1073" w:type="dxa"/>
            <w:noWrap/>
            <w:vAlign w:val="center"/>
            <w:hideMark/>
          </w:tcPr>
          <w:p w14:paraId="01F5BC37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10.29</w:t>
            </w:r>
          </w:p>
        </w:tc>
        <w:tc>
          <w:tcPr>
            <w:tcW w:w="1182" w:type="dxa"/>
            <w:noWrap/>
            <w:vAlign w:val="center"/>
            <w:hideMark/>
          </w:tcPr>
          <w:p w14:paraId="4B423956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12.75</w:t>
            </w:r>
          </w:p>
        </w:tc>
        <w:tc>
          <w:tcPr>
            <w:tcW w:w="1119" w:type="dxa"/>
            <w:noWrap/>
            <w:vAlign w:val="center"/>
            <w:hideMark/>
          </w:tcPr>
          <w:p w14:paraId="469E6A4A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10.79</w:t>
            </w:r>
          </w:p>
        </w:tc>
      </w:tr>
      <w:tr w:rsidR="00E57DA4" w:rsidRPr="001F5B6E" w14:paraId="4683B956" w14:textId="77777777" w:rsidTr="00366156">
        <w:trPr>
          <w:trHeight w:val="310"/>
        </w:trPr>
        <w:tc>
          <w:tcPr>
            <w:tcW w:w="1636" w:type="dxa"/>
            <w:noWrap/>
            <w:vAlign w:val="center"/>
            <w:hideMark/>
          </w:tcPr>
          <w:p w14:paraId="7FF81407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STABILITY SUBJECT 4</w:t>
            </w:r>
          </w:p>
        </w:tc>
        <w:tc>
          <w:tcPr>
            <w:tcW w:w="988" w:type="dxa"/>
            <w:noWrap/>
            <w:vAlign w:val="center"/>
            <w:hideMark/>
          </w:tcPr>
          <w:p w14:paraId="6B25455B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7.97</w:t>
            </w:r>
          </w:p>
        </w:tc>
        <w:tc>
          <w:tcPr>
            <w:tcW w:w="1029" w:type="dxa"/>
            <w:noWrap/>
            <w:vAlign w:val="center"/>
            <w:hideMark/>
          </w:tcPr>
          <w:p w14:paraId="0FE294CB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7.952</w:t>
            </w:r>
          </w:p>
        </w:tc>
        <w:tc>
          <w:tcPr>
            <w:tcW w:w="1057" w:type="dxa"/>
            <w:noWrap/>
            <w:vAlign w:val="center"/>
            <w:hideMark/>
          </w:tcPr>
          <w:p w14:paraId="0272F668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7.32</w:t>
            </w:r>
          </w:p>
        </w:tc>
        <w:tc>
          <w:tcPr>
            <w:tcW w:w="856" w:type="dxa"/>
            <w:noWrap/>
            <w:vAlign w:val="center"/>
            <w:hideMark/>
          </w:tcPr>
          <w:p w14:paraId="0F63B246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7.77</w:t>
            </w:r>
          </w:p>
        </w:tc>
        <w:tc>
          <w:tcPr>
            <w:tcW w:w="856" w:type="dxa"/>
            <w:noWrap/>
            <w:vAlign w:val="center"/>
            <w:hideMark/>
          </w:tcPr>
          <w:p w14:paraId="7EBAEDA3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6.82</w:t>
            </w:r>
          </w:p>
        </w:tc>
        <w:tc>
          <w:tcPr>
            <w:tcW w:w="856" w:type="dxa"/>
            <w:noWrap/>
            <w:vAlign w:val="center"/>
            <w:hideMark/>
          </w:tcPr>
          <w:p w14:paraId="643B7E9F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6.29</w:t>
            </w:r>
          </w:p>
        </w:tc>
        <w:tc>
          <w:tcPr>
            <w:tcW w:w="1135" w:type="dxa"/>
            <w:noWrap/>
            <w:vAlign w:val="center"/>
            <w:hideMark/>
          </w:tcPr>
          <w:p w14:paraId="59759611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8.19</w:t>
            </w:r>
          </w:p>
        </w:tc>
        <w:tc>
          <w:tcPr>
            <w:tcW w:w="1057" w:type="dxa"/>
            <w:noWrap/>
            <w:vAlign w:val="center"/>
            <w:hideMark/>
          </w:tcPr>
          <w:p w14:paraId="0F0AF121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7.74</w:t>
            </w:r>
          </w:p>
        </w:tc>
        <w:tc>
          <w:tcPr>
            <w:tcW w:w="1104" w:type="dxa"/>
            <w:noWrap/>
            <w:vAlign w:val="center"/>
            <w:hideMark/>
          </w:tcPr>
          <w:p w14:paraId="31D1487E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7.30</w:t>
            </w:r>
          </w:p>
        </w:tc>
        <w:tc>
          <w:tcPr>
            <w:tcW w:w="1073" w:type="dxa"/>
            <w:noWrap/>
            <w:vAlign w:val="center"/>
            <w:hideMark/>
          </w:tcPr>
          <w:p w14:paraId="44D6EAE1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7.97</w:t>
            </w:r>
          </w:p>
        </w:tc>
        <w:tc>
          <w:tcPr>
            <w:tcW w:w="1182" w:type="dxa"/>
            <w:noWrap/>
            <w:vAlign w:val="center"/>
            <w:hideMark/>
          </w:tcPr>
          <w:p w14:paraId="03FDA32B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8.68</w:t>
            </w:r>
          </w:p>
        </w:tc>
        <w:tc>
          <w:tcPr>
            <w:tcW w:w="1119" w:type="dxa"/>
            <w:noWrap/>
            <w:vAlign w:val="center"/>
            <w:hideMark/>
          </w:tcPr>
          <w:p w14:paraId="34694B8A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7.27</w:t>
            </w:r>
          </w:p>
        </w:tc>
      </w:tr>
      <w:tr w:rsidR="00E57DA4" w:rsidRPr="001F5B6E" w14:paraId="6E367A1F" w14:textId="77777777" w:rsidTr="00366156">
        <w:trPr>
          <w:trHeight w:val="310"/>
        </w:trPr>
        <w:tc>
          <w:tcPr>
            <w:tcW w:w="1636" w:type="dxa"/>
            <w:noWrap/>
            <w:vAlign w:val="center"/>
            <w:hideMark/>
          </w:tcPr>
          <w:p w14:paraId="4669E7AB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STABILITY SUBJECT 5</w:t>
            </w:r>
          </w:p>
        </w:tc>
        <w:tc>
          <w:tcPr>
            <w:tcW w:w="988" w:type="dxa"/>
            <w:noWrap/>
            <w:vAlign w:val="center"/>
            <w:hideMark/>
          </w:tcPr>
          <w:p w14:paraId="67E95346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4.41</w:t>
            </w:r>
          </w:p>
        </w:tc>
        <w:tc>
          <w:tcPr>
            <w:tcW w:w="1029" w:type="dxa"/>
            <w:noWrap/>
            <w:vAlign w:val="center"/>
            <w:hideMark/>
          </w:tcPr>
          <w:p w14:paraId="7D2CA18E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4.184</w:t>
            </w:r>
          </w:p>
        </w:tc>
        <w:tc>
          <w:tcPr>
            <w:tcW w:w="1057" w:type="dxa"/>
            <w:noWrap/>
            <w:vAlign w:val="center"/>
            <w:hideMark/>
          </w:tcPr>
          <w:p w14:paraId="343ED1D4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3.86</w:t>
            </w:r>
          </w:p>
        </w:tc>
        <w:tc>
          <w:tcPr>
            <w:tcW w:w="856" w:type="dxa"/>
            <w:noWrap/>
            <w:vAlign w:val="center"/>
            <w:hideMark/>
          </w:tcPr>
          <w:p w14:paraId="690474A0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4.12</w:t>
            </w:r>
          </w:p>
        </w:tc>
        <w:tc>
          <w:tcPr>
            <w:tcW w:w="856" w:type="dxa"/>
            <w:noWrap/>
            <w:vAlign w:val="center"/>
            <w:hideMark/>
          </w:tcPr>
          <w:p w14:paraId="6AFB0A52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3.70</w:t>
            </w:r>
          </w:p>
        </w:tc>
        <w:tc>
          <w:tcPr>
            <w:tcW w:w="856" w:type="dxa"/>
            <w:noWrap/>
            <w:vAlign w:val="center"/>
            <w:hideMark/>
          </w:tcPr>
          <w:p w14:paraId="3BC7D0B8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3.08</w:t>
            </w:r>
          </w:p>
        </w:tc>
        <w:tc>
          <w:tcPr>
            <w:tcW w:w="1135" w:type="dxa"/>
            <w:noWrap/>
            <w:vAlign w:val="center"/>
            <w:hideMark/>
          </w:tcPr>
          <w:p w14:paraId="7B9EF017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3.72</w:t>
            </w:r>
          </w:p>
        </w:tc>
        <w:tc>
          <w:tcPr>
            <w:tcW w:w="1057" w:type="dxa"/>
            <w:noWrap/>
            <w:vAlign w:val="center"/>
            <w:hideMark/>
          </w:tcPr>
          <w:p w14:paraId="1B6DACFA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3.86</w:t>
            </w:r>
          </w:p>
        </w:tc>
        <w:tc>
          <w:tcPr>
            <w:tcW w:w="1104" w:type="dxa"/>
            <w:noWrap/>
            <w:vAlign w:val="center"/>
            <w:hideMark/>
          </w:tcPr>
          <w:p w14:paraId="5991A7CB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3.56</w:t>
            </w:r>
          </w:p>
        </w:tc>
        <w:tc>
          <w:tcPr>
            <w:tcW w:w="1073" w:type="dxa"/>
            <w:noWrap/>
            <w:vAlign w:val="center"/>
            <w:hideMark/>
          </w:tcPr>
          <w:p w14:paraId="43DF00B2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2.87</w:t>
            </w:r>
          </w:p>
        </w:tc>
        <w:tc>
          <w:tcPr>
            <w:tcW w:w="1182" w:type="dxa"/>
            <w:noWrap/>
            <w:vAlign w:val="center"/>
            <w:hideMark/>
          </w:tcPr>
          <w:p w14:paraId="5D2A805C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4.08</w:t>
            </w:r>
          </w:p>
        </w:tc>
        <w:tc>
          <w:tcPr>
            <w:tcW w:w="1119" w:type="dxa"/>
            <w:noWrap/>
            <w:vAlign w:val="center"/>
            <w:hideMark/>
          </w:tcPr>
          <w:p w14:paraId="428B1F24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3.4</w:t>
            </w:r>
          </w:p>
        </w:tc>
      </w:tr>
      <w:tr w:rsidR="00E57DA4" w:rsidRPr="001F5B6E" w14:paraId="582FF6CE" w14:textId="77777777" w:rsidTr="00366156">
        <w:trPr>
          <w:trHeight w:val="310"/>
        </w:trPr>
        <w:tc>
          <w:tcPr>
            <w:tcW w:w="1636" w:type="dxa"/>
            <w:noWrap/>
            <w:vAlign w:val="center"/>
            <w:hideMark/>
          </w:tcPr>
          <w:p w14:paraId="3AF7F37E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STABILITY SUBJECT 6</w:t>
            </w:r>
          </w:p>
        </w:tc>
        <w:tc>
          <w:tcPr>
            <w:tcW w:w="988" w:type="dxa"/>
            <w:noWrap/>
            <w:vAlign w:val="center"/>
            <w:hideMark/>
          </w:tcPr>
          <w:p w14:paraId="554508E8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0.9</w:t>
            </w:r>
          </w:p>
        </w:tc>
        <w:tc>
          <w:tcPr>
            <w:tcW w:w="1029" w:type="dxa"/>
            <w:noWrap/>
            <w:vAlign w:val="center"/>
            <w:hideMark/>
          </w:tcPr>
          <w:p w14:paraId="547387D8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0.781</w:t>
            </w:r>
          </w:p>
        </w:tc>
        <w:tc>
          <w:tcPr>
            <w:tcW w:w="1057" w:type="dxa"/>
            <w:noWrap/>
            <w:vAlign w:val="center"/>
            <w:hideMark/>
          </w:tcPr>
          <w:p w14:paraId="6F2F41F5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0.6</w:t>
            </w:r>
          </w:p>
        </w:tc>
        <w:tc>
          <w:tcPr>
            <w:tcW w:w="856" w:type="dxa"/>
            <w:noWrap/>
            <w:vAlign w:val="center"/>
            <w:hideMark/>
          </w:tcPr>
          <w:p w14:paraId="030241B4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0.77</w:t>
            </w:r>
          </w:p>
        </w:tc>
        <w:tc>
          <w:tcPr>
            <w:tcW w:w="856" w:type="dxa"/>
            <w:noWrap/>
            <w:vAlign w:val="center"/>
            <w:hideMark/>
          </w:tcPr>
          <w:p w14:paraId="089F46DF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1.04</w:t>
            </w:r>
          </w:p>
        </w:tc>
        <w:tc>
          <w:tcPr>
            <w:tcW w:w="856" w:type="dxa"/>
            <w:noWrap/>
            <w:vAlign w:val="center"/>
            <w:hideMark/>
          </w:tcPr>
          <w:p w14:paraId="616EA07E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0.63</w:t>
            </w:r>
          </w:p>
        </w:tc>
        <w:tc>
          <w:tcPr>
            <w:tcW w:w="1135" w:type="dxa"/>
            <w:noWrap/>
            <w:vAlign w:val="center"/>
            <w:hideMark/>
          </w:tcPr>
          <w:p w14:paraId="6C0FFD8B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0.88</w:t>
            </w:r>
          </w:p>
        </w:tc>
        <w:tc>
          <w:tcPr>
            <w:tcW w:w="1057" w:type="dxa"/>
            <w:noWrap/>
            <w:vAlign w:val="center"/>
            <w:hideMark/>
          </w:tcPr>
          <w:p w14:paraId="3C7EB11C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0.83</w:t>
            </w:r>
          </w:p>
        </w:tc>
        <w:tc>
          <w:tcPr>
            <w:tcW w:w="1104" w:type="dxa"/>
            <w:noWrap/>
            <w:vAlign w:val="center"/>
            <w:hideMark/>
          </w:tcPr>
          <w:p w14:paraId="635D6380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0.66</w:t>
            </w:r>
          </w:p>
        </w:tc>
        <w:tc>
          <w:tcPr>
            <w:tcW w:w="1073" w:type="dxa"/>
            <w:noWrap/>
            <w:vAlign w:val="center"/>
            <w:hideMark/>
          </w:tcPr>
          <w:p w14:paraId="10BF07A9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0.68</w:t>
            </w:r>
          </w:p>
        </w:tc>
        <w:tc>
          <w:tcPr>
            <w:tcW w:w="1182" w:type="dxa"/>
            <w:noWrap/>
            <w:vAlign w:val="center"/>
            <w:hideMark/>
          </w:tcPr>
          <w:p w14:paraId="0B958FED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0.62</w:t>
            </w:r>
          </w:p>
        </w:tc>
        <w:tc>
          <w:tcPr>
            <w:tcW w:w="1119" w:type="dxa"/>
            <w:noWrap/>
            <w:vAlign w:val="center"/>
            <w:hideMark/>
          </w:tcPr>
          <w:p w14:paraId="03BF2D0D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0.7</w:t>
            </w:r>
          </w:p>
        </w:tc>
      </w:tr>
      <w:tr w:rsidR="00E57DA4" w:rsidRPr="001F5B6E" w14:paraId="52AC053E" w14:textId="77777777" w:rsidTr="00366156">
        <w:trPr>
          <w:trHeight w:val="310"/>
        </w:trPr>
        <w:tc>
          <w:tcPr>
            <w:tcW w:w="1636" w:type="dxa"/>
            <w:noWrap/>
            <w:vAlign w:val="center"/>
            <w:hideMark/>
          </w:tcPr>
          <w:p w14:paraId="431C27AF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STABILITY SUBJECT 7</w:t>
            </w:r>
          </w:p>
        </w:tc>
        <w:tc>
          <w:tcPr>
            <w:tcW w:w="988" w:type="dxa"/>
            <w:noWrap/>
            <w:vAlign w:val="center"/>
            <w:hideMark/>
          </w:tcPr>
          <w:p w14:paraId="2A2B3F2A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7.1</w:t>
            </w:r>
          </w:p>
        </w:tc>
        <w:tc>
          <w:tcPr>
            <w:tcW w:w="1029" w:type="dxa"/>
            <w:noWrap/>
            <w:vAlign w:val="center"/>
            <w:hideMark/>
          </w:tcPr>
          <w:p w14:paraId="5822F8E3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6.289</w:t>
            </w:r>
          </w:p>
        </w:tc>
        <w:tc>
          <w:tcPr>
            <w:tcW w:w="1057" w:type="dxa"/>
            <w:noWrap/>
            <w:vAlign w:val="center"/>
            <w:hideMark/>
          </w:tcPr>
          <w:p w14:paraId="50B2F302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6.81</w:t>
            </w:r>
          </w:p>
        </w:tc>
        <w:tc>
          <w:tcPr>
            <w:tcW w:w="856" w:type="dxa"/>
            <w:noWrap/>
            <w:vAlign w:val="center"/>
            <w:hideMark/>
          </w:tcPr>
          <w:p w14:paraId="7C2165B2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6.92</w:t>
            </w:r>
          </w:p>
        </w:tc>
        <w:tc>
          <w:tcPr>
            <w:tcW w:w="856" w:type="dxa"/>
            <w:noWrap/>
            <w:vAlign w:val="center"/>
            <w:hideMark/>
          </w:tcPr>
          <w:p w14:paraId="284752EE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6.70</w:t>
            </w:r>
          </w:p>
        </w:tc>
        <w:tc>
          <w:tcPr>
            <w:tcW w:w="856" w:type="dxa"/>
            <w:noWrap/>
            <w:vAlign w:val="center"/>
            <w:hideMark/>
          </w:tcPr>
          <w:p w14:paraId="53453247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5.37</w:t>
            </w:r>
          </w:p>
        </w:tc>
        <w:tc>
          <w:tcPr>
            <w:tcW w:w="1135" w:type="dxa"/>
            <w:noWrap/>
            <w:vAlign w:val="center"/>
            <w:hideMark/>
          </w:tcPr>
          <w:p w14:paraId="20A6A204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7.15</w:t>
            </w:r>
          </w:p>
        </w:tc>
        <w:tc>
          <w:tcPr>
            <w:tcW w:w="1057" w:type="dxa"/>
            <w:noWrap/>
            <w:vAlign w:val="center"/>
            <w:hideMark/>
          </w:tcPr>
          <w:p w14:paraId="33A22D39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5.51</w:t>
            </w:r>
          </w:p>
        </w:tc>
        <w:tc>
          <w:tcPr>
            <w:tcW w:w="1104" w:type="dxa"/>
            <w:noWrap/>
            <w:vAlign w:val="center"/>
            <w:hideMark/>
          </w:tcPr>
          <w:p w14:paraId="6FADBF44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5.44</w:t>
            </w:r>
          </w:p>
        </w:tc>
        <w:tc>
          <w:tcPr>
            <w:tcW w:w="1073" w:type="dxa"/>
            <w:noWrap/>
            <w:vAlign w:val="center"/>
            <w:hideMark/>
          </w:tcPr>
          <w:p w14:paraId="778F928E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6.74</w:t>
            </w:r>
          </w:p>
        </w:tc>
        <w:tc>
          <w:tcPr>
            <w:tcW w:w="1182" w:type="dxa"/>
            <w:noWrap/>
            <w:vAlign w:val="center"/>
            <w:hideMark/>
          </w:tcPr>
          <w:p w14:paraId="59F63F5B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6.23</w:t>
            </w:r>
          </w:p>
        </w:tc>
        <w:tc>
          <w:tcPr>
            <w:tcW w:w="1119" w:type="dxa"/>
            <w:noWrap/>
            <w:vAlign w:val="center"/>
            <w:hideMark/>
          </w:tcPr>
          <w:p w14:paraId="56E963F1" w14:textId="77777777" w:rsidR="00E57DA4" w:rsidRPr="001F5B6E" w:rsidRDefault="00E57DA4" w:rsidP="00366156">
            <w:pPr>
              <w:jc w:val="center"/>
              <w:rPr>
                <w:sz w:val="14"/>
                <w:szCs w:val="14"/>
              </w:rPr>
            </w:pPr>
            <w:r w:rsidRPr="001F5B6E">
              <w:rPr>
                <w:sz w:val="14"/>
                <w:szCs w:val="14"/>
              </w:rPr>
              <w:t>5.25</w:t>
            </w:r>
          </w:p>
        </w:tc>
      </w:tr>
    </w:tbl>
    <w:p w14:paraId="2C51FC8F" w14:textId="77777777" w:rsidR="00E57DA4" w:rsidRPr="001F5B6E" w:rsidRDefault="00E57DA4" w:rsidP="00E57DA4">
      <w:pPr>
        <w:rPr>
          <w:b/>
          <w:bCs/>
        </w:rPr>
      </w:pPr>
      <w:r w:rsidRPr="001F5B6E">
        <w:rPr>
          <w:b/>
          <w:bCs/>
        </w:rPr>
        <w:t xml:space="preserve">Supplementary Table 1: OD ratio per timepoint and per subject at -20°C. </w:t>
      </w:r>
    </w:p>
    <w:p w14:paraId="6052B60A" w14:textId="77777777" w:rsidR="00E57DA4" w:rsidRDefault="00E57DA4" w:rsidP="00E57DA4"/>
    <w:p w14:paraId="601E9165" w14:textId="77777777" w:rsidR="00E57DA4" w:rsidRPr="001F5B6E" w:rsidRDefault="00E57DA4" w:rsidP="00E57DA4">
      <w:pPr>
        <w:rPr>
          <w:b/>
          <w:bCs/>
        </w:rPr>
      </w:pPr>
      <w:r w:rsidRPr="001F5B6E">
        <w:rPr>
          <w:b/>
          <w:bCs/>
        </w:rPr>
        <w:t xml:space="preserve">Supplementary Table </w:t>
      </w:r>
      <w:r>
        <w:rPr>
          <w:b/>
          <w:bCs/>
        </w:rPr>
        <w:t>2</w:t>
      </w:r>
      <w:r w:rsidRPr="001F5B6E">
        <w:rPr>
          <w:b/>
          <w:bCs/>
        </w:rPr>
        <w:t xml:space="preserve">: OD ratio per timepoint and per subject at </w:t>
      </w:r>
      <w:r>
        <w:rPr>
          <w:b/>
          <w:bCs/>
        </w:rPr>
        <w:t>room temperature</w:t>
      </w:r>
      <w:r w:rsidRPr="001F5B6E">
        <w:rPr>
          <w:b/>
          <w:bCs/>
        </w:rPr>
        <w:t xml:space="preserve">. </w:t>
      </w:r>
    </w:p>
    <w:tbl>
      <w:tblPr>
        <w:tblStyle w:val="Tabelraster"/>
        <w:tblpPr w:leftFromText="141" w:rightFromText="141" w:vertAnchor="page" w:horzAnchor="margin" w:tblpY="6161"/>
        <w:tblW w:w="0" w:type="auto"/>
        <w:tblLook w:val="04A0" w:firstRow="1" w:lastRow="0" w:firstColumn="1" w:lastColumn="0" w:noHBand="0" w:noVBand="1"/>
      </w:tblPr>
      <w:tblGrid>
        <w:gridCol w:w="2046"/>
        <w:gridCol w:w="1210"/>
        <w:gridCol w:w="1264"/>
        <w:gridCol w:w="1500"/>
        <w:gridCol w:w="1040"/>
      </w:tblGrid>
      <w:tr w:rsidR="00E57DA4" w:rsidRPr="001F5B6E" w14:paraId="27C7B882" w14:textId="77777777" w:rsidTr="00366156">
        <w:trPr>
          <w:trHeight w:val="310"/>
        </w:trPr>
        <w:tc>
          <w:tcPr>
            <w:tcW w:w="2046" w:type="dxa"/>
            <w:noWrap/>
            <w:vAlign w:val="center"/>
            <w:hideMark/>
          </w:tcPr>
          <w:p w14:paraId="0FBCC1E3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14:paraId="5766CE0C" w14:textId="77777777" w:rsidR="00E57DA4" w:rsidRPr="001F5B6E" w:rsidRDefault="00E57DA4" w:rsidP="00366156">
            <w:pPr>
              <w:jc w:val="center"/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>BASELINE</w:t>
            </w:r>
          </w:p>
        </w:tc>
        <w:tc>
          <w:tcPr>
            <w:tcW w:w="1264" w:type="dxa"/>
            <w:noWrap/>
            <w:vAlign w:val="center"/>
            <w:hideMark/>
          </w:tcPr>
          <w:p w14:paraId="1DFB7F1F" w14:textId="77777777" w:rsidR="00E57DA4" w:rsidRPr="001F5B6E" w:rsidRDefault="00E57DA4" w:rsidP="00366156">
            <w:pPr>
              <w:jc w:val="center"/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>14 days</w:t>
            </w:r>
          </w:p>
        </w:tc>
        <w:tc>
          <w:tcPr>
            <w:tcW w:w="1500" w:type="dxa"/>
            <w:noWrap/>
            <w:vAlign w:val="center"/>
            <w:hideMark/>
          </w:tcPr>
          <w:p w14:paraId="54489D28" w14:textId="77777777" w:rsidR="00E57DA4" w:rsidRPr="001F5B6E" w:rsidRDefault="00E57DA4" w:rsidP="00366156">
            <w:pPr>
              <w:jc w:val="center"/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>1 month</w:t>
            </w:r>
          </w:p>
        </w:tc>
        <w:tc>
          <w:tcPr>
            <w:tcW w:w="1040" w:type="dxa"/>
            <w:noWrap/>
            <w:vAlign w:val="center"/>
            <w:hideMark/>
          </w:tcPr>
          <w:p w14:paraId="00C1D9A8" w14:textId="77777777" w:rsidR="00E57DA4" w:rsidRPr="001F5B6E" w:rsidRDefault="00E57DA4" w:rsidP="00366156">
            <w:pPr>
              <w:jc w:val="center"/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>2 months</w:t>
            </w:r>
          </w:p>
        </w:tc>
      </w:tr>
      <w:tr w:rsidR="00E57DA4" w:rsidRPr="001F5B6E" w14:paraId="6B07FB31" w14:textId="77777777" w:rsidTr="00366156">
        <w:trPr>
          <w:trHeight w:val="310"/>
        </w:trPr>
        <w:tc>
          <w:tcPr>
            <w:tcW w:w="2046" w:type="dxa"/>
            <w:noWrap/>
            <w:vAlign w:val="center"/>
            <w:hideMark/>
          </w:tcPr>
          <w:p w14:paraId="33FE08BA" w14:textId="77777777" w:rsidR="00E57DA4" w:rsidRPr="001F5B6E" w:rsidRDefault="00E57DA4" w:rsidP="0036615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0" w:type="dxa"/>
            <w:noWrap/>
            <w:vAlign w:val="center"/>
            <w:hideMark/>
          </w:tcPr>
          <w:p w14:paraId="33A1A113" w14:textId="77777777" w:rsidR="00E57DA4" w:rsidRPr="001F5B6E" w:rsidRDefault="00E57DA4" w:rsidP="00366156">
            <w:pPr>
              <w:jc w:val="center"/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>14/07/2021</w:t>
            </w:r>
          </w:p>
        </w:tc>
        <w:tc>
          <w:tcPr>
            <w:tcW w:w="1264" w:type="dxa"/>
            <w:noWrap/>
            <w:vAlign w:val="center"/>
            <w:hideMark/>
          </w:tcPr>
          <w:p w14:paraId="5AAD1B66" w14:textId="77777777" w:rsidR="00E57DA4" w:rsidRPr="001F5B6E" w:rsidRDefault="00E57DA4" w:rsidP="00366156">
            <w:pPr>
              <w:jc w:val="center"/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>8/07/2021</w:t>
            </w:r>
          </w:p>
        </w:tc>
        <w:tc>
          <w:tcPr>
            <w:tcW w:w="1500" w:type="dxa"/>
            <w:noWrap/>
            <w:vAlign w:val="center"/>
            <w:hideMark/>
          </w:tcPr>
          <w:p w14:paraId="3E00F0CF" w14:textId="77777777" w:rsidR="00E57DA4" w:rsidRPr="001F5B6E" w:rsidRDefault="00E57DA4" w:rsidP="00366156">
            <w:pPr>
              <w:jc w:val="center"/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>12/08/2021</w:t>
            </w:r>
          </w:p>
        </w:tc>
        <w:tc>
          <w:tcPr>
            <w:tcW w:w="1040" w:type="dxa"/>
            <w:noWrap/>
            <w:vAlign w:val="center"/>
            <w:hideMark/>
          </w:tcPr>
          <w:p w14:paraId="452301C7" w14:textId="77777777" w:rsidR="00E57DA4" w:rsidRPr="001F5B6E" w:rsidRDefault="00E57DA4" w:rsidP="00366156">
            <w:pPr>
              <w:jc w:val="center"/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>2/09/2021</w:t>
            </w:r>
          </w:p>
        </w:tc>
      </w:tr>
      <w:tr w:rsidR="00E57DA4" w:rsidRPr="001F5B6E" w14:paraId="10A0CFB6" w14:textId="77777777" w:rsidTr="00366156">
        <w:trPr>
          <w:trHeight w:val="310"/>
        </w:trPr>
        <w:tc>
          <w:tcPr>
            <w:tcW w:w="2046" w:type="dxa"/>
            <w:noWrap/>
            <w:vAlign w:val="center"/>
            <w:hideMark/>
          </w:tcPr>
          <w:p w14:paraId="2C3C8714" w14:textId="77777777" w:rsidR="00E57DA4" w:rsidRPr="001F5B6E" w:rsidRDefault="00E57DA4" w:rsidP="00366156">
            <w:pPr>
              <w:jc w:val="center"/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>Sample ID</w:t>
            </w:r>
          </w:p>
        </w:tc>
        <w:tc>
          <w:tcPr>
            <w:tcW w:w="1210" w:type="dxa"/>
            <w:noWrap/>
            <w:vAlign w:val="center"/>
            <w:hideMark/>
          </w:tcPr>
          <w:p w14:paraId="2916E2E8" w14:textId="77777777" w:rsidR="00E57DA4" w:rsidRPr="001F5B6E" w:rsidRDefault="00E57DA4" w:rsidP="00366156">
            <w:pPr>
              <w:jc w:val="center"/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>Baseline</w:t>
            </w:r>
          </w:p>
        </w:tc>
        <w:tc>
          <w:tcPr>
            <w:tcW w:w="1264" w:type="dxa"/>
            <w:noWrap/>
            <w:vAlign w:val="center"/>
            <w:hideMark/>
          </w:tcPr>
          <w:p w14:paraId="6E0BB38C" w14:textId="77777777" w:rsidR="00E57DA4" w:rsidRPr="001F5B6E" w:rsidRDefault="00E57DA4" w:rsidP="00366156">
            <w:pPr>
              <w:jc w:val="center"/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>ROOM T</w:t>
            </w:r>
          </w:p>
        </w:tc>
        <w:tc>
          <w:tcPr>
            <w:tcW w:w="1500" w:type="dxa"/>
            <w:noWrap/>
            <w:vAlign w:val="center"/>
            <w:hideMark/>
          </w:tcPr>
          <w:p w14:paraId="51F3F6D2" w14:textId="77777777" w:rsidR="00E57DA4" w:rsidRPr="001F5B6E" w:rsidRDefault="00E57DA4" w:rsidP="00366156">
            <w:pPr>
              <w:jc w:val="center"/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>ROOM T</w:t>
            </w:r>
          </w:p>
        </w:tc>
        <w:tc>
          <w:tcPr>
            <w:tcW w:w="1040" w:type="dxa"/>
            <w:noWrap/>
            <w:vAlign w:val="center"/>
            <w:hideMark/>
          </w:tcPr>
          <w:p w14:paraId="1750C4F6" w14:textId="77777777" w:rsidR="00E57DA4" w:rsidRPr="001F5B6E" w:rsidRDefault="00E57DA4" w:rsidP="00366156">
            <w:pPr>
              <w:jc w:val="center"/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>ROOM T</w:t>
            </w:r>
          </w:p>
        </w:tc>
      </w:tr>
      <w:tr w:rsidR="00E57DA4" w:rsidRPr="001F5B6E" w14:paraId="066E97D0" w14:textId="77777777" w:rsidTr="00366156">
        <w:trPr>
          <w:trHeight w:val="310"/>
        </w:trPr>
        <w:tc>
          <w:tcPr>
            <w:tcW w:w="2046" w:type="dxa"/>
            <w:noWrap/>
            <w:vAlign w:val="center"/>
            <w:hideMark/>
          </w:tcPr>
          <w:p w14:paraId="044D3164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STABILITY SUBJECT 1</w:t>
            </w:r>
          </w:p>
        </w:tc>
        <w:tc>
          <w:tcPr>
            <w:tcW w:w="1210" w:type="dxa"/>
            <w:noWrap/>
            <w:vAlign w:val="center"/>
            <w:hideMark/>
          </w:tcPr>
          <w:p w14:paraId="206C8C9E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5.72</w:t>
            </w:r>
          </w:p>
        </w:tc>
        <w:tc>
          <w:tcPr>
            <w:tcW w:w="1264" w:type="dxa"/>
            <w:noWrap/>
            <w:vAlign w:val="center"/>
            <w:hideMark/>
          </w:tcPr>
          <w:p w14:paraId="7F5B4137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4.37</w:t>
            </w:r>
          </w:p>
        </w:tc>
        <w:tc>
          <w:tcPr>
            <w:tcW w:w="1500" w:type="dxa"/>
            <w:noWrap/>
            <w:vAlign w:val="center"/>
            <w:hideMark/>
          </w:tcPr>
          <w:p w14:paraId="6AE1E78B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4.37</w:t>
            </w:r>
          </w:p>
        </w:tc>
        <w:tc>
          <w:tcPr>
            <w:tcW w:w="1040" w:type="dxa"/>
            <w:noWrap/>
            <w:vAlign w:val="center"/>
            <w:hideMark/>
          </w:tcPr>
          <w:p w14:paraId="777CB667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3.66</w:t>
            </w:r>
          </w:p>
        </w:tc>
      </w:tr>
      <w:tr w:rsidR="00E57DA4" w:rsidRPr="001F5B6E" w14:paraId="12B764B0" w14:textId="77777777" w:rsidTr="00366156">
        <w:trPr>
          <w:trHeight w:val="310"/>
        </w:trPr>
        <w:tc>
          <w:tcPr>
            <w:tcW w:w="2046" w:type="dxa"/>
            <w:noWrap/>
            <w:vAlign w:val="center"/>
            <w:hideMark/>
          </w:tcPr>
          <w:p w14:paraId="5BC2CCEB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STABILITY SUBJECT 2</w:t>
            </w:r>
          </w:p>
        </w:tc>
        <w:tc>
          <w:tcPr>
            <w:tcW w:w="1210" w:type="dxa"/>
            <w:noWrap/>
            <w:vAlign w:val="center"/>
            <w:hideMark/>
          </w:tcPr>
          <w:p w14:paraId="5B3C42B7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2.1</w:t>
            </w:r>
          </w:p>
        </w:tc>
        <w:tc>
          <w:tcPr>
            <w:tcW w:w="1264" w:type="dxa"/>
            <w:noWrap/>
            <w:vAlign w:val="center"/>
            <w:hideMark/>
          </w:tcPr>
          <w:p w14:paraId="31D83D2C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1.76</w:t>
            </w:r>
          </w:p>
        </w:tc>
        <w:tc>
          <w:tcPr>
            <w:tcW w:w="1500" w:type="dxa"/>
            <w:noWrap/>
            <w:vAlign w:val="center"/>
            <w:hideMark/>
          </w:tcPr>
          <w:p w14:paraId="4FAFA0E4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1.32</w:t>
            </w:r>
          </w:p>
        </w:tc>
        <w:tc>
          <w:tcPr>
            <w:tcW w:w="1040" w:type="dxa"/>
            <w:noWrap/>
            <w:vAlign w:val="center"/>
            <w:hideMark/>
          </w:tcPr>
          <w:p w14:paraId="1FBC37DA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1.34</w:t>
            </w:r>
          </w:p>
        </w:tc>
      </w:tr>
      <w:tr w:rsidR="00E57DA4" w:rsidRPr="001F5B6E" w14:paraId="3A234AA4" w14:textId="77777777" w:rsidTr="00366156">
        <w:trPr>
          <w:trHeight w:val="310"/>
        </w:trPr>
        <w:tc>
          <w:tcPr>
            <w:tcW w:w="2046" w:type="dxa"/>
            <w:noWrap/>
            <w:vAlign w:val="center"/>
            <w:hideMark/>
          </w:tcPr>
          <w:p w14:paraId="209E7A26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STABILITY SUBJECT 3</w:t>
            </w:r>
          </w:p>
        </w:tc>
        <w:tc>
          <w:tcPr>
            <w:tcW w:w="1210" w:type="dxa"/>
            <w:noWrap/>
            <w:vAlign w:val="center"/>
            <w:hideMark/>
          </w:tcPr>
          <w:p w14:paraId="7AC0BED8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8.9</w:t>
            </w:r>
          </w:p>
        </w:tc>
        <w:tc>
          <w:tcPr>
            <w:tcW w:w="1264" w:type="dxa"/>
            <w:noWrap/>
            <w:vAlign w:val="center"/>
            <w:hideMark/>
          </w:tcPr>
          <w:p w14:paraId="4F6669C4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9.53</w:t>
            </w:r>
          </w:p>
        </w:tc>
        <w:tc>
          <w:tcPr>
            <w:tcW w:w="1500" w:type="dxa"/>
            <w:noWrap/>
            <w:vAlign w:val="center"/>
            <w:hideMark/>
          </w:tcPr>
          <w:p w14:paraId="26F46370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9.77</w:t>
            </w:r>
          </w:p>
        </w:tc>
        <w:tc>
          <w:tcPr>
            <w:tcW w:w="1040" w:type="dxa"/>
            <w:noWrap/>
            <w:vAlign w:val="center"/>
            <w:hideMark/>
          </w:tcPr>
          <w:p w14:paraId="0897945C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9.86</w:t>
            </w:r>
          </w:p>
        </w:tc>
      </w:tr>
      <w:tr w:rsidR="00E57DA4" w:rsidRPr="001F5B6E" w14:paraId="6F9C6CBF" w14:textId="77777777" w:rsidTr="00366156">
        <w:trPr>
          <w:trHeight w:val="310"/>
        </w:trPr>
        <w:tc>
          <w:tcPr>
            <w:tcW w:w="2046" w:type="dxa"/>
            <w:noWrap/>
            <w:vAlign w:val="center"/>
            <w:hideMark/>
          </w:tcPr>
          <w:p w14:paraId="76F33869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STABILITY SUBJECT 4</w:t>
            </w:r>
          </w:p>
        </w:tc>
        <w:tc>
          <w:tcPr>
            <w:tcW w:w="1210" w:type="dxa"/>
            <w:noWrap/>
            <w:vAlign w:val="center"/>
            <w:hideMark/>
          </w:tcPr>
          <w:p w14:paraId="6BC8153E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7.97</w:t>
            </w:r>
          </w:p>
        </w:tc>
        <w:tc>
          <w:tcPr>
            <w:tcW w:w="1264" w:type="dxa"/>
            <w:noWrap/>
            <w:vAlign w:val="center"/>
            <w:hideMark/>
          </w:tcPr>
          <w:p w14:paraId="75E3EA86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6.99</w:t>
            </w:r>
          </w:p>
        </w:tc>
        <w:tc>
          <w:tcPr>
            <w:tcW w:w="1500" w:type="dxa"/>
            <w:noWrap/>
            <w:vAlign w:val="center"/>
            <w:hideMark/>
          </w:tcPr>
          <w:p w14:paraId="43A91263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7.11</w:t>
            </w:r>
          </w:p>
        </w:tc>
        <w:tc>
          <w:tcPr>
            <w:tcW w:w="1040" w:type="dxa"/>
            <w:noWrap/>
            <w:vAlign w:val="center"/>
            <w:hideMark/>
          </w:tcPr>
          <w:p w14:paraId="4833359C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7.53</w:t>
            </w:r>
          </w:p>
        </w:tc>
      </w:tr>
      <w:tr w:rsidR="00E57DA4" w:rsidRPr="001F5B6E" w14:paraId="152D80FC" w14:textId="77777777" w:rsidTr="00366156">
        <w:trPr>
          <w:trHeight w:val="310"/>
        </w:trPr>
        <w:tc>
          <w:tcPr>
            <w:tcW w:w="2046" w:type="dxa"/>
            <w:noWrap/>
            <w:vAlign w:val="center"/>
            <w:hideMark/>
          </w:tcPr>
          <w:p w14:paraId="5F04DBBD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STABILITY SUBJECT 5</w:t>
            </w:r>
          </w:p>
        </w:tc>
        <w:tc>
          <w:tcPr>
            <w:tcW w:w="1210" w:type="dxa"/>
            <w:noWrap/>
            <w:vAlign w:val="center"/>
            <w:hideMark/>
          </w:tcPr>
          <w:p w14:paraId="586EC158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4.41</w:t>
            </w:r>
          </w:p>
        </w:tc>
        <w:tc>
          <w:tcPr>
            <w:tcW w:w="1264" w:type="dxa"/>
            <w:noWrap/>
            <w:vAlign w:val="center"/>
            <w:hideMark/>
          </w:tcPr>
          <w:p w14:paraId="2BFC2516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3.05</w:t>
            </w:r>
          </w:p>
        </w:tc>
        <w:tc>
          <w:tcPr>
            <w:tcW w:w="1500" w:type="dxa"/>
            <w:noWrap/>
            <w:vAlign w:val="center"/>
            <w:hideMark/>
          </w:tcPr>
          <w:p w14:paraId="032787D9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3.25</w:t>
            </w:r>
          </w:p>
        </w:tc>
        <w:tc>
          <w:tcPr>
            <w:tcW w:w="1040" w:type="dxa"/>
            <w:noWrap/>
            <w:vAlign w:val="center"/>
            <w:hideMark/>
          </w:tcPr>
          <w:p w14:paraId="1E9354EB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3.29</w:t>
            </w:r>
          </w:p>
        </w:tc>
      </w:tr>
      <w:tr w:rsidR="00E57DA4" w:rsidRPr="001F5B6E" w14:paraId="56500D18" w14:textId="77777777" w:rsidTr="00366156">
        <w:trPr>
          <w:trHeight w:val="310"/>
        </w:trPr>
        <w:tc>
          <w:tcPr>
            <w:tcW w:w="2046" w:type="dxa"/>
            <w:noWrap/>
            <w:vAlign w:val="center"/>
            <w:hideMark/>
          </w:tcPr>
          <w:p w14:paraId="0DBA0437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STABILITY SUBJECT 6</w:t>
            </w:r>
          </w:p>
        </w:tc>
        <w:tc>
          <w:tcPr>
            <w:tcW w:w="1210" w:type="dxa"/>
            <w:noWrap/>
            <w:vAlign w:val="center"/>
            <w:hideMark/>
          </w:tcPr>
          <w:p w14:paraId="34405C17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0.9</w:t>
            </w:r>
          </w:p>
        </w:tc>
        <w:tc>
          <w:tcPr>
            <w:tcW w:w="1264" w:type="dxa"/>
            <w:noWrap/>
            <w:vAlign w:val="center"/>
            <w:hideMark/>
          </w:tcPr>
          <w:p w14:paraId="2419BB58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0.67</w:t>
            </w:r>
          </w:p>
        </w:tc>
        <w:tc>
          <w:tcPr>
            <w:tcW w:w="1500" w:type="dxa"/>
            <w:noWrap/>
            <w:vAlign w:val="center"/>
            <w:hideMark/>
          </w:tcPr>
          <w:p w14:paraId="0A34E268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0.5</w:t>
            </w:r>
          </w:p>
        </w:tc>
        <w:tc>
          <w:tcPr>
            <w:tcW w:w="1040" w:type="dxa"/>
            <w:noWrap/>
            <w:vAlign w:val="center"/>
            <w:hideMark/>
          </w:tcPr>
          <w:p w14:paraId="29DE758B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0.53</w:t>
            </w:r>
          </w:p>
        </w:tc>
      </w:tr>
      <w:tr w:rsidR="00E57DA4" w:rsidRPr="001F5B6E" w14:paraId="1606EAF3" w14:textId="77777777" w:rsidTr="00366156">
        <w:trPr>
          <w:trHeight w:val="310"/>
        </w:trPr>
        <w:tc>
          <w:tcPr>
            <w:tcW w:w="2046" w:type="dxa"/>
            <w:noWrap/>
            <w:vAlign w:val="center"/>
            <w:hideMark/>
          </w:tcPr>
          <w:p w14:paraId="58132304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STABILITY SUBJECT 7</w:t>
            </w:r>
          </w:p>
        </w:tc>
        <w:tc>
          <w:tcPr>
            <w:tcW w:w="1210" w:type="dxa"/>
            <w:noWrap/>
            <w:vAlign w:val="center"/>
            <w:hideMark/>
          </w:tcPr>
          <w:p w14:paraId="71332D5D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7.1</w:t>
            </w:r>
          </w:p>
        </w:tc>
        <w:tc>
          <w:tcPr>
            <w:tcW w:w="1264" w:type="dxa"/>
            <w:noWrap/>
            <w:vAlign w:val="center"/>
            <w:hideMark/>
          </w:tcPr>
          <w:p w14:paraId="53602B9D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5.56</w:t>
            </w:r>
          </w:p>
        </w:tc>
        <w:tc>
          <w:tcPr>
            <w:tcW w:w="1500" w:type="dxa"/>
            <w:noWrap/>
            <w:vAlign w:val="center"/>
            <w:hideMark/>
          </w:tcPr>
          <w:p w14:paraId="2B76165B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4.81</w:t>
            </w:r>
          </w:p>
        </w:tc>
        <w:tc>
          <w:tcPr>
            <w:tcW w:w="1040" w:type="dxa"/>
            <w:noWrap/>
            <w:vAlign w:val="center"/>
            <w:hideMark/>
          </w:tcPr>
          <w:p w14:paraId="6C445F3F" w14:textId="77777777" w:rsidR="00E57DA4" w:rsidRPr="001F5B6E" w:rsidRDefault="00E57DA4" w:rsidP="00366156">
            <w:pPr>
              <w:jc w:val="center"/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4.35</w:t>
            </w:r>
          </w:p>
        </w:tc>
      </w:tr>
    </w:tbl>
    <w:p w14:paraId="227037E2" w14:textId="77777777" w:rsidR="00E57DA4" w:rsidRDefault="00E57DA4" w:rsidP="00E57DA4"/>
    <w:p w14:paraId="461C9724" w14:textId="77777777" w:rsidR="00E57DA4" w:rsidRDefault="00E57DA4" w:rsidP="00E57DA4"/>
    <w:p w14:paraId="51DF2934" w14:textId="77777777" w:rsidR="00E57DA4" w:rsidRDefault="00E57DA4" w:rsidP="00E57DA4"/>
    <w:p w14:paraId="793C83A8" w14:textId="77777777" w:rsidR="00E57DA4" w:rsidRDefault="00E57DA4" w:rsidP="00E57DA4"/>
    <w:p w14:paraId="2193C715" w14:textId="77777777" w:rsidR="00E57DA4" w:rsidRDefault="00E57DA4" w:rsidP="00E57DA4"/>
    <w:p w14:paraId="3D493EA1" w14:textId="77777777" w:rsidR="00E57DA4" w:rsidRDefault="00E57DA4" w:rsidP="00E57DA4"/>
    <w:p w14:paraId="3DF483B3" w14:textId="77777777" w:rsidR="00E57DA4" w:rsidRDefault="00E57DA4" w:rsidP="00E57DA4"/>
    <w:p w14:paraId="686D425E" w14:textId="77777777" w:rsidR="00E57DA4" w:rsidRDefault="00E57DA4" w:rsidP="00E57DA4"/>
    <w:p w14:paraId="4297EFE8" w14:textId="77777777" w:rsidR="00E57DA4" w:rsidRDefault="00E57DA4" w:rsidP="00E57DA4"/>
    <w:p w14:paraId="59DB765D" w14:textId="77777777" w:rsidR="00E57DA4" w:rsidRDefault="00E57DA4" w:rsidP="00E57DA4"/>
    <w:p w14:paraId="5358BAE1" w14:textId="77777777" w:rsidR="00E57DA4" w:rsidRPr="001F5B6E" w:rsidRDefault="00E57DA4" w:rsidP="00E57DA4">
      <w:pPr>
        <w:rPr>
          <w:b/>
          <w:bCs/>
        </w:rPr>
      </w:pPr>
      <w:r w:rsidRPr="001F5B6E">
        <w:rPr>
          <w:b/>
          <w:bCs/>
        </w:rPr>
        <w:lastRenderedPageBreak/>
        <w:t xml:space="preserve">Supplementary Table </w:t>
      </w:r>
      <w:r>
        <w:rPr>
          <w:b/>
          <w:bCs/>
        </w:rPr>
        <w:t>3</w:t>
      </w:r>
      <w:r w:rsidRPr="001F5B6E">
        <w:rPr>
          <w:b/>
          <w:bCs/>
        </w:rPr>
        <w:t xml:space="preserve">: OD ratio per timepoint and per subject at </w:t>
      </w:r>
      <w:r>
        <w:rPr>
          <w:b/>
          <w:bCs/>
        </w:rPr>
        <w:t>4°C</w:t>
      </w:r>
      <w:r w:rsidRPr="001F5B6E">
        <w:rPr>
          <w:b/>
          <w:bCs/>
        </w:rPr>
        <w:t xml:space="preserve">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46"/>
        <w:gridCol w:w="1210"/>
        <w:gridCol w:w="1264"/>
        <w:gridCol w:w="1429"/>
        <w:gridCol w:w="1276"/>
      </w:tblGrid>
      <w:tr w:rsidR="00E57DA4" w:rsidRPr="001F5B6E" w14:paraId="7DA24E90" w14:textId="77777777" w:rsidTr="00366156">
        <w:trPr>
          <w:trHeight w:val="310"/>
        </w:trPr>
        <w:tc>
          <w:tcPr>
            <w:tcW w:w="2046" w:type="dxa"/>
            <w:noWrap/>
            <w:hideMark/>
          </w:tcPr>
          <w:p w14:paraId="0E063590" w14:textId="77777777" w:rsidR="00E57DA4" w:rsidRPr="001F5B6E" w:rsidRDefault="00E57DA4" w:rsidP="00366156">
            <w:pPr>
              <w:rPr>
                <w:sz w:val="18"/>
                <w:szCs w:val="18"/>
              </w:rPr>
            </w:pPr>
          </w:p>
        </w:tc>
        <w:tc>
          <w:tcPr>
            <w:tcW w:w="1210" w:type="dxa"/>
            <w:noWrap/>
            <w:hideMark/>
          </w:tcPr>
          <w:p w14:paraId="1F419767" w14:textId="77777777" w:rsidR="00E57DA4" w:rsidRPr="001F5B6E" w:rsidRDefault="00E57DA4" w:rsidP="00366156">
            <w:pPr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>BASELINE</w:t>
            </w:r>
          </w:p>
        </w:tc>
        <w:tc>
          <w:tcPr>
            <w:tcW w:w="1264" w:type="dxa"/>
            <w:noWrap/>
            <w:hideMark/>
          </w:tcPr>
          <w:p w14:paraId="325A05D6" w14:textId="77777777" w:rsidR="00E57DA4" w:rsidRPr="001F5B6E" w:rsidRDefault="00E57DA4" w:rsidP="00366156">
            <w:pPr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>14 days</w:t>
            </w:r>
          </w:p>
        </w:tc>
        <w:tc>
          <w:tcPr>
            <w:tcW w:w="1429" w:type="dxa"/>
            <w:noWrap/>
            <w:hideMark/>
          </w:tcPr>
          <w:p w14:paraId="429EBE28" w14:textId="77777777" w:rsidR="00E57DA4" w:rsidRPr="001F5B6E" w:rsidRDefault="00E57DA4" w:rsidP="00366156">
            <w:pPr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>1 month</w:t>
            </w:r>
          </w:p>
        </w:tc>
        <w:tc>
          <w:tcPr>
            <w:tcW w:w="1276" w:type="dxa"/>
            <w:noWrap/>
            <w:hideMark/>
          </w:tcPr>
          <w:p w14:paraId="5EF1CF15" w14:textId="77777777" w:rsidR="00E57DA4" w:rsidRPr="001F5B6E" w:rsidRDefault="00E57DA4" w:rsidP="00366156">
            <w:pPr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>2 months</w:t>
            </w:r>
          </w:p>
        </w:tc>
      </w:tr>
      <w:tr w:rsidR="00E57DA4" w:rsidRPr="001F5B6E" w14:paraId="6409C741" w14:textId="77777777" w:rsidTr="00366156">
        <w:trPr>
          <w:trHeight w:val="310"/>
        </w:trPr>
        <w:tc>
          <w:tcPr>
            <w:tcW w:w="2046" w:type="dxa"/>
            <w:noWrap/>
            <w:hideMark/>
          </w:tcPr>
          <w:p w14:paraId="56ACE6C4" w14:textId="77777777" w:rsidR="00E57DA4" w:rsidRPr="001F5B6E" w:rsidRDefault="00E57DA4" w:rsidP="0036615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0" w:type="dxa"/>
            <w:noWrap/>
            <w:hideMark/>
          </w:tcPr>
          <w:p w14:paraId="421DE22B" w14:textId="77777777" w:rsidR="00E57DA4" w:rsidRPr="001F5B6E" w:rsidRDefault="00E57DA4" w:rsidP="00366156">
            <w:pPr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>14/07/2021</w:t>
            </w:r>
          </w:p>
        </w:tc>
        <w:tc>
          <w:tcPr>
            <w:tcW w:w="1264" w:type="dxa"/>
            <w:noWrap/>
            <w:hideMark/>
          </w:tcPr>
          <w:p w14:paraId="0F7A53DB" w14:textId="77777777" w:rsidR="00E57DA4" w:rsidRPr="001F5B6E" w:rsidRDefault="00E57DA4" w:rsidP="00366156">
            <w:pPr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 xml:space="preserve"> 28/07/2021</w:t>
            </w:r>
          </w:p>
        </w:tc>
        <w:tc>
          <w:tcPr>
            <w:tcW w:w="1429" w:type="dxa"/>
            <w:noWrap/>
            <w:hideMark/>
          </w:tcPr>
          <w:p w14:paraId="62EFAFEE" w14:textId="77777777" w:rsidR="00E57DA4" w:rsidRPr="001F5B6E" w:rsidRDefault="00E57DA4" w:rsidP="00366156">
            <w:pPr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>12/08/2021</w:t>
            </w:r>
          </w:p>
        </w:tc>
        <w:tc>
          <w:tcPr>
            <w:tcW w:w="1276" w:type="dxa"/>
            <w:noWrap/>
            <w:hideMark/>
          </w:tcPr>
          <w:p w14:paraId="203D2038" w14:textId="77777777" w:rsidR="00E57DA4" w:rsidRPr="001F5B6E" w:rsidRDefault="00E57DA4" w:rsidP="00366156">
            <w:pPr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>2/09/2021</w:t>
            </w:r>
          </w:p>
        </w:tc>
      </w:tr>
      <w:tr w:rsidR="00E57DA4" w:rsidRPr="001F5B6E" w14:paraId="38ED3B93" w14:textId="77777777" w:rsidTr="00366156">
        <w:trPr>
          <w:trHeight w:val="310"/>
        </w:trPr>
        <w:tc>
          <w:tcPr>
            <w:tcW w:w="2046" w:type="dxa"/>
            <w:noWrap/>
            <w:hideMark/>
          </w:tcPr>
          <w:p w14:paraId="662DEA51" w14:textId="77777777" w:rsidR="00E57DA4" w:rsidRPr="001F5B6E" w:rsidRDefault="00E57DA4" w:rsidP="00366156">
            <w:pPr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>Sample ID</w:t>
            </w:r>
          </w:p>
        </w:tc>
        <w:tc>
          <w:tcPr>
            <w:tcW w:w="1210" w:type="dxa"/>
            <w:noWrap/>
            <w:hideMark/>
          </w:tcPr>
          <w:p w14:paraId="0A83203D" w14:textId="77777777" w:rsidR="00E57DA4" w:rsidRPr="001F5B6E" w:rsidRDefault="00E57DA4" w:rsidP="00366156">
            <w:pPr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>Baseline</w:t>
            </w:r>
          </w:p>
        </w:tc>
        <w:tc>
          <w:tcPr>
            <w:tcW w:w="1264" w:type="dxa"/>
            <w:noWrap/>
            <w:hideMark/>
          </w:tcPr>
          <w:p w14:paraId="63786C78" w14:textId="77777777" w:rsidR="00E57DA4" w:rsidRPr="001F5B6E" w:rsidRDefault="00E57DA4" w:rsidP="00366156">
            <w:pPr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>FRIDGE 4°C</w:t>
            </w:r>
          </w:p>
        </w:tc>
        <w:tc>
          <w:tcPr>
            <w:tcW w:w="1429" w:type="dxa"/>
            <w:noWrap/>
            <w:hideMark/>
          </w:tcPr>
          <w:p w14:paraId="1DE62D29" w14:textId="77777777" w:rsidR="00E57DA4" w:rsidRPr="001F5B6E" w:rsidRDefault="00E57DA4" w:rsidP="00366156">
            <w:pPr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>FRIDGE 4°C</w:t>
            </w:r>
          </w:p>
        </w:tc>
        <w:tc>
          <w:tcPr>
            <w:tcW w:w="1276" w:type="dxa"/>
            <w:noWrap/>
            <w:hideMark/>
          </w:tcPr>
          <w:p w14:paraId="225F3126" w14:textId="77777777" w:rsidR="00E57DA4" w:rsidRPr="001F5B6E" w:rsidRDefault="00E57DA4" w:rsidP="00366156">
            <w:pPr>
              <w:rPr>
                <w:b/>
                <w:bCs/>
                <w:sz w:val="18"/>
                <w:szCs w:val="18"/>
              </w:rPr>
            </w:pPr>
            <w:r w:rsidRPr="001F5B6E">
              <w:rPr>
                <w:b/>
                <w:bCs/>
                <w:sz w:val="18"/>
                <w:szCs w:val="18"/>
              </w:rPr>
              <w:t>FRIDGE 4°C</w:t>
            </w:r>
          </w:p>
        </w:tc>
      </w:tr>
      <w:tr w:rsidR="00E57DA4" w:rsidRPr="001F5B6E" w14:paraId="53E8A076" w14:textId="77777777" w:rsidTr="00366156">
        <w:trPr>
          <w:trHeight w:val="310"/>
        </w:trPr>
        <w:tc>
          <w:tcPr>
            <w:tcW w:w="2046" w:type="dxa"/>
            <w:noWrap/>
            <w:hideMark/>
          </w:tcPr>
          <w:p w14:paraId="001335CC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STABILITY SUBJECT 1</w:t>
            </w:r>
          </w:p>
        </w:tc>
        <w:tc>
          <w:tcPr>
            <w:tcW w:w="1210" w:type="dxa"/>
            <w:noWrap/>
            <w:hideMark/>
          </w:tcPr>
          <w:p w14:paraId="7C0379D8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5.72</w:t>
            </w:r>
          </w:p>
        </w:tc>
        <w:tc>
          <w:tcPr>
            <w:tcW w:w="1264" w:type="dxa"/>
            <w:noWrap/>
            <w:hideMark/>
          </w:tcPr>
          <w:p w14:paraId="2C665027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4.562</w:t>
            </w:r>
          </w:p>
        </w:tc>
        <w:tc>
          <w:tcPr>
            <w:tcW w:w="1429" w:type="dxa"/>
            <w:noWrap/>
            <w:hideMark/>
          </w:tcPr>
          <w:p w14:paraId="6C1DB305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3.96</w:t>
            </w:r>
          </w:p>
        </w:tc>
        <w:tc>
          <w:tcPr>
            <w:tcW w:w="1276" w:type="dxa"/>
            <w:noWrap/>
            <w:hideMark/>
          </w:tcPr>
          <w:p w14:paraId="4A69B243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4.32</w:t>
            </w:r>
          </w:p>
        </w:tc>
      </w:tr>
      <w:tr w:rsidR="00E57DA4" w:rsidRPr="001F5B6E" w14:paraId="26BB706D" w14:textId="77777777" w:rsidTr="00366156">
        <w:trPr>
          <w:trHeight w:val="310"/>
        </w:trPr>
        <w:tc>
          <w:tcPr>
            <w:tcW w:w="2046" w:type="dxa"/>
            <w:noWrap/>
            <w:hideMark/>
          </w:tcPr>
          <w:p w14:paraId="1E60ACD4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STABILITY SUBJECT 2</w:t>
            </w:r>
          </w:p>
        </w:tc>
        <w:tc>
          <w:tcPr>
            <w:tcW w:w="1210" w:type="dxa"/>
            <w:noWrap/>
            <w:hideMark/>
          </w:tcPr>
          <w:p w14:paraId="7DD3124F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2.1</w:t>
            </w:r>
          </w:p>
        </w:tc>
        <w:tc>
          <w:tcPr>
            <w:tcW w:w="1264" w:type="dxa"/>
            <w:noWrap/>
            <w:hideMark/>
          </w:tcPr>
          <w:p w14:paraId="257263FA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2.819</w:t>
            </w:r>
          </w:p>
        </w:tc>
        <w:tc>
          <w:tcPr>
            <w:tcW w:w="1429" w:type="dxa"/>
            <w:noWrap/>
            <w:hideMark/>
          </w:tcPr>
          <w:p w14:paraId="30722A4A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1.64</w:t>
            </w:r>
          </w:p>
        </w:tc>
        <w:tc>
          <w:tcPr>
            <w:tcW w:w="1276" w:type="dxa"/>
            <w:noWrap/>
            <w:hideMark/>
          </w:tcPr>
          <w:p w14:paraId="26CD22C4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1.95</w:t>
            </w:r>
          </w:p>
        </w:tc>
      </w:tr>
      <w:tr w:rsidR="00E57DA4" w:rsidRPr="001F5B6E" w14:paraId="682DDD29" w14:textId="77777777" w:rsidTr="00366156">
        <w:trPr>
          <w:trHeight w:val="310"/>
        </w:trPr>
        <w:tc>
          <w:tcPr>
            <w:tcW w:w="2046" w:type="dxa"/>
            <w:noWrap/>
            <w:hideMark/>
          </w:tcPr>
          <w:p w14:paraId="7FD4DA6A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STABILITY SUBJECT 3</w:t>
            </w:r>
          </w:p>
        </w:tc>
        <w:tc>
          <w:tcPr>
            <w:tcW w:w="1210" w:type="dxa"/>
            <w:noWrap/>
            <w:hideMark/>
          </w:tcPr>
          <w:p w14:paraId="23CC0607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8.9</w:t>
            </w:r>
          </w:p>
        </w:tc>
        <w:tc>
          <w:tcPr>
            <w:tcW w:w="1264" w:type="dxa"/>
            <w:noWrap/>
            <w:hideMark/>
          </w:tcPr>
          <w:p w14:paraId="650FF536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9.4</w:t>
            </w:r>
          </w:p>
        </w:tc>
        <w:tc>
          <w:tcPr>
            <w:tcW w:w="1429" w:type="dxa"/>
            <w:noWrap/>
            <w:hideMark/>
          </w:tcPr>
          <w:p w14:paraId="303EFB13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9.48</w:t>
            </w:r>
          </w:p>
        </w:tc>
        <w:tc>
          <w:tcPr>
            <w:tcW w:w="1276" w:type="dxa"/>
            <w:noWrap/>
            <w:hideMark/>
          </w:tcPr>
          <w:p w14:paraId="7B32D54D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9.33</w:t>
            </w:r>
          </w:p>
        </w:tc>
      </w:tr>
      <w:tr w:rsidR="00E57DA4" w:rsidRPr="001F5B6E" w14:paraId="499C32C2" w14:textId="77777777" w:rsidTr="00366156">
        <w:trPr>
          <w:trHeight w:val="310"/>
        </w:trPr>
        <w:tc>
          <w:tcPr>
            <w:tcW w:w="2046" w:type="dxa"/>
            <w:noWrap/>
            <w:hideMark/>
          </w:tcPr>
          <w:p w14:paraId="428A6734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STABILITY SUBJECT 4</w:t>
            </w:r>
          </w:p>
        </w:tc>
        <w:tc>
          <w:tcPr>
            <w:tcW w:w="1210" w:type="dxa"/>
            <w:noWrap/>
            <w:hideMark/>
          </w:tcPr>
          <w:p w14:paraId="52A612A7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7.97</w:t>
            </w:r>
          </w:p>
        </w:tc>
        <w:tc>
          <w:tcPr>
            <w:tcW w:w="1264" w:type="dxa"/>
            <w:noWrap/>
            <w:hideMark/>
          </w:tcPr>
          <w:p w14:paraId="48266590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7.41</w:t>
            </w:r>
          </w:p>
        </w:tc>
        <w:tc>
          <w:tcPr>
            <w:tcW w:w="1429" w:type="dxa"/>
            <w:noWrap/>
            <w:hideMark/>
          </w:tcPr>
          <w:p w14:paraId="04131770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7.42</w:t>
            </w:r>
          </w:p>
        </w:tc>
        <w:tc>
          <w:tcPr>
            <w:tcW w:w="1276" w:type="dxa"/>
            <w:noWrap/>
            <w:hideMark/>
          </w:tcPr>
          <w:p w14:paraId="6B76DA28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6.93</w:t>
            </w:r>
          </w:p>
        </w:tc>
      </w:tr>
      <w:tr w:rsidR="00E57DA4" w:rsidRPr="001F5B6E" w14:paraId="71555496" w14:textId="77777777" w:rsidTr="00366156">
        <w:trPr>
          <w:trHeight w:val="310"/>
        </w:trPr>
        <w:tc>
          <w:tcPr>
            <w:tcW w:w="2046" w:type="dxa"/>
            <w:noWrap/>
            <w:hideMark/>
          </w:tcPr>
          <w:p w14:paraId="08540AA1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STABILITY SUBJECT 5</w:t>
            </w:r>
          </w:p>
        </w:tc>
        <w:tc>
          <w:tcPr>
            <w:tcW w:w="1210" w:type="dxa"/>
            <w:noWrap/>
            <w:hideMark/>
          </w:tcPr>
          <w:p w14:paraId="1B288746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4.41</w:t>
            </w:r>
          </w:p>
        </w:tc>
        <w:tc>
          <w:tcPr>
            <w:tcW w:w="1264" w:type="dxa"/>
            <w:noWrap/>
            <w:hideMark/>
          </w:tcPr>
          <w:p w14:paraId="7CDA5886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3.62</w:t>
            </w:r>
          </w:p>
        </w:tc>
        <w:tc>
          <w:tcPr>
            <w:tcW w:w="1429" w:type="dxa"/>
            <w:noWrap/>
            <w:hideMark/>
          </w:tcPr>
          <w:p w14:paraId="5F83138D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3.8</w:t>
            </w:r>
          </w:p>
        </w:tc>
        <w:tc>
          <w:tcPr>
            <w:tcW w:w="1276" w:type="dxa"/>
            <w:noWrap/>
            <w:hideMark/>
          </w:tcPr>
          <w:p w14:paraId="4291E043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3.72</w:t>
            </w:r>
          </w:p>
        </w:tc>
      </w:tr>
      <w:tr w:rsidR="00E57DA4" w:rsidRPr="001F5B6E" w14:paraId="6D1F9A35" w14:textId="77777777" w:rsidTr="00366156">
        <w:trPr>
          <w:trHeight w:val="310"/>
        </w:trPr>
        <w:tc>
          <w:tcPr>
            <w:tcW w:w="2046" w:type="dxa"/>
            <w:noWrap/>
            <w:hideMark/>
          </w:tcPr>
          <w:p w14:paraId="719AEE0F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STABILITY SUBJECT 6</w:t>
            </w:r>
          </w:p>
        </w:tc>
        <w:tc>
          <w:tcPr>
            <w:tcW w:w="1210" w:type="dxa"/>
            <w:noWrap/>
            <w:hideMark/>
          </w:tcPr>
          <w:p w14:paraId="5FABA11F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0.9</w:t>
            </w:r>
          </w:p>
        </w:tc>
        <w:tc>
          <w:tcPr>
            <w:tcW w:w="1264" w:type="dxa"/>
            <w:noWrap/>
            <w:hideMark/>
          </w:tcPr>
          <w:p w14:paraId="5650FCD9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0.91</w:t>
            </w:r>
          </w:p>
        </w:tc>
        <w:tc>
          <w:tcPr>
            <w:tcW w:w="1429" w:type="dxa"/>
            <w:noWrap/>
            <w:hideMark/>
          </w:tcPr>
          <w:p w14:paraId="7C0101D2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0.6</w:t>
            </w:r>
          </w:p>
        </w:tc>
        <w:tc>
          <w:tcPr>
            <w:tcW w:w="1276" w:type="dxa"/>
            <w:noWrap/>
            <w:hideMark/>
          </w:tcPr>
          <w:p w14:paraId="4DAFD232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0.69</w:t>
            </w:r>
          </w:p>
        </w:tc>
      </w:tr>
      <w:tr w:rsidR="00E57DA4" w:rsidRPr="001F5B6E" w14:paraId="7C760342" w14:textId="77777777" w:rsidTr="00366156">
        <w:trPr>
          <w:trHeight w:val="310"/>
        </w:trPr>
        <w:tc>
          <w:tcPr>
            <w:tcW w:w="2046" w:type="dxa"/>
            <w:noWrap/>
            <w:hideMark/>
          </w:tcPr>
          <w:p w14:paraId="706BDF7B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STABILITY SUBJECT 7</w:t>
            </w:r>
          </w:p>
        </w:tc>
        <w:tc>
          <w:tcPr>
            <w:tcW w:w="1210" w:type="dxa"/>
            <w:noWrap/>
            <w:hideMark/>
          </w:tcPr>
          <w:p w14:paraId="7569782D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7.1</w:t>
            </w:r>
          </w:p>
        </w:tc>
        <w:tc>
          <w:tcPr>
            <w:tcW w:w="1264" w:type="dxa"/>
            <w:noWrap/>
            <w:hideMark/>
          </w:tcPr>
          <w:p w14:paraId="6A345859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5.85</w:t>
            </w:r>
          </w:p>
        </w:tc>
        <w:tc>
          <w:tcPr>
            <w:tcW w:w="1429" w:type="dxa"/>
            <w:noWrap/>
            <w:hideMark/>
          </w:tcPr>
          <w:p w14:paraId="752E2DDD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6.38</w:t>
            </w:r>
          </w:p>
        </w:tc>
        <w:tc>
          <w:tcPr>
            <w:tcW w:w="1276" w:type="dxa"/>
            <w:noWrap/>
            <w:hideMark/>
          </w:tcPr>
          <w:p w14:paraId="07A267D5" w14:textId="77777777" w:rsidR="00E57DA4" w:rsidRPr="001F5B6E" w:rsidRDefault="00E57DA4" w:rsidP="00366156">
            <w:pPr>
              <w:rPr>
                <w:sz w:val="18"/>
                <w:szCs w:val="18"/>
              </w:rPr>
            </w:pPr>
            <w:r w:rsidRPr="001F5B6E">
              <w:rPr>
                <w:sz w:val="18"/>
                <w:szCs w:val="18"/>
              </w:rPr>
              <w:t>6.13</w:t>
            </w:r>
          </w:p>
        </w:tc>
      </w:tr>
    </w:tbl>
    <w:p w14:paraId="54848D65" w14:textId="090A08A1" w:rsidR="001411CC" w:rsidRPr="001411CC" w:rsidRDefault="001411CC" w:rsidP="001411CC"/>
    <w:sectPr w:rsidR="001411CC" w:rsidRPr="001411CC" w:rsidSect="001F5B6E">
      <w:pgSz w:w="16838" w:h="11906" w:orient="landscape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27C4C" w14:textId="77777777" w:rsidR="004650EB" w:rsidRDefault="004650EB">
      <w:pPr>
        <w:spacing w:after="0" w:line="240" w:lineRule="auto"/>
      </w:pPr>
      <w:r>
        <w:separator/>
      </w:r>
    </w:p>
  </w:endnote>
  <w:endnote w:type="continuationSeparator" w:id="0">
    <w:p w14:paraId="63C84D12" w14:textId="77777777" w:rsidR="004650EB" w:rsidRDefault="00465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7706831"/>
      <w:docPartObj>
        <w:docPartGallery w:val="Page Numbers (Bottom of Page)"/>
        <w:docPartUnique/>
      </w:docPartObj>
    </w:sdtPr>
    <w:sdtContent>
      <w:p w14:paraId="374D8160" w14:textId="77777777" w:rsidR="00B42F16" w:rsidRDefault="00000000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33691B37" w14:textId="77777777" w:rsidR="00B42F16" w:rsidRDefault="00B42F1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F3574" w14:textId="77777777" w:rsidR="004650EB" w:rsidRDefault="004650EB">
      <w:pPr>
        <w:spacing w:after="0" w:line="240" w:lineRule="auto"/>
      </w:pPr>
      <w:r>
        <w:separator/>
      </w:r>
    </w:p>
  </w:footnote>
  <w:footnote w:type="continuationSeparator" w:id="0">
    <w:p w14:paraId="161F131D" w14:textId="77777777" w:rsidR="004650EB" w:rsidRDefault="004650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CC"/>
    <w:rsid w:val="001411CC"/>
    <w:rsid w:val="00193F08"/>
    <w:rsid w:val="001F5B6E"/>
    <w:rsid w:val="004073CC"/>
    <w:rsid w:val="004650EB"/>
    <w:rsid w:val="004B6532"/>
    <w:rsid w:val="004F7299"/>
    <w:rsid w:val="00676758"/>
    <w:rsid w:val="00AD6874"/>
    <w:rsid w:val="00B42F16"/>
    <w:rsid w:val="00CC69D0"/>
    <w:rsid w:val="00E57DA4"/>
    <w:rsid w:val="00E82656"/>
    <w:rsid w:val="00F2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D64463"/>
  <w15:chartTrackingRefBased/>
  <w15:docId w15:val="{F5F5AD41-96F6-459D-9085-998D1EC3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411CC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141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41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41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41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41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41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41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41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41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411C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411C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411C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411C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411CC"/>
    <w:rPr>
      <w:rFonts w:eastAsiaTheme="majorEastAsia" w:cstheme="majorBidi"/>
      <w:color w:val="0F4761" w:themeColor="accent1" w:themeShade="BF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411C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411CC"/>
    <w:rPr>
      <w:rFonts w:eastAsiaTheme="majorEastAsia" w:cstheme="majorBidi"/>
      <w:color w:val="595959" w:themeColor="text1" w:themeTint="A6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411C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411CC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141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411C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41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411C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at">
    <w:name w:val="Quote"/>
    <w:basedOn w:val="Standaard"/>
    <w:next w:val="Standaard"/>
    <w:link w:val="CitaatChar"/>
    <w:uiPriority w:val="29"/>
    <w:qFormat/>
    <w:rsid w:val="00141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411CC"/>
    <w:rPr>
      <w:i/>
      <w:iCs/>
      <w:color w:val="404040" w:themeColor="text1" w:themeTint="BF"/>
      <w:lang w:val="en-US"/>
    </w:rPr>
  </w:style>
  <w:style w:type="paragraph" w:styleId="Lijstalinea">
    <w:name w:val="List Paragraph"/>
    <w:basedOn w:val="Standaard"/>
    <w:uiPriority w:val="34"/>
    <w:qFormat/>
    <w:rsid w:val="001411C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411C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41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411CC"/>
    <w:rPr>
      <w:i/>
      <w:iCs/>
      <w:color w:val="0F4761" w:themeColor="accent1" w:themeShade="BF"/>
      <w:lang w:val="en-US"/>
    </w:rPr>
  </w:style>
  <w:style w:type="character" w:styleId="Intensieveverwijzing">
    <w:name w:val="Intense Reference"/>
    <w:basedOn w:val="Standaardalinea-lettertype"/>
    <w:uiPriority w:val="32"/>
    <w:qFormat/>
    <w:rsid w:val="001411CC"/>
    <w:rPr>
      <w:b/>
      <w:bCs/>
      <w:smallCaps/>
      <w:color w:val="0F4761" w:themeColor="accent1" w:themeShade="BF"/>
      <w:spacing w:val="5"/>
    </w:rPr>
  </w:style>
  <w:style w:type="paragraph" w:styleId="Voettekst">
    <w:name w:val="footer"/>
    <w:basedOn w:val="Standaard"/>
    <w:link w:val="VoettekstChar"/>
    <w:uiPriority w:val="99"/>
    <w:unhideWhenUsed/>
    <w:rsid w:val="00141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411CC"/>
    <w:rPr>
      <w:lang w:val="en-US"/>
    </w:rPr>
  </w:style>
  <w:style w:type="character" w:styleId="Regelnummer">
    <w:name w:val="line number"/>
    <w:basedOn w:val="Standaardalinea-lettertype"/>
    <w:uiPriority w:val="99"/>
    <w:semiHidden/>
    <w:unhideWhenUsed/>
    <w:rsid w:val="001411CC"/>
  </w:style>
  <w:style w:type="table" w:styleId="Tabelraster">
    <w:name w:val="Table Grid"/>
    <w:basedOn w:val="Standaardtabel"/>
    <w:uiPriority w:val="39"/>
    <w:rsid w:val="001F5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e">
    <w:name w:val="Revision"/>
    <w:hidden/>
    <w:uiPriority w:val="99"/>
    <w:semiHidden/>
    <w:rsid w:val="00E57DA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607</Words>
  <Characters>3230</Characters>
  <Application>Microsoft Office Word</Application>
  <DocSecurity>0</DocSecurity>
  <Lines>306</Lines>
  <Paragraphs>231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Meyers</dc:creator>
  <cp:keywords/>
  <dc:description/>
  <cp:lastModifiedBy>Eline Meyers</cp:lastModifiedBy>
  <cp:revision>3</cp:revision>
  <dcterms:created xsi:type="dcterms:W3CDTF">2024-02-23T10:50:00Z</dcterms:created>
  <dcterms:modified xsi:type="dcterms:W3CDTF">2024-09-19T07:16:00Z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5be4c0c0-5b3b-4a23-95f6-a6f6c9bb4450</vt:lpwstr>
  </property>
</Properties>
</file>