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5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848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Резюме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4862195</wp:posOffset>
                  </wp:positionH>
                  <wp:positionV relativeFrom="paragraph">
                    <wp:posOffset>51435</wp:posOffset>
                  </wp:positionV>
                  <wp:extent cx="2030730" cy="203073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CoFo Sans Medium" w:hAnsi="CoFo Sans Medium"/>
                <w:kern w:val="0"/>
                <w:sz w:val="48"/>
                <w:szCs w:val="48"/>
                <w:lang w:val="ru-RU" w:eastAsia="en-US" w:bidi="ar-SA"/>
              </w:rPr>
              <w:t>Калинин Кирилл</w:t>
            </w:r>
          </w:p>
        </w:tc>
        <w:tc>
          <w:tcPr>
            <w:tcW w:w="311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г. Люберцы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+7 985 319 34 68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@shaaawerma</w:t>
            </w:r>
          </w:p>
        </w:tc>
        <w:tc>
          <w:tcPr>
            <w:tcW w:w="311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senkaqaupau@gmail.com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+79853193468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Информационные системы Веб и мультимедийных приложений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Manrope;sans-serif" w:hAnsi="Manrope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ru-RU" w:eastAsia="en-US" w:bidi="ar-SA"/>
              </w:rPr>
              <w:t>ГБПОУ МО</w:t>
              <w:br/>
              <w:t>Люберецкий техникум</w:t>
              <w:br/>
              <w:t>имени Героя Советского Союза,</w:t>
              <w:br/>
              <w:t>лётчика-космонавта Ю. А. Гагарина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, средний балл: 4,</w:t>
            </w: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25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 — Курс переподготовки программи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р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ования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Учебная дисциплина «Курсы программирования на python»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2022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Должность: Граф-дизайнер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Моделирование сайта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проведение исследований на оборудовании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написание отчетов по проделанной работе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Написал и смоделировал собственный сайт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Проведение физико-химического контроля качества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Базовое понимание компьютерного оборудования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Навыки презентаций результатов исследования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anrope">
    <w:altName w:val="sans-serif"/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8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LibreOffice/24.2.4.1$Linux_X86_64 LibreOffice_project/420$Build-1</Application>
  <AppVersion>15.0000</AppVersion>
  <Pages>2</Pages>
  <Words>114</Words>
  <Characters>779</Characters>
  <CharactersWithSpaces>860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2024-11-21T09:08:00Z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