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Arial" w:cs="Arial" w:eastAsia="Arial" w:hAnsi="Arial"/>
          <w:b/>
          <w:bCs/>
          <w:color w:val="0D47A1"/>
          <w:sz w:val="72"/>
          <w:szCs w:val="72"/>
        </w:rPr>
        <w:t xml:space="preserve">LA DEUDA CON EL SUELO</w:t>
      </w:r>
    </w:p>
    <w:p>
      <w:pPr>
        <w:spacing w:after="60"/>
        <w:jc w:val="center"/>
      </w:pPr>
      <w:r>
        <w:rPr>
          <w:rFonts w:ascii="Arial" w:cs="Arial" w:eastAsia="Arial" w:hAnsi="Arial"/>
          <w:b/>
          <w:bCs/>
          <w:color w:val="0D47A1"/>
          <w:sz w:val="72"/>
          <w:szCs w:val="72"/>
        </w:rPr>
        <w:t xml:space="preserve">ES LA DEUDA REAL</w:t>
      </w:r>
    </w:p>
    <w:p>
      <w:pPr>
        <w:spacing w:after="100"/>
      </w:pPr>
    </w:p>
    <w:p>
      <w:pPr>
        <w:pBdr>
          <w:top w:val="single" w:color="F57F17" w:sz="6" w:space="12"/>
          <w:bottom w:val="single" w:color="F57F17" w:sz="6" w:space="12"/>
        </w:pBdr>
        <w:spacing w:after="200"/>
        <w:jc w:val="center"/>
      </w:pPr>
      <w:r>
        <w:rPr>
          <w:rFonts w:ascii="Arial" w:cs="Arial" w:eastAsia="Arial" w:hAnsi="Arial"/>
          <w:i/>
          <w:iCs/>
          <w:color w:val="4E342E"/>
          <w:sz w:val="28"/>
          <w:szCs w:val="28"/>
        </w:rPr>
        <w:t xml:space="preserve">Plan Nacional para la Reconstrucción de la Infraestructura de Suelo Vivo de la Argentina</w:t>
      </w:r>
    </w:p>
    <w:p>
      <w:pPr>
        <w:spacing w:after="80"/>
      </w:pPr>
    </w:p>
    <w:p>
      <w:pPr>
        <w:spacing w:after="40"/>
        <w:jc w:val="center"/>
      </w:pPr>
      <w:r>
        <w:rPr>
          <w:rFonts w:ascii="Arial" w:cs="Arial" w:eastAsia="Arial" w:hAnsi="Arial"/>
          <w:color w:val="616161"/>
          <w:sz w:val="22"/>
          <w:szCs w:val="22"/>
        </w:rPr>
        <w:t xml:space="preserve">Restauración Biológica del Suelo  ·  Optimización de Física del Agua  ·  Secuestro de Carbono</w:t>
      </w:r>
    </w:p>
    <w:p>
      <w:pPr>
        <w:spacing w:after="40"/>
        <w:jc w:val="center"/>
      </w:pPr>
      <w:r>
        <w:rPr>
          <w:rFonts w:ascii="Arial" w:cs="Arial" w:eastAsia="Arial" w:hAnsi="Arial"/>
          <w:color w:val="616161"/>
          <w:sz w:val="22"/>
          <w:szCs w:val="22"/>
        </w:rPr>
        <w:t xml:space="preserve">Competitividad Exportadora  ·  Soberanía Alimentaria  ·  Cumplimiento Regulatorio UE</w:t>
      </w:r>
    </w:p>
    <w:p>
      <w:pPr>
        <w:spacing w:after="40"/>
        <w:jc w:val="center"/>
      </w:pPr>
      <w:r>
        <w:rPr>
          <w:rFonts w:ascii="Arial" w:cs="Arial" w:eastAsia="Arial" w:hAnsi="Arial"/>
          <w:color w:val="616161"/>
          <w:sz w:val="22"/>
          <w:szCs w:val="22"/>
        </w:rPr>
        <w:t xml:space="preserve">Transformación Económica Rural  ·  Resiliencia Nacional  ·  Liderazgo Climático</w:t>
      </w:r>
    </w:p>
    <w:p>
      <w:pPr>
        <w:spacing w:after="500"/>
      </w:pPr>
    </w:p>
    <w:p>
      <w:pPr>
        <w:spacing w:after="40"/>
        <w:jc w:val="center"/>
      </w:pPr>
      <w:r>
        <w:rPr>
          <w:rFonts w:ascii="Arial" w:cs="Arial" w:eastAsia="Arial" w:hAnsi="Arial"/>
          <w:color w:val="616161"/>
          <w:sz w:val="22"/>
          <w:szCs w:val="22"/>
        </w:rPr>
        <w:t xml:space="preserve">Preparado para la República Argentina</w:t>
      </w:r>
    </w:p>
    <w:p>
      <w:pPr>
        <w:spacing w:after="40"/>
        <w:jc w:val="center"/>
      </w:pPr>
      <w:r>
        <w:rPr>
          <w:rFonts w:ascii="Arial" w:cs="Arial" w:eastAsia="Arial" w:hAnsi="Arial"/>
          <w:color w:val="616161"/>
          <w:sz w:val="20"/>
          <w:szCs w:val="20"/>
        </w:rPr>
        <w:t xml:space="preserve">Ministerio de Economía  ·  Secretaría de Agricultura, Ganadería y Pesca  ·  INTA  ·  SENASA</w:t>
      </w:r>
    </w:p>
    <w:p>
      <w:pPr>
        <w:spacing w:after="40"/>
        <w:jc w:val="center"/>
      </w:pPr>
      <w:r>
        <w:rPr>
          <w:rFonts w:ascii="Arial" w:cs="Arial" w:eastAsia="Arial" w:hAnsi="Arial"/>
          <w:color w:val="616161"/>
          <w:sz w:val="20"/>
          <w:szCs w:val="20"/>
        </w:rPr>
        <w:t xml:space="preserve">Ministerios Provinciales de Producción  ·  COFEMA  ·  Congreso de la Nación</w:t>
      </w:r>
    </w:p>
    <w:p>
      <w:pPr>
        <w:spacing w:after="200"/>
      </w:pPr>
    </w:p>
    <w:p>
      <w:pPr>
        <w:spacing w:after="40"/>
        <w:jc w:val="center"/>
      </w:pPr>
      <w:r>
        <w:rPr>
          <w:rFonts w:ascii="Arial" w:cs="Arial" w:eastAsia="Arial" w:hAnsi="Arial"/>
          <w:color w:val="616161"/>
          <w:sz w:val="20"/>
          <w:szCs w:val="20"/>
        </w:rPr>
        <w:t xml:space="preserve">Febrero 2026  |  Versión 1.0</w:t>
      </w:r>
    </w:p>
    <w:p>
      <w:pPr>
        <w:jc w:val="center"/>
      </w:pPr>
      <w:r>
        <w:rPr>
          <w:rFonts w:ascii="Arial" w:cs="Arial" w:eastAsia="Arial" w:hAnsi="Arial"/>
          <w:b/>
          <w:bCs/>
          <w:color w:val="F57F17"/>
          <w:sz w:val="18"/>
          <w:szCs w:val="18"/>
        </w:rPr>
        <w:t xml:space="preserve">DOCUMENTO ESTRATÉGICO — PARA REVISIÓN AUTORIZADA</w:t>
      </w:r>
    </w:p>
    <w:p>
      <w:pPr>
        <w:sectPr>
          <w:pgSz w:w="12240" w:h="15840" w:orient="portrait"/>
          <w:pgMar w:top="1440" w:right="1440" w:bottom="1440" w:left="1440" w:header="708" w:footer="708" w:gutter="0"/>
          <w:pgNumType/>
          <w:docGrid w:linePitch="360"/>
        </w:sectPr>
      </w:pP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180"/>
      </w:pPr>
      <w:r>
        <w:rPr>
          <w:rFonts w:ascii="Arial" w:cs="Arial" w:eastAsia="Arial" w:hAnsi="Arial"/>
          <w:b/>
          <w:bCs/>
          <w:color w:val="0D47A1"/>
          <w:sz w:val="34"/>
          <w:szCs w:val="34"/>
        </w:rPr>
        <w:t xml:space="preserve">PREÁMBULO: LA ELECCIÓN DEFINITORIA DE LA ARGENTINA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57F17" w:sz="12"/>
              <w:bottom w:val="none" w:sz="0"/>
              <w:right w:val="none" w:sz="0"/>
            </w:tcBorders>
            <w:tcMar>
              <w:top w:type="dxa" w:w="120"/>
              <w:left w:type="dxa" w:w="300"/>
              <w:bottom w:type="dxa" w:w="120"/>
              <w:right w:type="dxa" w:w="200"/>
            </w:tcMar>
          </w:tcPr>
          <w:p>
            <w:r>
              <w:rPr>
                <w:rFonts w:ascii="Arial" w:cs="Arial" w:eastAsia="Arial" w:hAnsi="Arial"/>
                <w:i/>
                <w:iCs/>
                <w:color w:val="4E342E"/>
                <w:sz w:val="24"/>
                <w:szCs w:val="24"/>
              </w:rPr>
              <w:t xml:space="preserve">La Argentina no tiene un pozo de petróleo debajo de sus pies. Tiene algo más valioso: un suelo vivo capaz de alimentar a 400 millones de personas. La pregunta es si lo gestionamos como infraestructura o lo liquidamos como materia prima.</w:t>
            </w:r>
          </w:p>
        </w:tc>
      </w:tr>
    </w:tbl>
    <w:p>
      <w:pPr>
        <w:spacing w:after="80"/>
      </w:pPr>
    </w:p>
    <w:p>
      <w:pPr>
        <w:spacing w:after="160" w:before="0"/>
        <w:jc w:val="both"/>
      </w:pPr>
      <w:r>
        <w:rPr>
          <w:rFonts w:ascii="Arial" w:cs="Arial" w:eastAsia="Arial" w:hAnsi="Arial"/>
          <w:b w:val="false"/>
          <w:bCs w:val="false"/>
          <w:i w:val="false"/>
          <w:iCs w:val="false"/>
          <w:color w:val="212121"/>
          <w:sz w:val="22"/>
          <w:szCs w:val="22"/>
        </w:rPr>
        <w:t xml:space="preserve">La Argentina es una de las naciones productoras de alimentos más importantes del planeta. Con 39 millones de hectáreas bajo cultivo, el país produce alimentos suficientes para más de 400 millones de personas — diez veces su población. Sus exportaciones agropecuarias generan entre USD 40.000 y 50.000 millones anuales, representando aproximadamente el 60–70% de los ingresos totales por exportaciones. La región pampeana contiene algunos de los suelos naturalmente más fértiles jamás documentados.</w:t>
      </w:r>
    </w:p>
    <w:p>
      <w:pPr>
        <w:spacing w:after="160" w:before="0"/>
        <w:jc w:val="both"/>
      </w:pPr>
      <w:r>
        <w:rPr>
          <w:rFonts w:ascii="Arial" w:cs="Arial" w:eastAsia="Arial" w:hAnsi="Arial"/>
          <w:b w:val="false"/>
          <w:bCs w:val="false"/>
          <w:i w:val="false"/>
          <w:iCs w:val="false"/>
          <w:color w:val="212121"/>
          <w:sz w:val="22"/>
          <w:szCs w:val="22"/>
        </w:rPr>
        <w:t xml:space="preserve">Esta riqueza se está liquidando. Tres décadas de monocultivo sojero intensificado, dependencia creciente de agroquímicos y extracción sistemática de capital biológico han empujado a los suelos argentinos hacia un punto de quiebre. Los niveles de materia orgánica del suelo (MOS) en zonas núcleo pampeanas han caído de un 5–6% histórico a un 2–3%. La erosión arrastra aproximadamente 130 millones de toneladas de suelo por año. La minería de nutrientes — extraer más del suelo de lo que se repone — genera un déficit de 3 a 4 millones de toneladas de nutrientes anuales. La fuerza laboral biológica de los suelos argentinos — los ecosistemas microbianos que hacen posible la agricultura — está colapsando bajo la presión química.</w:t>
      </w:r>
    </w:p>
    <w:p>
      <w:pPr>
        <w:spacing w:after="160" w:before="0"/>
        <w:jc w:val="both"/>
      </w:pPr>
      <w:r>
        <w:rPr>
          <w:rFonts w:ascii="Arial" w:cs="Arial" w:eastAsia="Arial" w:hAnsi="Arial"/>
          <w:b w:val="false"/>
          <w:bCs w:val="false"/>
          <w:i w:val="false"/>
          <w:iCs w:val="false"/>
          <w:color w:val="212121"/>
          <w:sz w:val="22"/>
          <w:szCs w:val="22"/>
        </w:rPr>
        <w:t xml:space="preserve">Este documento no es un estudio académico. Es un plan operativo. Introduce una nueva categoría de infraestructura para la gobernanza argentina — la Infraestructura de Suelo Vivo — y presenta el marco de ingeniería, la arquitectura institucional y el modelo económico necesarios para reconstruirla. Está redactado para que un Secretario de Agricultura, un Ministro provincial de Producción, un director regional de INTA o un presidente de comisión del Congreso pueda leerlo y comprender exactamente qué construir, cómo financiarlo, qué medir y por qué el costo de esperar supera al costo de actuar.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8"/>
              <w:left w:val="single" w:color="FFF8E1" w:sz="2"/>
              <w:bottom w:val="single" w:color="FFF8E1" w:sz="2"/>
              <w:right w:val="single" w:color="FFF8E1" w:sz="2"/>
            </w:tcBorders>
            <w:shd w:fill="FFF8E1" w:val="clear"/>
            <w:tcMar>
              <w:top w:type="dxa" w:w="140"/>
              <w:left w:type="dxa" w:w="220"/>
              <w:bottom w:type="dxa" w:w="140"/>
              <w:right w:type="dxa" w:w="220"/>
            </w:tcMar>
          </w:tcPr>
          <w:p>
            <w:pPr>
              <w:spacing w:after="80"/>
            </w:pPr>
            <w:r>
              <w:rPr>
                <w:rFonts w:ascii="Arial" w:cs="Arial" w:eastAsia="Arial" w:hAnsi="Arial"/>
                <w:b/>
                <w:bCs/>
                <w:color w:val="F57F17"/>
                <w:sz w:val="23"/>
                <w:szCs w:val="23"/>
              </w:rPr>
              <w:t xml:space="preserve">Tesis Central</w:t>
            </w:r>
          </w:p>
          <w:p>
            <w:pPr>
              <w:jc w:val="both"/>
            </w:pPr>
            <w:r>
              <w:rPr>
                <w:rFonts w:ascii="Arial" w:cs="Arial" w:eastAsia="Arial" w:hAnsi="Arial"/>
                <w:color w:val="212121"/>
                <w:sz w:val="21"/>
                <w:szCs w:val="21"/>
              </w:rPr>
              <w:t xml:space="preserve">El suelo argentino no es un insumo agropecuario. Es infraestructura estratégica nacional. Es el cimiento de la economía exportadora del país, de su soberanía alimentaria, de su posición climática y de los medios de vida de millones de personas. Puede medirse, gestionarse y reconstruirse con tecnologías de ingeniería biológica y física del agua. La pregunta no es si la Argentina puede permitirse hacer esto. La pregunta es si puede permitirse no hacerlo.</w:t>
            </w:r>
          </w:p>
        </w:tc>
      </w:tr>
    </w:tbl>
    <w:p>
      <w:r>
        <w:br w:type="page"/>
      </w:r>
    </w:p>
    <w:p>
      <w:pPr>
        <w:pStyle w:val="Heading1"/>
        <w:spacing w:before="400" w:after="180"/>
      </w:pPr>
      <w:r>
        <w:rPr>
          <w:rFonts w:ascii="Arial" w:cs="Arial" w:eastAsia="Arial" w:hAnsi="Arial"/>
          <w:b/>
          <w:bCs/>
          <w:color w:val="0D47A1"/>
          <w:sz w:val="34"/>
          <w:szCs w:val="34"/>
        </w:rPr>
        <w:t xml:space="preserve">1. LA CRISIS INVISIBLE: EL FRACASO DE INFRAESTRUCTURA QUE NO VEMOS</w:t>
      </w:r>
    </w:p>
    <w:p>
      <w:pPr>
        <w:pStyle w:val="Heading2"/>
        <w:spacing w:before="300" w:after="120"/>
      </w:pPr>
      <w:r>
        <w:rPr>
          <w:rFonts w:ascii="Arial" w:cs="Arial" w:eastAsia="Arial" w:hAnsi="Arial"/>
          <w:b/>
          <w:bCs/>
          <w:color w:val="2E7D32"/>
          <w:sz w:val="28"/>
          <w:szCs w:val="28"/>
        </w:rPr>
        <w:t xml:space="preserve">1.1 El Activo que Nunca Contabilizamos</w:t>
      </w:r>
    </w:p>
    <w:p>
      <w:pPr>
        <w:spacing w:after="160" w:before="0"/>
        <w:jc w:val="both"/>
      </w:pPr>
      <w:r>
        <w:rPr>
          <w:rFonts w:ascii="Arial" w:cs="Arial" w:eastAsia="Arial" w:hAnsi="Arial"/>
          <w:b w:val="false"/>
          <w:bCs w:val="false"/>
          <w:i w:val="false"/>
          <w:iCs w:val="false"/>
          <w:color w:val="212121"/>
          <w:sz w:val="22"/>
          <w:szCs w:val="22"/>
        </w:rPr>
        <w:t xml:space="preserve">La Argentina monitorea sus reservas financieras, su producción energética, su balanza comercial y su deuda externa con precisión obsesiva. No tiene una contabilidad sistemática del capital biológico que genera la mayoría de sus ingresos por exportaciones. La asimetría es llamativa: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DBDBD" w:sz="1"/>
              <w:left w:val="single" w:color="BDBDBD" w:sz="1"/>
              <w:bottom w:val="single" w:color="BDBDBD" w:sz="1"/>
              <w:right w:val="single" w:color="BDBDBD" w:sz="1"/>
            </w:tcBorders>
            <w:shd w:fill="4E342E"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Activo Nacional</w:t>
            </w:r>
          </w:p>
        </w:tc>
        <w:tc>
          <w:tcPr>
            <w:tcW w:type="dxa" w:w="3510"/>
            <w:tcBorders>
              <w:top w:val="single" w:color="BDBDBD" w:sz="1"/>
              <w:left w:val="single" w:color="BDBDBD" w:sz="1"/>
              <w:bottom w:val="single" w:color="BDBDBD" w:sz="1"/>
              <w:right w:val="single" w:color="BDBDBD" w:sz="1"/>
            </w:tcBorders>
            <w:shd w:fill="4E34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Monitoreo y Gestión</w:t>
            </w:r>
          </w:p>
        </w:tc>
        <w:tc>
          <w:tcPr>
            <w:tcW w:type="dxa" w:w="3510"/>
            <w:tcBorders>
              <w:top w:val="single" w:color="BDBDBD" w:sz="1"/>
              <w:left w:val="single" w:color="BDBDBD" w:sz="1"/>
              <w:bottom w:val="single" w:color="BDBDBD" w:sz="1"/>
              <w:right w:val="single" w:color="BDBDBD" w:sz="1"/>
            </w:tcBorders>
            <w:shd w:fill="4E342E"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Estado</w:t>
            </w:r>
          </w:p>
        </w:tc>
      </w:tr>
      <w:tr>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Deuda externa</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BCRA, Ministerio de Economía; diario</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Gestión activa; USD 280.000M+</w:t>
            </w:r>
          </w:p>
        </w:tc>
      </w:tr>
      <w:tr>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Producción energética</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Secretaría de Energía; monitoreo de Vaca Muerta</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Prioridad estratégica; USD 10.000M+ de inversión anual</w:t>
            </w:r>
          </w:p>
        </w:tc>
      </w:tr>
      <w:tr>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Reservas internacionales</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BCRA; tiempo real</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Gestión rigurosa; USD 30.000M+ en reservas</w:t>
            </w:r>
          </w:p>
        </w:tc>
      </w:tr>
      <w:tr>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Balanza comercial</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INDEC, Aduana; mensual</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Métrica económica central; agroexportaciones = 60–70%</w:t>
            </w:r>
          </w:p>
        </w:tc>
      </w:tr>
      <w:tr>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Capital biológico del suelo</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Sin monitoreo sistemático. Sin base de datos nacional.</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Sin gestión. Sin contabilidad de activos. En degradación activa. Genera el 60–70% de los ingresos por exportaciones de la fila anterior.</w:t>
            </w:r>
          </w:p>
        </w:tc>
      </w:tr>
    </w:tbl>
    <w:p>
      <w:pPr>
        <w:spacing w:after="80"/>
      </w:pPr>
    </w:p>
    <w:p>
      <w:pPr>
        <w:spacing w:after="160" w:before="0"/>
        <w:jc w:val="both"/>
      </w:pPr>
      <w:r>
        <w:rPr>
          <w:rFonts w:ascii="Arial" w:cs="Arial" w:eastAsia="Arial" w:hAnsi="Arial"/>
          <w:b w:val="false"/>
          <w:bCs w:val="false"/>
          <w:i w:val="false"/>
          <w:iCs w:val="false"/>
          <w:color w:val="212121"/>
          <w:sz w:val="22"/>
          <w:szCs w:val="22"/>
        </w:rPr>
        <w:t xml:space="preserve">La Argentina rastrea meticulosamente los flujos financieros que el suelo genera mientras ignora completamente el activo biológico que los produce. Es como monitorear la facturación de una empresa mientras se deja desintegrar la fábrica.</w:t>
      </w:r>
    </w:p>
    <w:p>
      <w:pPr>
        <w:pStyle w:val="Heading2"/>
        <w:spacing w:before="300" w:after="120"/>
      </w:pPr>
      <w:r>
        <w:rPr>
          <w:rFonts w:ascii="Arial" w:cs="Arial" w:eastAsia="Arial" w:hAnsi="Arial"/>
          <w:b/>
          <w:bCs/>
          <w:color w:val="2E7D32"/>
          <w:sz w:val="28"/>
          <w:szCs w:val="28"/>
        </w:rPr>
        <w:t xml:space="preserve">1.2 Cuantificación de la Liquidación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tblHeader/>
        </w:trPr>
        <w:tc>
          <w:tcPr>
            <w:tcW w:type="dxa" w:w="2100"/>
            <w:tcBorders>
              <w:top w:val="single" w:color="BDBDBD" w:sz="1"/>
              <w:left w:val="single" w:color="BDBDBD" w:sz="1"/>
              <w:bottom w:val="single" w:color="BDBDBD" w:sz="1"/>
              <w:right w:val="single" w:color="BDBDBD" w:sz="1"/>
            </w:tcBorders>
            <w:shd w:fill="F57F17" w:val="clear"/>
            <w:tcMar>
              <w:top w:type="dxa" w:w="100"/>
              <w:left w:type="dxa" w:w="140"/>
              <w:bottom w:type="dxa" w:w="100"/>
              <w:right w:type="dxa" w:w="140"/>
            </w:tcMar>
            <w:vAlign w:val="center"/>
          </w:tcPr>
          <w:p>
            <w:r>
              <w:rPr>
                <w:rFonts w:ascii="Arial" w:cs="Arial" w:eastAsia="Arial" w:hAnsi="Arial"/>
                <w:b/>
                <w:bCs/>
                <w:color w:val="FFFFFF"/>
                <w:sz w:val="20"/>
                <w:szCs w:val="20"/>
              </w:rPr>
              <w:t xml:space="preserve">Dimensión</w:t>
            </w:r>
          </w:p>
        </w:tc>
        <w:tc>
          <w:tcPr>
            <w:tcW w:type="dxa" w:w="3630"/>
            <w:tcBorders>
              <w:top w:val="single" w:color="BDBDBD" w:sz="1"/>
              <w:left w:val="single" w:color="BDBDBD" w:sz="1"/>
              <w:bottom w:val="single" w:color="BDBDBD" w:sz="1"/>
              <w:right w:val="single" w:color="BDBDBD" w:sz="1"/>
            </w:tcBorders>
            <w:shd w:fill="F57F17" w:val="clear"/>
            <w:tcMar>
              <w:top w:type="dxa" w:w="100"/>
              <w:left w:type="dxa" w:w="140"/>
              <w:bottom w:type="dxa" w:w="100"/>
              <w:right w:type="dxa" w:w="140"/>
            </w:tcMar>
            <w:vAlign w:val="center"/>
          </w:tcPr>
          <w:p>
            <w:r>
              <w:rPr>
                <w:rFonts w:ascii="Arial" w:cs="Arial" w:eastAsia="Arial" w:hAnsi="Arial"/>
                <w:b/>
                <w:bCs/>
                <w:color w:val="FFFFFF"/>
                <w:sz w:val="20"/>
                <w:szCs w:val="20"/>
              </w:rPr>
              <w:t xml:space="preserve">Situación Actual en Argentina</w:t>
            </w:r>
          </w:p>
        </w:tc>
        <w:tc>
          <w:tcPr>
            <w:tcW w:type="dxa" w:w="3630"/>
            <w:tcBorders>
              <w:top w:val="single" w:color="BDBDBD" w:sz="1"/>
              <w:left w:val="single" w:color="BDBDBD" w:sz="1"/>
              <w:bottom w:val="single" w:color="BDBDBD" w:sz="1"/>
              <w:right w:val="single" w:color="BDBDBD" w:sz="1"/>
            </w:tcBorders>
            <w:shd w:fill="F57F17"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Impacto Económico y Estratégico</w:t>
            </w:r>
          </w:p>
        </w:tc>
      </w:tr>
      <w:tr>
        <w:tc>
          <w:tcPr>
            <w:tcW w:type="dxa" w:w="21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Pérdida de materia orgánica</w:t>
            </w:r>
          </w:p>
        </w:tc>
        <w:tc>
          <w:tcPr>
            <w:tcW w:type="dxa" w:w="363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MOS en zona núcleo pampeana cayó de 5–6% (pre-agricultura) a 2–3% en zonas intensivas. Algunas áreas por debajo del 2%.</w:t>
            </w:r>
          </w:p>
        </w:tc>
        <w:tc>
          <w:tcPr>
            <w:tcW w:type="dxa" w:w="363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Cada 1% de caída de MOS = ~80.000 litros/ha menos de retención de agua. Vulnerabilidad compuesta a la sequía en un sistema agrícola mayoritariamente de secano (85%).</w:t>
            </w:r>
          </w:p>
        </w:tc>
      </w:tr>
      <w:tr>
        <w:tc>
          <w:tcPr>
            <w:tcW w:type="dxa" w:w="21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Erosión</w:t>
            </w:r>
          </w:p>
        </w:tc>
        <w:tc>
          <w:tcPr>
            <w:tcW w:type="dxa" w:w="363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~130 millones de toneladas de suelo erosionadas anualmente. Más de 60 millones de hectáreas afectadas (hídrica y eólica).</w:t>
            </w:r>
          </w:p>
        </w:tc>
        <w:tc>
          <w:tcPr>
            <w:tcW w:type="dxa" w:w="363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INTA estima costos de USD 3.000–5.000 millones/año en pérdida de productividad. Sedimentación de cauces, daño a infraestructura.</w:t>
            </w:r>
          </w:p>
        </w:tc>
      </w:tr>
      <w:tr>
        <w:tc>
          <w:tcPr>
            <w:tcW w:type="dxa" w:w="21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Minería de nutrientes</w:t>
            </w:r>
          </w:p>
        </w:tc>
        <w:tc>
          <w:tcPr>
            <w:tcW w:type="dxa" w:w="363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Se extraen 3–4 millones de toneladas de nutrientes anuales más de lo que se repone. Déficit de fósforo: ~1 millón de toneladas/año.</w:t>
            </w:r>
          </w:p>
        </w:tc>
        <w:tc>
          <w:tcPr>
            <w:tcW w:type="dxa" w:w="363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Los suelos se agotan químicamente con cada cosecha. Cada campaña deja el suelo más pobre. Es financiamiento con deuda aplicado a la biología.</w:t>
            </w:r>
          </w:p>
        </w:tc>
      </w:tr>
      <w:tr>
        <w:tc>
          <w:tcPr>
            <w:tcW w:type="dxa" w:w="21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Dominio del monocultivo</w:t>
            </w:r>
          </w:p>
        </w:tc>
        <w:tc>
          <w:tcPr>
            <w:tcW w:type="dxa" w:w="363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La soja ocupa 50–55% del área cultivada total. La rotación disminuyó drásticamente desde los años 90. El doble cultivo intensifica la extracción.</w:t>
            </w:r>
          </w:p>
        </w:tc>
        <w:tc>
          <w:tcPr>
            <w:tcW w:type="dxa" w:w="363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Menor diversidad de raíces elimina las señales biológicas que sostienen comunidades microbianas diversas. Monocultivo genera biología de monocultivo: frágil, susceptible a enfermedades, químicamente dependiente.</w:t>
            </w:r>
          </w:p>
        </w:tc>
      </w:tr>
      <w:tr>
        <w:tc>
          <w:tcPr>
            <w:tcW w:type="dxa" w:w="21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Dependencia de agroquímicos</w:t>
            </w:r>
          </w:p>
        </w:tc>
        <w:tc>
          <w:tcPr>
            <w:tcW w:type="dxa" w:w="363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Argentina usa ~500 millones de litros de agroquímicos anualmente. La aplicación de glifosato aumentó 14 veces desde 1996.</w:t>
            </w:r>
          </w:p>
        </w:tc>
        <w:tc>
          <w:tcPr>
            <w:tcW w:type="dxa" w:w="363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Los costos de insumos escalan a medida que los suelos se degradan y la resistencia de plagas crece. Preocupaciones sanitarias en comunidades agrícolas (pueblos fumigados). Contaminación de napas y cursos de agua.</w:t>
            </w:r>
          </w:p>
        </w:tc>
      </w:tr>
      <w:tr>
        <w:tc>
          <w:tcPr>
            <w:tcW w:type="dxa" w:w="21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Colapso del ecosistema microbiano</w:t>
            </w:r>
          </w:p>
        </w:tc>
        <w:tc>
          <w:tcPr>
            <w:tcW w:type="dxa" w:w="363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Suelo sano: 1.000+ millones de bacterias/gramo con redes fúngicas diversas. Zonas intensivas muestran diversidad y biomasa microbiana severamente reducidas.</w:t>
            </w:r>
          </w:p>
        </w:tc>
        <w:tc>
          <w:tcPr>
            <w:tcW w:type="dxa" w:w="363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Sin biología, los suelos no pueden ciclar nutrientes, suprimir enfermedades ni construir estructura. La química debe sustituir a la biología a un costo creciente.</w:t>
            </w:r>
          </w:p>
        </w:tc>
      </w:tr>
      <w:tr>
        <w:tc>
          <w:tcPr>
            <w:tcW w:type="dxa" w:w="21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Deterioro de calidad alimentaria</w:t>
            </w:r>
          </w:p>
        </w:tc>
        <w:tc>
          <w:tcPr>
            <w:tcW w:type="dxa" w:w="363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Sin monitoreo sistemático nacional de densidad nutricional en alimentos argentinos. Datos globales muestran caídas del 10–40% en nutrientes correlacionadas con degradación del suelo.</w:t>
            </w:r>
          </w:p>
        </w:tc>
        <w:tc>
          <w:tcPr>
            <w:tcW w:type="dxa" w:w="363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Argentina exporta calorías pero nutrición cada vez más empobrecida. Los mercados de exportación premium están migrando hacia certificación de calidad, bajo residuo y producción regenerativa.</w:t>
            </w:r>
          </w:p>
        </w:tc>
      </w:tr>
    </w:tbl>
    <w:p>
      <w:pPr>
        <w:spacing w:after="80"/>
      </w:pPr>
    </w:p>
    <w:p>
      <w:pPr>
        <w:pStyle w:val="Heading2"/>
        <w:spacing w:before="300" w:after="120"/>
      </w:pPr>
      <w:r>
        <w:rPr>
          <w:rFonts w:ascii="Arial" w:cs="Arial" w:eastAsia="Arial" w:hAnsi="Arial"/>
          <w:b/>
          <w:bCs/>
          <w:color w:val="2E7D32"/>
          <w:sz w:val="28"/>
          <w:szCs w:val="28"/>
        </w:rPr>
        <w:t xml:space="preserve">1.3 El Costo de la Inacción: Proyección a 25 Años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BDBD" w:sz="1"/>
              <w:left w:val="single" w:color="BDBDBD" w:sz="1"/>
              <w:bottom w:val="single" w:color="BDBDBD" w:sz="1"/>
              <w:right w:val="single" w:color="BDBDBD" w:sz="1"/>
            </w:tcBorders>
            <w:shd w:fill="B71C1C" w:val="clear"/>
            <w:tcMar>
              <w:top w:type="dxa" w:w="100"/>
              <w:left w:type="dxa" w:w="140"/>
              <w:bottom w:type="dxa" w:w="100"/>
              <w:right w:type="dxa" w:w="140"/>
            </w:tcMar>
            <w:vAlign w:val="center"/>
          </w:tcPr>
          <w:p>
            <w:r>
              <w:rPr>
                <w:rFonts w:ascii="Arial" w:cs="Arial" w:eastAsia="Arial" w:hAnsi="Arial"/>
                <w:b/>
                <w:bCs/>
                <w:color w:val="FFFFFF"/>
                <w:sz w:val="20"/>
                <w:szCs w:val="20"/>
              </w:rPr>
              <w:t xml:space="preserve">Dominio de Costo</w:t>
            </w:r>
          </w:p>
        </w:tc>
        <w:tc>
          <w:tcPr>
            <w:tcW w:type="dxa" w:w="2340"/>
            <w:tcBorders>
              <w:top w:val="single" w:color="BDBDBD" w:sz="1"/>
              <w:left w:val="single" w:color="BDBDBD" w:sz="1"/>
              <w:bottom w:val="single" w:color="BDBDBD" w:sz="1"/>
              <w:right w:val="single" w:color="BDBDBD" w:sz="1"/>
            </w:tcBorders>
            <w:shd w:fill="B71C1C" w:val="clear"/>
            <w:tcMar>
              <w:top w:type="dxa" w:w="100"/>
              <w:left w:type="dxa" w:w="140"/>
              <w:bottom w:type="dxa" w:w="100"/>
              <w:right w:type="dxa" w:w="140"/>
            </w:tcMar>
            <w:vAlign w:val="center"/>
          </w:tcPr>
          <w:p>
            <w:r>
              <w:rPr>
                <w:rFonts w:ascii="Arial" w:cs="Arial" w:eastAsia="Arial" w:hAnsi="Arial"/>
                <w:b/>
                <w:bCs/>
                <w:color w:val="FFFFFF"/>
                <w:sz w:val="20"/>
                <w:szCs w:val="20"/>
              </w:rPr>
              <w:t xml:space="preserve">Próximos 10 Años</w:t>
            </w:r>
          </w:p>
        </w:tc>
        <w:tc>
          <w:tcPr>
            <w:tcW w:type="dxa" w:w="2340"/>
            <w:tcBorders>
              <w:top w:val="single" w:color="BDBDBD" w:sz="1"/>
              <w:left w:val="single" w:color="BDBDBD" w:sz="1"/>
              <w:bottom w:val="single" w:color="BDBDBD" w:sz="1"/>
              <w:right w:val="single" w:color="BDBDBD" w:sz="1"/>
            </w:tcBorders>
            <w:shd w:fill="B71C1C" w:val="clear"/>
            <w:tcMar>
              <w:top w:type="dxa" w:w="100"/>
              <w:left w:type="dxa" w:w="140"/>
              <w:bottom w:type="dxa" w:w="100"/>
              <w:right w:type="dxa" w:w="140"/>
            </w:tcMar>
            <w:vAlign w:val="center"/>
          </w:tcPr>
          <w:p>
            <w:r>
              <w:rPr>
                <w:rFonts w:ascii="Arial" w:cs="Arial" w:eastAsia="Arial" w:hAnsi="Arial"/>
                <w:b/>
                <w:bCs/>
                <w:color w:val="FFFFFF"/>
                <w:sz w:val="20"/>
                <w:szCs w:val="20"/>
              </w:rPr>
              <w:t xml:space="preserve">Próximos 25 Años</w:t>
            </w:r>
          </w:p>
        </w:tc>
        <w:tc>
          <w:tcPr>
            <w:tcW w:type="dxa" w:w="2340"/>
            <w:tcBorders>
              <w:top w:val="single" w:color="BDBDBD" w:sz="1"/>
              <w:left w:val="single" w:color="BDBDBD" w:sz="1"/>
              <w:bottom w:val="single" w:color="BDBDBD" w:sz="1"/>
              <w:right w:val="single" w:color="BDBDBD" w:sz="1"/>
            </w:tcBorders>
            <w:shd w:fill="B71C1C" w:val="clear"/>
            <w:tcMar>
              <w:top w:type="dxa" w:w="100"/>
              <w:left w:type="dxa" w:w="140"/>
              <w:bottom w:type="dxa" w:w="100"/>
              <w:right w:type="dxa" w:w="140"/>
            </w:tcMar>
            <w:vAlign w:val="center"/>
          </w:tcPr>
          <w:p>
            <w:r>
              <w:rPr>
                <w:rFonts w:ascii="Arial" w:cs="Arial" w:eastAsia="Arial" w:hAnsi="Arial"/>
                <w:b/>
                <w:bCs/>
                <w:color w:val="FFFFFF"/>
                <w:sz w:val="20"/>
                <w:szCs w:val="20"/>
              </w:rPr>
              <w:t xml:space="preserve">Irreversibilidad</w:t>
            </w:r>
          </w:p>
        </w:tc>
      </w:tr>
      <w:tr>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Pérdida de suelo y productividad</w:t>
            </w:r>
          </w:p>
        </w:tc>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30.000–50.000M acumulados en erosión de ingresos exportadores por estancamiento y caída de rendimientos</w:t>
            </w:r>
          </w:p>
        </w:tc>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100.000–200.000M acumulados; pérdida permanente de capacidad productiva en zonas severamente degradadas</w:t>
            </w:r>
          </w:p>
        </w:tc>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ALTA — regeneración del suelo superficial: 500–1.000 años por pulgada</w:t>
            </w:r>
          </w:p>
        </w:tc>
      </w:tr>
      <w:tr>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Escalada de insumos químicos</w:t>
            </w:r>
          </w:p>
        </w:tc>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20.000–40.000M acumulados de sobregasto vs. línea base biológica</w:t>
            </w:r>
          </w:p>
        </w:tc>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80.000–150.000M a medida que la espiral de degradación se acelera</w:t>
            </w:r>
          </w:p>
        </w:tc>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MEDIA — la biología puede reconstruirse en 3–5 campañas</w:t>
            </w:r>
          </w:p>
        </w:tc>
      </w:tr>
      <w:tr>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Amplificación de la crisis hídrica</w:t>
            </w:r>
          </w:p>
        </w:tc>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Impactos de sequía crecientemente severos en zonas de secano; inundaciones por infiltración degradada</w:t>
            </w:r>
          </w:p>
        </w:tc>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Inseguridad hídrica estructural en regiones agrícolas núcleo; degradación de la cuenca del Paraná</w:t>
            </w:r>
          </w:p>
        </w:tc>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ALTA — contaminación de acuíferos; pérdida de función de cuencas</w:t>
            </w:r>
          </w:p>
        </w:tc>
      </w:tr>
      <w:tr>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Riesgo de acceso al mercado UE</w:t>
            </w:r>
          </w:p>
        </w:tc>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Regulación de Deforestación UE (EUDR) y Farm-to-Fork exigen cumplimiento para acceso a mercados premium</w:t>
            </w:r>
          </w:p>
        </w:tc>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Pérdida potencial de USD 5.000–10.000M/año en exportaciones agrícolas a la UE si falla el cumplimiento de sostenibilidad</w:t>
            </w:r>
          </w:p>
        </w:tc>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CRÍTICA — el acceso a mercados una vez perdido tarda años en recuperarse</w:t>
            </w:r>
          </w:p>
        </w:tc>
      </w:tr>
      <w:tr>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Pasivo climático</w:t>
            </w:r>
          </w:p>
        </w:tc>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Emisión neta continuada desde suelos agrícolas; oportunidad de secuestro de carbono desperdiciada</w:t>
            </w:r>
          </w:p>
        </w:tc>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1.000–2.000 millones de toneladas de CO₂e de potencial de secuestro perdido; riesgo de incumplimiento del Acuerdo de París</w:t>
            </w:r>
          </w:p>
        </w:tc>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CRÍTICA — bucles de retroalimentación climática</w:t>
            </w:r>
          </w:p>
        </w:tc>
      </w:tr>
      <w:tr>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Colapso social rural</w:t>
            </w:r>
          </w:p>
        </w:tc>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Aceleración de la despoblación rural; concentración de la propiedad de la tierra; pérdida de conocimiento agrícola</w:t>
            </w:r>
          </w:p>
        </w:tc>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Colapso estructural de las economías provinciales del interior; daño irreversible al tejido social</w:t>
            </w:r>
          </w:p>
        </w:tc>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CRÍTICA — las comunidades una vez perdidas no regresan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8"/>
              <w:left w:val="single" w:color="FFF8E1" w:sz="2"/>
              <w:bottom w:val="single" w:color="FFF8E1" w:sz="2"/>
              <w:right w:val="single" w:color="FFF8E1" w:sz="2"/>
            </w:tcBorders>
            <w:shd w:fill="FFF8E1" w:val="clear"/>
            <w:tcMar>
              <w:top w:type="dxa" w:w="140"/>
              <w:left w:type="dxa" w:w="220"/>
              <w:bottom w:type="dxa" w:w="140"/>
              <w:right w:type="dxa" w:w="220"/>
            </w:tcMar>
          </w:tcPr>
          <w:p>
            <w:pPr>
              <w:spacing w:after="80"/>
            </w:pPr>
            <w:r>
              <w:rPr>
                <w:rFonts w:ascii="Arial" w:cs="Arial" w:eastAsia="Arial" w:hAnsi="Arial"/>
                <w:b/>
                <w:bCs/>
                <w:color w:val="F57F17"/>
                <w:sz w:val="23"/>
                <w:szCs w:val="23"/>
              </w:rPr>
              <w:t xml:space="preserve">El Multiplicador de la Inacción</w:t>
            </w:r>
          </w:p>
          <w:p>
            <w:pPr>
              <w:jc w:val="both"/>
            </w:pPr>
            <w:r>
              <w:rPr>
                <w:rFonts w:ascii="Arial" w:cs="Arial" w:eastAsia="Arial" w:hAnsi="Arial"/>
                <w:color w:val="212121"/>
                <w:sz w:val="21"/>
                <w:szCs w:val="21"/>
              </w:rPr>
              <w:t xml:space="preserve">Cada año de demora incrementa los costos de restauración en un estimado del 8–15% debido a la degradación biológica compuesta, la erosión, el agotamiento de nutrientes y la pérdida de carbono. El sistema agrícola de secano de la Argentina hace esto aún más crítico: sin la capacidad de retención de agua del suelo (que depende de la materia orgánica y la biología), cada sequía golpea más fuerte y cada inundación escurre más rápido. La intervención más barata es siempre la que comienza ahora.</w:t>
            </w:r>
          </w:p>
        </w:tc>
      </w:tr>
    </w:tbl>
    <w:p>
      <w:r>
        <w:br w:type="page"/>
      </w:r>
    </w:p>
    <w:p>
      <w:pPr>
        <w:pStyle w:val="Heading1"/>
        <w:spacing w:before="400" w:after="180"/>
      </w:pPr>
      <w:r>
        <w:rPr>
          <w:rFonts w:ascii="Arial" w:cs="Arial" w:eastAsia="Arial" w:hAnsi="Arial"/>
          <w:b/>
          <w:bCs/>
          <w:color w:val="0D47A1"/>
          <w:sz w:val="34"/>
          <w:szCs w:val="34"/>
        </w:rPr>
        <w:t xml:space="preserve">2. EL CAMBIO DE PARADIGMA: EL SUELO COMO INFRAESTRUCTURA NACIONAL GESTIONADA</w:t>
      </w:r>
    </w:p>
    <w:p>
      <w:pPr>
        <w:pStyle w:val="Heading2"/>
        <w:spacing w:before="300" w:after="120"/>
      </w:pPr>
      <w:r>
        <w:rPr>
          <w:rFonts w:ascii="Arial" w:cs="Arial" w:eastAsia="Arial" w:hAnsi="Arial"/>
          <w:b/>
          <w:bCs/>
          <w:color w:val="2E7D32"/>
          <w:sz w:val="28"/>
          <w:szCs w:val="28"/>
        </w:rPr>
        <w:t xml:space="preserve">2.1 Redefinir la Categoría</w:t>
      </w:r>
    </w:p>
    <w:p>
      <w:pPr>
        <w:spacing w:after="160" w:before="0"/>
        <w:jc w:val="both"/>
      </w:pPr>
      <w:r>
        <w:rPr>
          <w:rFonts w:ascii="Arial" w:cs="Arial" w:eastAsia="Arial" w:hAnsi="Arial"/>
          <w:b w:val="false"/>
          <w:bCs w:val="false"/>
          <w:i w:val="false"/>
          <w:iCs w:val="false"/>
          <w:color w:val="212121"/>
          <w:sz w:val="22"/>
          <w:szCs w:val="22"/>
        </w:rPr>
        <w:t xml:space="preserve">El error fundamental de la política agropecuaria argentina ha sido categórico. El suelo ha sido tratado como un medio pasivo — un sustrato que sostiene semillas mientras la química y la genética hacen el trabajo. La política se ha enfocado casi exclusivamente en lo que sale del suelo (producción, exportaciones, ingresos fiscales) ignorando la condición del activo que lo produce.</w:t>
      </w:r>
    </w:p>
    <w:p>
      <w:pPr>
        <w:spacing w:after="160" w:before="0"/>
        <w:jc w:val="both"/>
      </w:pPr>
      <w:r>
        <w:rPr>
          <w:rFonts w:ascii="Arial" w:cs="Arial" w:eastAsia="Arial" w:hAnsi="Arial"/>
          <w:b w:val="false"/>
          <w:bCs w:val="false"/>
          <w:i w:val="false"/>
          <w:iCs w:val="false"/>
          <w:color w:val="212121"/>
          <w:sz w:val="22"/>
          <w:szCs w:val="22"/>
        </w:rPr>
        <w:t xml:space="preserve">Esto equivale a maximizar la recaudación de peaje de una autopista mientras se elimina el presupuesto de mantenimiento. El resultado es predecible: alto tráfico temporal seguido de colapso estructural.</w:t>
      </w:r>
    </w:p>
    <w:p>
      <w:pPr>
        <w:spacing w:after="160" w:before="0"/>
        <w:jc w:val="both"/>
      </w:pPr>
      <w:r>
        <w:rPr>
          <w:rFonts w:ascii="Arial" w:cs="Arial" w:eastAsia="Arial" w:hAnsi="Arial"/>
          <w:b w:val="false"/>
          <w:bCs w:val="false"/>
          <w:i w:val="false"/>
          <w:iCs w:val="false"/>
          <w:color w:val="212121"/>
          <w:sz w:val="22"/>
          <w:szCs w:val="22"/>
        </w:rPr>
        <w:t xml:space="preserve">Esta propuesta introduce una nueva categoría de gobernanza: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8"/>
              <w:left w:val="single" w:color="E3F2FD" w:sz="2"/>
              <w:bottom w:val="single" w:color="E3F2FD" w:sz="2"/>
              <w:right w:val="single" w:color="E3F2FD" w:sz="2"/>
            </w:tcBorders>
            <w:shd w:fill="E3F2FD" w:val="clear"/>
            <w:tcMar>
              <w:top w:type="dxa" w:w="140"/>
              <w:left w:type="dxa" w:w="220"/>
              <w:bottom w:type="dxa" w:w="140"/>
              <w:right w:type="dxa" w:w="220"/>
            </w:tcMar>
          </w:tcPr>
          <w:p>
            <w:pPr>
              <w:spacing w:after="80"/>
            </w:pPr>
            <w:r>
              <w:rPr>
                <w:rFonts w:ascii="Arial" w:cs="Arial" w:eastAsia="Arial" w:hAnsi="Arial"/>
                <w:b/>
                <w:bCs/>
                <w:color w:val="0D47A1"/>
                <w:sz w:val="23"/>
                <w:szCs w:val="23"/>
              </w:rPr>
              <w:t xml:space="preserve">Infraestructura de Suelo Vivo (ISV)</w:t>
            </w:r>
          </w:p>
          <w:p>
            <w:pPr>
              <w:jc w:val="both"/>
            </w:pPr>
            <w:r>
              <w:rPr>
                <w:rFonts w:ascii="Arial" w:cs="Arial" w:eastAsia="Arial" w:hAnsi="Arial"/>
                <w:color w:val="212121"/>
                <w:sz w:val="21"/>
                <w:szCs w:val="21"/>
              </w:rPr>
              <w:t xml:space="preserve">El capital biológico, químico y físico gestionado dentro de los suelos agrícolas que produce servicios ecosistémicos incluyendo producción de alimentos, secuestro de carbono, regulación hídrica, mitigación de inundaciones y ciclado de nutrientes. La ISV es un activo nacional que se deprecia y que puede medirse, valorarse, invertirse en él y reconstruirse mediante tecnologías de ingeniería biológica y física del agua. Debe gestionarse con la misma disciplina que la Argentina aplica a su infraestructura energética, sus reservas financieras y su política comercial.</w:t>
            </w:r>
          </w:p>
        </w:tc>
      </w:tr>
    </w:tbl>
    <w:p>
      <w:pPr>
        <w:spacing w:after="80"/>
      </w:pPr>
    </w:p>
    <w:p>
      <w:pPr>
        <w:pStyle w:val="Heading2"/>
        <w:spacing w:before="300" w:after="120"/>
      </w:pPr>
      <w:r>
        <w:rPr>
          <w:rFonts w:ascii="Arial" w:cs="Arial" w:eastAsia="Arial" w:hAnsi="Arial"/>
          <w:b/>
          <w:bCs/>
          <w:color w:val="2E7D32"/>
          <w:sz w:val="28"/>
          <w:szCs w:val="28"/>
        </w:rPr>
        <w:t xml:space="preserve">2.2 Las Tres Leyes del Capital Edáfico</w:t>
      </w:r>
    </w:p>
    <w:p>
      <w:pPr>
        <w:pStyle w:val="ListParagraph"/>
        <w:numPr>
          <w:ilvl w:val="0"/>
          <w:numId w:val="2"/>
        </w:numPr>
        <w:spacing w:after="100"/>
        <w:jc w:val="both"/>
      </w:pPr>
      <w:r>
        <w:rPr>
          <w:rFonts w:ascii="Arial" w:cs="Arial" w:eastAsia="Arial" w:hAnsi="Arial"/>
          <w:b/>
          <w:bCs/>
          <w:color w:val="212121"/>
          <w:sz w:val="22"/>
          <w:szCs w:val="22"/>
        </w:rPr>
        <w:t xml:space="preserve">Ley de Primacía Biológica: </w:t>
      </w:r>
      <w:r>
        <w:rPr>
          <w:rFonts w:ascii="Arial" w:cs="Arial" w:eastAsia="Arial" w:hAnsi="Arial"/>
          <w:color w:val="212121"/>
          <w:sz w:val="22"/>
          <w:szCs w:val="22"/>
        </w:rPr>
        <w:t xml:space="preserve">La productividad del suelo es función de la actividad biológica, no de los insumos químicos. La química puede sustituir a la biología temporalmente, pero a costo creciente y con rendimientos decrecientes. Restaurar la biología restaura la capacidad inherente del sistema para producir su propia química. Cada peso invertido en biología del suelo se capitaliza; cada peso gastado en sustitución sintética se deprecia. El aumento de 14 veces en el uso de glifosato desde 1996 demuestra la cinta sin fin de la sustitución en acción.</w:t>
      </w:r>
    </w:p>
    <w:p>
      <w:pPr>
        <w:pStyle w:val="ListParagraph"/>
        <w:numPr>
          <w:ilvl w:val="0"/>
          <w:numId w:val="2"/>
        </w:numPr>
        <w:spacing w:after="100"/>
        <w:jc w:val="both"/>
      </w:pPr>
      <w:r>
        <w:rPr>
          <w:rFonts w:ascii="Arial" w:cs="Arial" w:eastAsia="Arial" w:hAnsi="Arial"/>
          <w:b/>
          <w:bCs/>
          <w:color w:val="212121"/>
          <w:sz w:val="22"/>
          <w:szCs w:val="22"/>
        </w:rPr>
        <w:t xml:space="preserve">Ley del Acoplamiento Agua-Biología: </w:t>
      </w:r>
      <w:r>
        <w:rPr>
          <w:rFonts w:ascii="Arial" w:cs="Arial" w:eastAsia="Arial" w:hAnsi="Arial"/>
          <w:color w:val="212121"/>
          <w:sz w:val="22"/>
          <w:szCs w:val="22"/>
        </w:rPr>
        <w:t xml:space="preserve">El agua no es simplemente un vehículo de entrega — es el principal regulador ambiental de la biología del suelo. En el sistema predominantemente de secano de la Argentina, esta ley se manifiesta de forma particular: la capacidad de retención de agua del suelo (función directa de la materia orgánica y la actividad biológica) determina si la lluvia se convierte en humedad productiva o en escorrentía destructiva. En las zonas irrigadas (Cuyo, Comahue, valles fluviales), el contenido de oxígeno disuelto y la carga microbiana del agua de riego determinan la viabilidad biológica. Optimizar la física del agua es el paso limitante en la restauración biológica.</w:t>
      </w:r>
    </w:p>
    <w:p>
      <w:pPr>
        <w:pStyle w:val="ListParagraph"/>
        <w:numPr>
          <w:ilvl w:val="0"/>
          <w:numId w:val="2"/>
        </w:numPr>
        <w:spacing w:after="100"/>
        <w:jc w:val="both"/>
      </w:pPr>
      <w:r>
        <w:rPr>
          <w:rFonts w:ascii="Arial" w:cs="Arial" w:eastAsia="Arial" w:hAnsi="Arial"/>
          <w:b/>
          <w:bCs/>
          <w:color w:val="212121"/>
          <w:sz w:val="22"/>
          <w:szCs w:val="22"/>
        </w:rPr>
        <w:t xml:space="preserve">Ley de los Retornos Compuestos: </w:t>
      </w:r>
      <w:r>
        <w:rPr>
          <w:rFonts w:ascii="Arial" w:cs="Arial" w:eastAsia="Arial" w:hAnsi="Arial"/>
          <w:color w:val="212121"/>
          <w:sz w:val="22"/>
          <w:szCs w:val="22"/>
        </w:rPr>
        <w:t xml:space="preserve">El suelo sano se vuelve más sano. Cada 1% de incremento en materia orgánica mejora la retención de agua en aproximadamente 80.000 litros por hectárea, aumenta la capacidad de ciclado de nutrientes, reduce la erosión y crea hábitat para más biología — que a su vez incrementa la materia orgánica. El sistema es autorreforzante una vez que se cruza el umbral biológico. En la Pampa Húmeda de secano, este retorno compuesto tiene un efecto único y poderoso: mayor retención de agua significa que cada milímetro de lluvia produce más rinde, reduciendo la volatilidad que destruye la economía de los campos en años secos.</w:t>
      </w:r>
    </w:p>
    <w:p>
      <w:pPr>
        <w:pStyle w:val="Heading2"/>
        <w:spacing w:before="300" w:after="120"/>
      </w:pPr>
      <w:r>
        <w:rPr>
          <w:rFonts w:ascii="Arial" w:cs="Arial" w:eastAsia="Arial" w:hAnsi="Arial"/>
          <w:b/>
          <w:bCs/>
          <w:color w:val="2E7D32"/>
          <w:sz w:val="28"/>
          <w:szCs w:val="28"/>
        </w:rPr>
        <w:t xml:space="preserve">2.3 Por Qué Ningún Programa Argentino Actual Aborda Esto</w:t>
      </w:r>
    </w:p>
    <w:p>
      <w:pPr>
        <w:spacing w:after="160" w:before="0"/>
        <w:jc w:val="both"/>
      </w:pPr>
      <w:r>
        <w:rPr>
          <w:rFonts w:ascii="Arial" w:cs="Arial" w:eastAsia="Arial" w:hAnsi="Arial"/>
          <w:b w:val="false"/>
          <w:bCs w:val="false"/>
          <w:i w:val="false"/>
          <w:iCs w:val="false"/>
          <w:color w:val="212121"/>
          <w:sz w:val="22"/>
          <w:szCs w:val="22"/>
        </w:rPr>
        <w:t xml:space="preserve">La Argentina cuenta con infraestructura valiosa de investigación agropecuaria (INTA, CONICET, facultades de agronomía) y algunos programas de conservación. Sin embargo, ningún marco existente aborda el desafío sistémico:</w:t>
      </w:r>
    </w:p>
    <w:p>
      <w:pPr>
        <w:pStyle w:val="ListParagraph"/>
        <w:numPr>
          <w:ilvl w:val="0"/>
          <w:numId w:val="3"/>
        </w:numPr>
        <w:spacing w:after="100"/>
        <w:jc w:val="both"/>
      </w:pPr>
      <w:r>
        <w:rPr>
          <w:rFonts w:ascii="Arial" w:cs="Arial" w:eastAsia="Arial" w:hAnsi="Arial"/>
          <w:b/>
          <w:bCs/>
          <w:color w:val="212121"/>
          <w:sz w:val="22"/>
          <w:szCs w:val="22"/>
        </w:rPr>
        <w:t xml:space="preserve">Sin enfoque integrado biología + agua: </w:t>
      </w:r>
      <w:r>
        <w:rPr>
          <w:rFonts w:ascii="Arial" w:cs="Arial" w:eastAsia="Arial" w:hAnsi="Arial"/>
          <w:color w:val="212121"/>
          <w:sz w:val="22"/>
          <w:szCs w:val="22"/>
        </w:rPr>
        <w:t xml:space="preserve">Los programas existentes abordan prácticas individuales (cultivos de cobertura, siembra directa, rotación) de forma aislada. Ningún programa integra inoculación biológica del suelo con optimización de física del agua como sistema unificado.</w:t>
      </w:r>
    </w:p>
    <w:p>
      <w:pPr>
        <w:pStyle w:val="ListParagraph"/>
        <w:numPr>
          <w:ilvl w:val="0"/>
          <w:numId w:val="3"/>
        </w:numPr>
        <w:spacing w:after="100"/>
        <w:jc w:val="both"/>
      </w:pPr>
      <w:r>
        <w:rPr>
          <w:rFonts w:ascii="Arial" w:cs="Arial" w:eastAsia="Arial" w:hAnsi="Arial"/>
          <w:b/>
          <w:bCs/>
          <w:color w:val="212121"/>
          <w:sz w:val="22"/>
          <w:szCs w:val="22"/>
        </w:rPr>
        <w:t xml:space="preserve">Sin pagos por resultados verificados: </w:t>
      </w:r>
      <w:r>
        <w:rPr>
          <w:rFonts w:ascii="Arial" w:cs="Arial" w:eastAsia="Arial" w:hAnsi="Arial"/>
          <w:color w:val="212121"/>
          <w:sz w:val="22"/>
          <w:szCs w:val="22"/>
        </w:rPr>
        <w:t xml:space="preserve">No existe un mecanismo nacional que pague a los productores por resultados verificados de salud del suelo (aumento de MOS, ganancia de biomasa microbiana, carbono secuestrado). Los pagos, donde existen, son por práctica, no por resultado.</w:t>
      </w:r>
    </w:p>
    <w:p>
      <w:pPr>
        <w:pStyle w:val="ListParagraph"/>
        <w:numPr>
          <w:ilvl w:val="0"/>
          <w:numId w:val="3"/>
        </w:numPr>
        <w:spacing w:after="100"/>
        <w:jc w:val="both"/>
      </w:pPr>
      <w:r>
        <w:rPr>
          <w:rFonts w:ascii="Arial" w:cs="Arial" w:eastAsia="Arial" w:hAnsi="Arial"/>
          <w:b/>
          <w:bCs/>
          <w:color w:val="212121"/>
          <w:sz w:val="22"/>
          <w:szCs w:val="22"/>
        </w:rPr>
        <w:t xml:space="preserve">Sin infraestructura de despliegue tecnológico: </w:t>
      </w:r>
      <w:r>
        <w:rPr>
          <w:rFonts w:ascii="Arial" w:cs="Arial" w:eastAsia="Arial" w:hAnsi="Arial"/>
          <w:color w:val="212121"/>
          <w:sz w:val="22"/>
          <w:szCs w:val="22"/>
        </w:rPr>
        <w:t xml:space="preserve">Aun cuando existen tecnologías efectivas (sistemas avanzados de compost tea, tratamiento de agua con nanoburbujas, sistemas de enmienda biológica), no hay una vía sistemática desde la innovación hasta el despliegue a escala.</w:t>
      </w:r>
    </w:p>
    <w:p>
      <w:pPr>
        <w:pStyle w:val="ListParagraph"/>
        <w:numPr>
          <w:ilvl w:val="0"/>
          <w:numId w:val="3"/>
        </w:numPr>
        <w:spacing w:after="100"/>
        <w:jc w:val="both"/>
      </w:pPr>
      <w:r>
        <w:rPr>
          <w:rFonts w:ascii="Arial" w:cs="Arial" w:eastAsia="Arial" w:hAnsi="Arial"/>
          <w:b/>
          <w:bCs/>
          <w:color w:val="212121"/>
          <w:sz w:val="22"/>
          <w:szCs w:val="22"/>
        </w:rPr>
        <w:t xml:space="preserve">Sin base de datos biológica nacional del suelo: </w:t>
      </w:r>
      <w:r>
        <w:rPr>
          <w:rFonts w:ascii="Arial" w:cs="Arial" w:eastAsia="Arial" w:hAnsi="Arial"/>
          <w:color w:val="212121"/>
          <w:sz w:val="22"/>
          <w:szCs w:val="22"/>
        </w:rPr>
        <w:t xml:space="preserve">La Argentina no tiene una base de datos sistemática y continuamente actualizada de salud microbiana del suelo en sus regiones agrícolas. No se puede gestionar lo que no se mide.</w:t>
      </w:r>
    </w:p>
    <w:p>
      <w:r>
        <w:br w:type="page"/>
      </w:r>
    </w:p>
    <w:p>
      <w:pPr>
        <w:pStyle w:val="Heading1"/>
        <w:spacing w:before="400" w:after="180"/>
      </w:pPr>
      <w:r>
        <w:rPr>
          <w:rFonts w:ascii="Arial" w:cs="Arial" w:eastAsia="Arial" w:hAnsi="Arial"/>
          <w:b/>
          <w:bCs/>
          <w:color w:val="0D47A1"/>
          <w:sz w:val="34"/>
          <w:szCs w:val="34"/>
        </w:rPr>
        <w:t xml:space="preserve">3. EL MARCO TECNOLÓGICO: BIOLOGÍA Y FÍSICA DEL AGUA</w:t>
      </w:r>
    </w:p>
    <w:p>
      <w:pPr>
        <w:pStyle w:val="Heading2"/>
        <w:spacing w:before="300" w:after="120"/>
      </w:pPr>
      <w:r>
        <w:rPr>
          <w:rFonts w:ascii="Arial" w:cs="Arial" w:eastAsia="Arial" w:hAnsi="Arial"/>
          <w:b/>
          <w:bCs/>
          <w:color w:val="2E7D32"/>
          <w:sz w:val="28"/>
          <w:szCs w:val="28"/>
        </w:rPr>
        <w:t xml:space="preserve">3.1 Arquitectura de Dos Intervenciones</w:t>
      </w:r>
    </w:p>
    <w:p>
      <w:pPr>
        <w:spacing w:after="160" w:before="0"/>
        <w:jc w:val="both"/>
      </w:pPr>
      <w:r>
        <w:rPr>
          <w:rFonts w:ascii="Arial" w:cs="Arial" w:eastAsia="Arial" w:hAnsi="Arial"/>
          <w:b w:val="false"/>
          <w:bCs w:val="false"/>
          <w:i w:val="false"/>
          <w:iCs w:val="false"/>
          <w:color w:val="212121"/>
          <w:sz w:val="22"/>
          <w:szCs w:val="22"/>
        </w:rPr>
        <w:t xml:space="preserve">La restauración de la infraestructura de suelo vivo requiere exactamente dos categorías de intervención tecnológica, desplegadas simultáneamente: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8"/>
              <w:left w:val="single" w:color="E3F2FD" w:sz="2"/>
              <w:bottom w:val="single" w:color="E3F2FD" w:sz="2"/>
              <w:right w:val="single" w:color="E3F2FD" w:sz="2"/>
            </w:tcBorders>
            <w:shd w:fill="E3F2FD" w:val="clear"/>
            <w:tcMar>
              <w:top w:type="dxa" w:w="140"/>
              <w:left w:type="dxa" w:w="220"/>
              <w:bottom w:type="dxa" w:w="140"/>
              <w:right w:type="dxa" w:w="220"/>
            </w:tcMar>
          </w:tcPr>
          <w:p>
            <w:pPr>
              <w:spacing w:after="80"/>
            </w:pPr>
            <w:r>
              <w:rPr>
                <w:rFonts w:ascii="Arial" w:cs="Arial" w:eastAsia="Arial" w:hAnsi="Arial"/>
                <w:b/>
                <w:bCs/>
                <w:color w:val="0D47A1"/>
                <w:sz w:val="23"/>
                <w:szCs w:val="23"/>
              </w:rPr>
              <w:t xml:space="preserve">Intervención A — Sistemas de Inoculación y Enmienda Biológica del Suelo</w:t>
            </w:r>
          </w:p>
          <w:p>
            <w:pPr>
              <w:jc w:val="both"/>
            </w:pPr>
            <w:r>
              <w:rPr>
                <w:rFonts w:ascii="Arial" w:cs="Arial" w:eastAsia="Arial" w:hAnsi="Arial"/>
                <w:color w:val="212121"/>
                <w:sz w:val="21"/>
                <w:szCs w:val="21"/>
              </w:rPr>
              <w:t xml:space="preserve">Sistemas avanzados de elaboración de compost tea que producen cultivos microbianos diversos y ricos en oxígeno (bacterias, hongos, protozoos, nematodos) para aplicación al suelo. Complementados con sustratos orgánicos de alta calidad (frass de insectos, compost verificado, mezclas de nutrientes orgánicos) que alimentan y sostienen las comunidades microbianas. Los sistemas de elaboración deben alcanzar niveles de oxígeno disuelto superiores a 10 ppm para garantizar condiciones aeróbicas que maximicen la reproducción y diversidad microbiana. El equipamiento debe ser de ingeniería — no improvisado — con componentes certificados para contacto con agua y alimentos. Escala desde 100 litros (comunitario) hasta 10.000+ litros (comercial).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8"/>
              <w:left w:val="single" w:color="E3F2FD" w:sz="2"/>
              <w:bottom w:val="single" w:color="E3F2FD" w:sz="2"/>
              <w:right w:val="single" w:color="E3F2FD" w:sz="2"/>
            </w:tcBorders>
            <w:shd w:fill="E3F2FD" w:val="clear"/>
            <w:tcMar>
              <w:top w:type="dxa" w:w="140"/>
              <w:left w:type="dxa" w:w="220"/>
              <w:bottom w:type="dxa" w:w="140"/>
              <w:right w:type="dxa" w:w="220"/>
            </w:tcMar>
          </w:tcPr>
          <w:p>
            <w:pPr>
              <w:spacing w:after="80"/>
            </w:pPr>
            <w:r>
              <w:rPr>
                <w:rFonts w:ascii="Arial" w:cs="Arial" w:eastAsia="Arial" w:hAnsi="Arial"/>
                <w:b/>
                <w:bCs/>
                <w:color w:val="0D47A1"/>
                <w:sz w:val="23"/>
                <w:szCs w:val="23"/>
              </w:rPr>
              <w:t xml:space="preserve">Intervención B — Sistemas de Optimización de Física del Agua</w:t>
            </w:r>
          </w:p>
          <w:p>
            <w:pPr>
              <w:jc w:val="both"/>
            </w:pPr>
            <w:r>
              <w:rPr>
                <w:rFonts w:ascii="Arial" w:cs="Arial" w:eastAsia="Arial" w:hAnsi="Arial"/>
                <w:color w:val="212121"/>
                <w:sz w:val="21"/>
                <w:szCs w:val="21"/>
              </w:rPr>
              <w:t xml:space="preserve">Tecnologías de generación de nanoburbujas, cavitación hidrodinámica y procesos de oxidación avanzada que transforman el agua de riego y aplicación en un amplificador biológico. Estos sistemas incrementan el oxígeno disuelto en un 300–400%, generan cientos de millones de nanoburbujas por mililitro, mejoran la penetración y retención del agua en el suelo, degradan residuos químicos y optimizan la eficiencia de absorción de nutrientes. Para sistemas de secano, la optimización del agua se aplica al agua de aplicación de compost tea y al riego suplementario. Para zonas irrigadas, se aplica a todo el caudal de riego.</w:t>
            </w:r>
          </w:p>
        </w:tc>
      </w:tr>
    </w:tbl>
    <w:p>
      <w:pPr>
        <w:spacing w:after="80"/>
      </w:pPr>
    </w:p>
    <w:p>
      <w:pPr>
        <w:pStyle w:val="Heading2"/>
        <w:spacing w:before="300" w:after="120"/>
      </w:pPr>
      <w:r>
        <w:rPr>
          <w:rFonts w:ascii="Arial" w:cs="Arial" w:eastAsia="Arial" w:hAnsi="Arial"/>
          <w:b/>
          <w:bCs/>
          <w:color w:val="2E7D32"/>
          <w:sz w:val="28"/>
          <w:szCs w:val="28"/>
        </w:rPr>
        <w:t xml:space="preserve">3.2 El Principio de Convergencia</w:t>
      </w:r>
    </w:p>
    <w:p>
      <w:pPr>
        <w:spacing w:after="160" w:before="0"/>
        <w:jc w:val="both"/>
      </w:pPr>
      <w:r>
        <w:rPr>
          <w:rFonts w:ascii="Arial" w:cs="Arial" w:eastAsia="Arial" w:hAnsi="Arial"/>
          <w:b w:val="false"/>
          <w:bCs w:val="false"/>
          <w:i w:val="false"/>
          <w:iCs w:val="false"/>
          <w:color w:val="212121"/>
          <w:sz w:val="22"/>
          <w:szCs w:val="22"/>
        </w:rPr>
        <w:t xml:space="preserve">Estas dos categorías de intervención deben desplegarse juntas porque cada una elimina la restricción que limita a la otra:</w:t>
      </w:r>
    </w:p>
    <w:p>
      <w:pPr>
        <w:pStyle w:val="ListParagraph"/>
        <w:numPr>
          <w:ilvl w:val="0"/>
          <w:numId w:val="4"/>
        </w:numPr>
        <w:spacing w:after="80"/>
        <w:jc w:val="both"/>
      </w:pPr>
      <w:r>
        <w:rPr>
          <w:rFonts w:ascii="Arial" w:cs="Arial" w:eastAsia="Arial" w:hAnsi="Arial"/>
          <w:color w:val="212121"/>
          <w:sz w:val="22"/>
          <w:szCs w:val="22"/>
        </w:rPr>
        <w:t xml:space="preserve">Los inoculantes biológicos aplicados a través de agua sin tratar (especialmente agua con cloro, cloramina o bajo oxígeno disuelto) pierden el 60–90% de su viabilidad microbiana. La optimización del agua asegura que la biología llegue viva y en condiciones óptimas de reproducción.</w:t>
      </w:r>
    </w:p>
    <w:p>
      <w:pPr>
        <w:pStyle w:val="ListParagraph"/>
        <w:numPr>
          <w:ilvl w:val="0"/>
          <w:numId w:val="4"/>
        </w:numPr>
        <w:spacing w:after="80"/>
        <w:jc w:val="both"/>
      </w:pPr>
      <w:r>
        <w:rPr>
          <w:rFonts w:ascii="Arial" w:cs="Arial" w:eastAsia="Arial" w:hAnsi="Arial"/>
          <w:color w:val="212121"/>
          <w:sz w:val="22"/>
          <w:szCs w:val="22"/>
        </w:rPr>
        <w:t xml:space="preserve">Los microorganismos del suelo requieren un mínimo de aproximadamente 6 ppm de oxígeno disuelto para reproducirse y aproximadamente 4 ppm para sobrevivir. El agua sin tratar estándar contiene 4–6 ppm. El agua optimizada entrega 11–18 ppm — muy por encima del umbral de reproducción.</w:t>
      </w:r>
    </w:p>
    <w:p>
      <w:pPr>
        <w:pStyle w:val="ListParagraph"/>
        <w:numPr>
          <w:ilvl w:val="0"/>
          <w:numId w:val="4"/>
        </w:numPr>
        <w:spacing w:after="80"/>
        <w:jc w:val="both"/>
      </w:pPr>
      <w:r>
        <w:rPr>
          <w:rFonts w:ascii="Arial" w:cs="Arial" w:eastAsia="Arial" w:hAnsi="Arial"/>
          <w:color w:val="212121"/>
          <w:sz w:val="22"/>
          <w:szCs w:val="22"/>
        </w:rPr>
        <w:t xml:space="preserve">El agua enriquecida con nanoburbujas mejora la penetración y retención de humedad en el suelo, distribuyendo las enmiendas biológicas de forma más uniforme y permitiendo una colonización más profunda de la rizósfera.</w:t>
      </w:r>
    </w:p>
    <w:p>
      <w:pPr>
        <w:pStyle w:val="ListParagraph"/>
        <w:numPr>
          <w:ilvl w:val="0"/>
          <w:numId w:val="4"/>
        </w:numPr>
        <w:spacing w:after="80"/>
        <w:jc w:val="both"/>
      </w:pPr>
      <w:r>
        <w:rPr>
          <w:rFonts w:ascii="Arial" w:cs="Arial" w:eastAsia="Arial" w:hAnsi="Arial"/>
          <w:color w:val="212121"/>
          <w:sz w:val="22"/>
          <w:szCs w:val="22"/>
        </w:rPr>
        <w:t xml:space="preserve">Los procesos de oxidación avanzada degradan los residuos agroquímicos en el suelo y el agua, creando un ambiente más limpio para el establecimiento biológico.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8"/>
              <w:left w:val="single" w:color="E0F2F1" w:sz="2"/>
              <w:bottom w:val="single" w:color="E0F2F1" w:sz="2"/>
              <w:right w:val="single" w:color="E0F2F1" w:sz="2"/>
            </w:tcBorders>
            <w:shd w:fill="E0F2F1" w:val="clear"/>
            <w:tcMar>
              <w:top w:type="dxa" w:w="140"/>
              <w:left w:type="dxa" w:w="220"/>
              <w:bottom w:type="dxa" w:w="140"/>
              <w:right w:type="dxa" w:w="220"/>
            </w:tcMar>
          </w:tcPr>
          <w:p>
            <w:pPr>
              <w:spacing w:after="80"/>
            </w:pPr>
            <w:r>
              <w:rPr>
                <w:rFonts w:ascii="Arial" w:cs="Arial" w:eastAsia="Arial" w:hAnsi="Arial"/>
                <w:b/>
                <w:bCs/>
                <w:color w:val="00695C"/>
                <w:sz w:val="23"/>
                <w:szCs w:val="23"/>
              </w:rPr>
              <w:t xml:space="preserve">La Ecuación de Convergencia</w:t>
            </w:r>
          </w:p>
          <w:p>
            <w:pPr>
              <w:jc w:val="both"/>
            </w:pPr>
            <w:r>
              <w:rPr>
                <w:rFonts w:ascii="Arial" w:cs="Arial" w:eastAsia="Arial" w:hAnsi="Arial"/>
                <w:color w:val="212121"/>
                <w:sz w:val="21"/>
                <w:szCs w:val="21"/>
              </w:rPr>
              <w:t xml:space="preserve">Biología sola = 40–60% del impacto potencial. Optimización del agua sola = 30–50% del impacto potencial. Biología + Agua simultáneamente = 150–200%+ del impacto individual (sinérgico, no aditivo). Esto se debe a que cada tecnología elimina la restricción que limita a la otra. Biología sin agua optimizada es como sembrar semillas sin regarlas. Agua optimizada sin biología es como regar un desierto.</w:t>
            </w:r>
          </w:p>
        </w:tc>
      </w:tr>
    </w:tbl>
    <w:p>
      <w:pPr>
        <w:spacing w:after="80"/>
      </w:pPr>
    </w:p>
    <w:p>
      <w:pPr>
        <w:pStyle w:val="Heading2"/>
        <w:spacing w:before="300" w:after="120"/>
      </w:pPr>
      <w:r>
        <w:rPr>
          <w:rFonts w:ascii="Arial" w:cs="Arial" w:eastAsia="Arial" w:hAnsi="Arial"/>
          <w:b/>
          <w:bCs/>
          <w:color w:val="2E7D32"/>
          <w:sz w:val="28"/>
          <w:szCs w:val="28"/>
        </w:rPr>
        <w:t xml:space="preserve">3.3 Especificaciones Técnicas de Desempeño</w:t>
      </w:r>
    </w:p>
    <w:p>
      <w:pPr>
        <w:spacing w:after="160" w:before="0"/>
        <w:jc w:val="both"/>
      </w:pPr>
      <w:r>
        <w:rPr>
          <w:rFonts w:ascii="Arial" w:cs="Arial" w:eastAsia="Arial" w:hAnsi="Arial"/>
          <w:b w:val="false"/>
          <w:bCs w:val="false"/>
          <w:i w:val="false"/>
          <w:iCs w:val="false"/>
          <w:color w:val="212121"/>
          <w:sz w:val="22"/>
          <w:szCs w:val="22"/>
        </w:rPr>
        <w:t xml:space="preserve">El programa nacional debe definir estándares de desempeño para la tecnología aprobada, no especificaciones de marca. Esto asegura calidad habilitando al mismo tiempo la competencia de mercado y la manufactura nacional:</w:t>
      </w:r>
    </w:p>
    <w:p>
      <w:pPr>
        <w:pStyle w:val="Heading3"/>
        <w:spacing w:before="240" w:after="100"/>
      </w:pPr>
      <w:r>
        <w:rPr>
          <w:rFonts w:ascii="Arial" w:cs="Arial" w:eastAsia="Arial" w:hAnsi="Arial"/>
          <w:b/>
          <w:bCs/>
          <w:color w:val="00695C"/>
          <w:sz w:val="24"/>
          <w:szCs w:val="24"/>
        </w:rPr>
        <w:t xml:space="preserve">3.3.1 Sistemas de Elaboración Biológica — Estándares Mínimos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DBDBD" w:sz="1"/>
              <w:left w:val="single" w:color="BDBDBD" w:sz="1"/>
              <w:bottom w:val="single" w:color="BDBDBD" w:sz="1"/>
              <w:right w:val="single" w:color="BDBDBD" w:sz="1"/>
            </w:tcBorders>
            <w:shd w:fill="2E7D32" w:val="clear"/>
            <w:tcMar>
              <w:top w:type="dxa" w:w="100"/>
              <w:left w:type="dxa" w:w="140"/>
              <w:bottom w:type="dxa" w:w="100"/>
              <w:right w:type="dxa" w:w="140"/>
            </w:tcMar>
            <w:vAlign w:val="center"/>
          </w:tcPr>
          <w:p>
            <w:r>
              <w:rPr>
                <w:rFonts w:ascii="Arial" w:cs="Arial" w:eastAsia="Arial" w:hAnsi="Arial"/>
                <w:b/>
                <w:bCs/>
                <w:color w:val="FFFFFF"/>
                <w:sz w:val="20"/>
                <w:szCs w:val="20"/>
              </w:rPr>
              <w:t xml:space="preserve">Parámetro</w:t>
            </w:r>
          </w:p>
        </w:tc>
        <w:tc>
          <w:tcPr>
            <w:tcW w:type="dxa" w:w="6240"/>
            <w:tcBorders>
              <w:top w:val="single" w:color="BDBDBD" w:sz="1"/>
              <w:left w:val="single" w:color="BDBDBD" w:sz="1"/>
              <w:bottom w:val="single" w:color="BDBDBD" w:sz="1"/>
              <w:right w:val="single" w:color="BDBDBD" w:sz="1"/>
            </w:tcBorders>
            <w:shd w:fill="2E7D32" w:val="clear"/>
            <w:tcMar>
              <w:top w:type="dxa" w:w="100"/>
              <w:left w:type="dxa" w:w="140"/>
              <w:bottom w:type="dxa" w:w="100"/>
              <w:right w:type="dxa" w:w="140"/>
            </w:tcMar>
            <w:vAlign w:val="center"/>
          </w:tcPr>
          <w:p>
            <w:r>
              <w:rPr>
                <w:rFonts w:ascii="Arial" w:cs="Arial" w:eastAsia="Arial" w:hAnsi="Arial"/>
                <w:b/>
                <w:bCs/>
                <w:color w:val="FFFFFF"/>
                <w:sz w:val="20"/>
                <w:szCs w:val="20"/>
              </w:rPr>
              <w:t xml:space="preserve">Especificación Requerida</w:t>
            </w:r>
          </w:p>
        </w:tc>
      </w:tr>
      <w:tr>
        <w:tc>
          <w:tcPr>
            <w:tcW w:type="dxa" w:w="31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Oxígeno disuelto durante elaboración</w:t>
            </w:r>
          </w:p>
        </w:tc>
        <w:tc>
          <w:tcPr>
            <w:tcW w:type="dxa" w:w="62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≥10 ppm alcanzados dentro de los 30 minutos de operación</w:t>
            </w:r>
          </w:p>
        </w:tc>
      </w:tr>
      <w:tr>
        <w:tc>
          <w:tcPr>
            <w:tcW w:type="dxa" w:w="312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Diseño de recirculación</w:t>
            </w:r>
          </w:p>
        </w:tc>
        <w:tc>
          <w:tcPr>
            <w:tcW w:type="dxa" w:w="62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Recirculación continua libre de sedimentos; sin zonas muertas; todos los sólidos en movimiento constante</w:t>
            </w:r>
          </w:p>
        </w:tc>
      </w:tr>
      <w:tr>
        <w:tc>
          <w:tcPr>
            <w:tcW w:type="dxa" w:w="31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Diseño de tanque</w:t>
            </w:r>
          </w:p>
        </w:tc>
        <w:tc>
          <w:tcPr>
            <w:tcW w:type="dxa" w:w="62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Fondo cónico preferido para circulación asistida por gravedad; materiales de grado alimenticio certificados para contacto con agua</w:t>
            </w:r>
          </w:p>
        </w:tc>
      </w:tr>
      <w:tr>
        <w:tc>
          <w:tcPr>
            <w:tcW w:type="dxa" w:w="312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Doble función</w:t>
            </w:r>
          </w:p>
        </w:tc>
        <w:tc>
          <w:tcPr>
            <w:tcW w:type="dxa" w:w="62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El sistema debe funcionar tanto como elaborador (cultivo biológico) como mezclador/dispensador (mezcla y distribución de nutrientes)</w:t>
            </w:r>
          </w:p>
        </w:tc>
      </w:tr>
      <w:tr>
        <w:tc>
          <w:tcPr>
            <w:tcW w:type="dxa" w:w="31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Rango de escala</w:t>
            </w:r>
          </w:p>
        </w:tc>
        <w:tc>
          <w:tcPr>
            <w:tcW w:type="dxa" w:w="62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Sistemas disponibles desde 100L (comunitario) hasta 10.000L+ (comercial). Diseño modular preferido.</w:t>
            </w:r>
          </w:p>
        </w:tc>
      </w:tr>
      <w:tr>
        <w:tc>
          <w:tcPr>
            <w:tcW w:type="dxa" w:w="312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Suministro de oxígeno</w:t>
            </w:r>
          </w:p>
        </w:tc>
        <w:tc>
          <w:tcPr>
            <w:tcW w:type="dxa" w:w="62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Bomba de aire regenerativa rotativa o equivalente; sin compresores lubricados con aceite (riesgo de contaminación)</w:t>
            </w:r>
          </w:p>
        </w:tc>
      </w:tr>
      <w:tr>
        <w:tc>
          <w:tcPr>
            <w:tcW w:type="dxa" w:w="31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Protocolo de testeo</w:t>
            </w:r>
          </w:p>
        </w:tc>
        <w:tc>
          <w:tcPr>
            <w:tcW w:type="dxa" w:w="62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Cada lote debe ser testeable para recuento de microorganismos vivos (microscopía 400x+ mínimo), patógenos, metales pesados</w:t>
            </w:r>
          </w:p>
        </w:tc>
      </w:tr>
      <w:tr>
        <w:tc>
          <w:tcPr>
            <w:tcW w:type="dxa" w:w="312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Estándares de insumos</w:t>
            </w:r>
          </w:p>
        </w:tc>
        <w:tc>
          <w:tcPr>
            <w:tcW w:type="dxa" w:w="62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Insumos 100% orgánicos; sin residuos animales; sin químicos sintéticos; documentación de origen verificada</w:t>
            </w:r>
          </w:p>
        </w:tc>
      </w:tr>
      <w:tr>
        <w:tc>
          <w:tcPr>
            <w:tcW w:type="dxa" w:w="31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Compatibilidad de distribución</w:t>
            </w:r>
          </w:p>
        </w:tc>
        <w:tc>
          <w:tcPr>
            <w:tcW w:type="dxa" w:w="62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El sistema debe soportar distribución por manguera, goteo, pivote y aspersión</w:t>
            </w:r>
          </w:p>
        </w:tc>
      </w:tr>
    </w:tbl>
    <w:p>
      <w:pPr>
        <w:spacing w:after="40"/>
      </w:pPr>
    </w:p>
    <w:p>
      <w:pPr>
        <w:pStyle w:val="Heading3"/>
        <w:spacing w:before="240" w:after="100"/>
      </w:pPr>
      <w:r>
        <w:rPr>
          <w:rFonts w:ascii="Arial" w:cs="Arial" w:eastAsia="Arial" w:hAnsi="Arial"/>
          <w:b/>
          <w:bCs/>
          <w:color w:val="00695C"/>
          <w:sz w:val="24"/>
          <w:szCs w:val="24"/>
        </w:rPr>
        <w:t xml:space="preserve">3.3.2 Sistemas de Optimización del Agua — Estándares Mínimos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DBDBD" w:sz="1"/>
              <w:left w:val="single" w:color="BDBDBD" w:sz="1"/>
              <w:bottom w:val="single" w:color="BDBDBD" w:sz="1"/>
              <w:right w:val="single" w:color="BDBDBD" w:sz="1"/>
            </w:tcBorders>
            <w:shd w:fill="0069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Parámetro</w:t>
            </w:r>
          </w:p>
        </w:tc>
        <w:tc>
          <w:tcPr>
            <w:tcW w:type="dxa" w:w="6240"/>
            <w:tcBorders>
              <w:top w:val="single" w:color="BDBDBD" w:sz="1"/>
              <w:left w:val="single" w:color="BDBDBD" w:sz="1"/>
              <w:bottom w:val="single" w:color="BDBDBD" w:sz="1"/>
              <w:right w:val="single" w:color="BDBDBD" w:sz="1"/>
            </w:tcBorders>
            <w:shd w:fill="00695C" w:val="clear"/>
            <w:tcMar>
              <w:top w:type="dxa" w:w="100"/>
              <w:left w:type="dxa" w:w="140"/>
              <w:bottom w:type="dxa" w:w="100"/>
              <w:right w:type="dxa" w:w="140"/>
            </w:tcMar>
            <w:vAlign w:val="center"/>
          </w:tcPr>
          <w:p>
            <w:r>
              <w:rPr>
                <w:rFonts w:ascii="Arial" w:cs="Arial" w:eastAsia="Arial" w:hAnsi="Arial"/>
                <w:b/>
                <w:bCs/>
                <w:color w:val="FFFFFF"/>
                <w:sz w:val="20"/>
                <w:szCs w:val="20"/>
              </w:rPr>
              <w:t xml:space="preserve">Especificación Requerida</w:t>
            </w:r>
          </w:p>
        </w:tc>
      </w:tr>
      <w:tr>
        <w:tc>
          <w:tcPr>
            <w:tcW w:type="dxa" w:w="31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Incremento de oxígeno disuelto</w:t>
            </w:r>
          </w:p>
        </w:tc>
        <w:tc>
          <w:tcPr>
            <w:tcW w:type="dxa" w:w="62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≥300% de mejora sobre línea base de agua sin tratar; objetivo 11–18 ppm en salida</w:t>
            </w:r>
          </w:p>
        </w:tc>
      </w:tr>
      <w:tr>
        <w:tc>
          <w:tcPr>
            <w:tcW w:type="dxa" w:w="312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Generación de nanoburbujas</w:t>
            </w:r>
          </w:p>
        </w:tc>
        <w:tc>
          <w:tcPr>
            <w:tcW w:type="dxa" w:w="62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≥100 millones de nanoburbujas por mililitro (preferido: 500M+)</w:t>
            </w:r>
          </w:p>
        </w:tc>
      </w:tr>
      <w:tr>
        <w:tc>
          <w:tcPr>
            <w:tcW w:type="dxa" w:w="31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Capacidad de flujo</w:t>
            </w:r>
          </w:p>
        </w:tc>
        <w:tc>
          <w:tcPr>
            <w:tcW w:type="dxa" w:w="62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Sistemas disponibles desde 5 L/min (comunitario) hasta 20.000+ L/min (línea principal de riego comercial)</w:t>
            </w:r>
          </w:p>
        </w:tc>
      </w:tr>
      <w:tr>
        <w:tc>
          <w:tcPr>
            <w:tcW w:type="dxa" w:w="312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Inyección de gases</w:t>
            </w:r>
          </w:p>
        </w:tc>
        <w:tc>
          <w:tcPr>
            <w:tcW w:type="dxa" w:w="62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Soporte para O₂ (primario), O₃ (ozono para control de patógenos), CO₂ (manejo de pH), N₂ (aplicaciones especializadas)</w:t>
            </w:r>
          </w:p>
        </w:tc>
      </w:tr>
      <w:tr>
        <w:tc>
          <w:tcPr>
            <w:tcW w:type="dxa" w:w="31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Opciones sin químicos</w:t>
            </w:r>
          </w:p>
        </w:tc>
        <w:tc>
          <w:tcPr>
            <w:tcW w:type="dxa" w:w="62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Al menos un modo operativo que no requiera aditivos químicos</w:t>
            </w:r>
          </w:p>
        </w:tc>
      </w:tr>
      <w:tr>
        <w:tc>
          <w:tcPr>
            <w:tcW w:type="dxa" w:w="312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Integración en línea</w:t>
            </w:r>
          </w:p>
        </w:tc>
        <w:tc>
          <w:tcPr>
            <w:tcW w:type="dxa" w:w="62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El sistema debe integrarse en infraestructura de riego existente con mínimas modificaciones</w:t>
            </w:r>
          </w:p>
        </w:tc>
      </w:tr>
      <w:tr>
        <w:tc>
          <w:tcPr>
            <w:tcW w:type="dxa" w:w="31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Capacidad de monitoreo</w:t>
            </w:r>
          </w:p>
        </w:tc>
        <w:tc>
          <w:tcPr>
            <w:tcW w:type="dxa" w:w="62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Monitoreo en tiempo real de oxígeno disuelto y caudal; salida de datos para reporte del programa</w:t>
            </w:r>
          </w:p>
        </w:tc>
      </w:tr>
      <w:tr>
        <w:tc>
          <w:tcPr>
            <w:tcW w:type="dxa" w:w="312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Rango de presión de operación</w:t>
            </w:r>
          </w:p>
        </w:tc>
        <w:tc>
          <w:tcPr>
            <w:tcW w:type="dxa" w:w="62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Compatible con presiones de riego estándar argentinas (1–40 bar típico)</w:t>
            </w:r>
          </w:p>
        </w:tc>
      </w:tr>
      <w:tr>
        <w:tc>
          <w:tcPr>
            <w:tcW w:type="dxa" w:w="31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Estándares de construcción</w:t>
            </w:r>
          </w:p>
        </w:tc>
        <w:tc>
          <w:tcPr>
            <w:tcW w:type="dxa" w:w="62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Materiales resistentes a la corrosión (polímero, acero inoxidable, titanio); aptos para operación agrícola continua</w:t>
            </w:r>
          </w:p>
        </w:tc>
      </w:tr>
    </w:tbl>
    <w:p>
      <w:pPr>
        <w:spacing w:after="80"/>
      </w:pPr>
    </w:p>
    <w:p>
      <w:pPr>
        <w:pStyle w:val="Heading2"/>
        <w:spacing w:before="300" w:after="120"/>
      </w:pPr>
      <w:r>
        <w:rPr>
          <w:rFonts w:ascii="Arial" w:cs="Arial" w:eastAsia="Arial" w:hAnsi="Arial"/>
          <w:b/>
          <w:bCs/>
          <w:color w:val="2E7D32"/>
          <w:sz w:val="28"/>
          <w:szCs w:val="28"/>
        </w:rPr>
        <w:t xml:space="preserve">3.4 Oportunidad de Manufactura Nacional</w:t>
      </w:r>
    </w:p>
    <w:p>
      <w:pPr>
        <w:spacing w:after="160" w:before="0"/>
        <w:jc w:val="both"/>
      </w:pPr>
      <w:r>
        <w:rPr>
          <w:rFonts w:ascii="Arial" w:cs="Arial" w:eastAsia="Arial" w:hAnsi="Arial"/>
          <w:b w:val="false"/>
          <w:bCs w:val="false"/>
          <w:i w:val="false"/>
          <w:iCs w:val="false"/>
          <w:color w:val="212121"/>
          <w:sz w:val="22"/>
          <w:szCs w:val="22"/>
        </w:rPr>
        <w:t xml:space="preserve">El enfoque de especificación técnica (vs. especificación de marca) crea una poderosa oportunidad de política industrial. La Argentina tiene la capacidad de ingeniería para fabricar tanto sistemas de elaboración biológica como sistemas de optimización del agua a nivel nacional. El programa nacional debería:</w:t>
      </w:r>
    </w:p>
    <w:p>
      <w:pPr>
        <w:pStyle w:val="ListParagraph"/>
        <w:numPr>
          <w:ilvl w:val="0"/>
          <w:numId w:val="5"/>
        </w:numPr>
        <w:spacing w:after="80"/>
        <w:jc w:val="both"/>
      </w:pPr>
      <w:r>
        <w:rPr>
          <w:rFonts w:ascii="Arial" w:cs="Arial" w:eastAsia="Arial" w:hAnsi="Arial"/>
          <w:color w:val="212121"/>
          <w:sz w:val="22"/>
          <w:szCs w:val="22"/>
        </w:rPr>
        <w:t xml:space="preserve">Invitar a líderes tecnológicos internacionales a establecer asociaciones de manufactura o acuerdos de licencia en Argentina.</w:t>
      </w:r>
    </w:p>
    <w:p>
      <w:pPr>
        <w:pStyle w:val="ListParagraph"/>
        <w:numPr>
          <w:ilvl w:val="0"/>
          <w:numId w:val="5"/>
        </w:numPr>
        <w:spacing w:after="80"/>
        <w:jc w:val="both"/>
      </w:pPr>
      <w:r>
        <w:rPr>
          <w:rFonts w:ascii="Arial" w:cs="Arial" w:eastAsia="Arial" w:hAnsi="Arial"/>
          <w:color w:val="212121"/>
          <w:sz w:val="22"/>
          <w:szCs w:val="22"/>
        </w:rPr>
        <w:t xml:space="preserve">Financiar a INTA y facultades de ingeniería universitarias para desarrollar y validar sistemas fabricados localmente que cumplan las especificaciones del programa.</w:t>
      </w:r>
    </w:p>
    <w:p>
      <w:pPr>
        <w:pStyle w:val="ListParagraph"/>
        <w:numPr>
          <w:ilvl w:val="0"/>
          <w:numId w:val="5"/>
        </w:numPr>
        <w:spacing w:after="80"/>
        <w:jc w:val="both"/>
      </w:pPr>
      <w:r>
        <w:rPr>
          <w:rFonts w:ascii="Arial" w:cs="Arial" w:eastAsia="Arial" w:hAnsi="Arial"/>
          <w:color w:val="212121"/>
          <w:sz w:val="22"/>
          <w:szCs w:val="22"/>
        </w:rPr>
        <w:t xml:space="preserve">Establecer un protocolo de certificación INTI (Instituto Nacional de Tecnología Industrial) para equipamiento aprobado.</w:t>
      </w:r>
    </w:p>
    <w:p>
      <w:pPr>
        <w:pStyle w:val="ListParagraph"/>
        <w:numPr>
          <w:ilvl w:val="0"/>
          <w:numId w:val="5"/>
        </w:numPr>
        <w:spacing w:after="80"/>
        <w:jc w:val="both"/>
      </w:pPr>
      <w:r>
        <w:rPr>
          <w:rFonts w:ascii="Arial" w:cs="Arial" w:eastAsia="Arial" w:hAnsi="Arial"/>
          <w:color w:val="212121"/>
          <w:sz w:val="22"/>
          <w:szCs w:val="22"/>
        </w:rPr>
        <w:t xml:space="preserve">Crear incentivos arancelarios para acuerdos de transferencia tecnológica que incluyan compromisos de manufactura nacional.</w:t>
      </w:r>
    </w:p>
    <w:p>
      <w:pPr>
        <w:pStyle w:val="ListParagraph"/>
        <w:numPr>
          <w:ilvl w:val="0"/>
          <w:numId w:val="5"/>
        </w:numPr>
        <w:spacing w:after="80"/>
        <w:jc w:val="both"/>
      </w:pPr>
      <w:r>
        <w:rPr>
          <w:rFonts w:ascii="Arial" w:cs="Arial" w:eastAsia="Arial" w:hAnsi="Arial"/>
          <w:color w:val="212121"/>
          <w:sz w:val="22"/>
          <w:szCs w:val="22"/>
        </w:rPr>
        <w:t xml:space="preserve">Objetivo: 70%+ del equipamiento del programa fabricado en Argentina para el Año 5, creando un nuevo sector industrial agro-tecnológico.</w:t>
      </w:r>
    </w:p>
    <w:p>
      <w:r>
        <w:br w:type="page"/>
      </w:r>
    </w:p>
    <w:p>
      <w:pPr>
        <w:pStyle w:val="Heading1"/>
        <w:spacing w:before="400" w:after="180"/>
      </w:pPr>
      <w:r>
        <w:rPr>
          <w:rFonts w:ascii="Arial" w:cs="Arial" w:eastAsia="Arial" w:hAnsi="Arial"/>
          <w:b/>
          <w:bCs/>
          <w:color w:val="0D47A1"/>
          <w:sz w:val="34"/>
          <w:szCs w:val="34"/>
        </w:rPr>
        <w:t xml:space="preserve">4. PLANISV: PLAN NACIONAL DE INFRAESTRUCTURA DE SUELO VIVO</w:t>
      </w:r>
    </w:p>
    <w:p>
      <w:pPr>
        <w:pStyle w:val="Heading2"/>
        <w:spacing w:before="300" w:after="120"/>
      </w:pPr>
      <w:r>
        <w:rPr>
          <w:rFonts w:ascii="Arial" w:cs="Arial" w:eastAsia="Arial" w:hAnsi="Arial"/>
          <w:b/>
          <w:bCs/>
          <w:color w:val="2E7D32"/>
          <w:sz w:val="28"/>
          <w:szCs w:val="28"/>
        </w:rPr>
        <w:t xml:space="preserve">4.1 Visión del Programa</w:t>
      </w:r>
    </w:p>
    <w:p>
      <w:pPr>
        <w:spacing w:after="160" w:before="0"/>
        <w:jc w:val="both"/>
      </w:pPr>
      <w:r>
        <w:rPr>
          <w:rFonts w:ascii="Arial" w:cs="Arial" w:eastAsia="Arial" w:hAnsi="Arial"/>
          <w:b w:val="false"/>
          <w:bCs w:val="false"/>
          <w:i w:val="false"/>
          <w:iCs w:val="false"/>
          <w:color w:val="212121"/>
          <w:sz w:val="22"/>
          <w:szCs w:val="22"/>
        </w:rPr>
        <w:t xml:space="preserve">PLANISV está diseñado como el primer programa nacional integral, medido por resultados e integrado tecnológicamente de salud del suelo en la historia argentina. Trata el capital biológico del suelo como infraestructura estratégica nacional y crea la arquitectura institucional, económica y tecnológica para gestionarlo sistemáticamente.</w:t>
      </w:r>
    </w:p>
    <w:p>
      <w:pPr>
        <w:spacing w:after="160" w:before="0"/>
        <w:jc w:val="both"/>
      </w:pPr>
      <w:r>
        <w:rPr>
          <w:rFonts w:ascii="Arial" w:cs="Arial" w:eastAsia="Arial" w:hAnsi="Arial"/>
          <w:b w:val="false"/>
          <w:bCs w:val="false"/>
          <w:i w:val="false"/>
          <w:iCs w:val="false"/>
          <w:color w:val="212121"/>
          <w:sz w:val="22"/>
          <w:szCs w:val="22"/>
        </w:rPr>
        <w:t xml:space="preserve">El programa está estructurado para que cualquier administrador público — desde el Secretario de Agricultura hasta un extensionista provincial, desde los directores de INTA hasta un intendente de un municipio rural — pueda identificar su rol, su vía de financiamiento y las acciones específicas dentro de su jurisdicción.</w:t>
      </w:r>
    </w:p>
    <w:p>
      <w:pPr>
        <w:pStyle w:val="Heading2"/>
        <w:spacing w:before="300" w:after="120"/>
      </w:pPr>
      <w:r>
        <w:rPr>
          <w:rFonts w:ascii="Arial" w:cs="Arial" w:eastAsia="Arial" w:hAnsi="Arial"/>
          <w:b/>
          <w:bCs/>
          <w:color w:val="2E7D32"/>
          <w:sz w:val="28"/>
          <w:szCs w:val="28"/>
        </w:rPr>
        <w:t xml:space="preserve">4.2 Cinco Pilares Estratégicos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DBDBD" w:sz="1"/>
              <w:left w:val="single" w:color="BDBDBD" w:sz="1"/>
              <w:bottom w:val="single" w:color="BDBDBD" w:sz="1"/>
              <w:right w:val="single" w:color="BDBDBD" w:sz="1"/>
            </w:tcBorders>
            <w:shd w:fill="0D47A1" w:val="clear"/>
            <w:tcMar>
              <w:top w:type="dxa" w:w="100"/>
              <w:left w:type="dxa" w:w="140"/>
              <w:bottom w:type="dxa" w:w="100"/>
              <w:right w:type="dxa" w:w="140"/>
            </w:tcMar>
            <w:vAlign w:val="center"/>
          </w:tcPr>
          <w:p>
            <w:r>
              <w:rPr>
                <w:rFonts w:ascii="Arial" w:cs="Arial" w:eastAsia="Arial" w:hAnsi="Arial"/>
                <w:b/>
                <w:bCs/>
                <w:color w:val="FFFFFF"/>
                <w:sz w:val="20"/>
                <w:szCs w:val="20"/>
              </w:rPr>
              <w:t xml:space="preserve">Pilar</w:t>
            </w:r>
          </w:p>
        </w:tc>
        <w:tc>
          <w:tcPr>
            <w:tcW w:type="dxa" w:w="7560"/>
            <w:tcBorders>
              <w:top w:val="single" w:color="BDBDBD" w:sz="1"/>
              <w:left w:val="single" w:color="BDBDBD" w:sz="1"/>
              <w:bottom w:val="single" w:color="BDBDBD" w:sz="1"/>
              <w:right w:val="single" w:color="BDBDBD" w:sz="1"/>
            </w:tcBorders>
            <w:shd w:fill="0D47A1"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Descripción y Alcance</w:t>
            </w:r>
          </w:p>
        </w:tc>
      </w:tr>
      <w:tr>
        <w:tc>
          <w:tcPr>
            <w:tcW w:type="dxa" w:w="1800"/>
            <w:tcBorders>
              <w:top w:val="single" w:color="BDBDBD" w:sz="1"/>
              <w:left w:val="single" w:color="BDBDBD" w:sz="1"/>
              <w:bottom w:val="single" w:color="BDBDBD" w:sz="1"/>
              <w:right w:val="single" w:color="BDBDBD" w:sz="1"/>
            </w:tcBorders>
            <w:tcMar>
              <w:top w:type="dxa" w:w="100"/>
              <w:left w:type="dxa" w:w="140"/>
              <w:bottom w:type="dxa" w:w="100"/>
              <w:right w:type="dxa" w:w="140"/>
            </w:tcMar>
          </w:tcPr>
          <w:p>
            <w:pPr>
              <w:spacing w:after="40"/>
            </w:pPr>
            <w:r>
              <w:rPr>
                <w:rFonts w:ascii="Arial" w:cs="Arial" w:eastAsia="Arial" w:hAnsi="Arial"/>
                <w:b/>
                <w:bCs/>
                <w:i w:val="false"/>
                <w:iCs w:val="false"/>
                <w:color w:val="0D47A1"/>
                <w:sz w:val="20"/>
                <w:szCs w:val="20"/>
              </w:rPr>
              <w:t xml:space="preserve">PILAR I</w:t>
            </w:r>
          </w:p>
          <w:p>
            <w:pPr>
              <w:spacing w:after="40"/>
            </w:pPr>
            <w:r>
              <w:rPr>
                <w:rFonts w:ascii="Arial" w:cs="Arial" w:eastAsia="Arial" w:hAnsi="Arial"/>
                <w:b w:val="false"/>
                <w:bCs w:val="false"/>
                <w:i/>
                <w:iCs/>
                <w:color w:val="616161"/>
                <w:sz w:val="20"/>
                <w:szCs w:val="20"/>
              </w:rPr>
              <w:t xml:space="preserve">Censo Nacional de Suelo Vivo</w:t>
            </w:r>
          </w:p>
        </w:tc>
        <w:tc>
          <w:tcPr>
            <w:tcW w:type="dxa" w:w="756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Establecer datos de línea base de salud biológica, química y física del suelo en todas las regiones agrícolas. Crear la primera base de datos nacional de biomasa microbiana, materia orgánica del suelo, oxígeno disuelto en sistemas de riego, métricas de dependencia de insumos y balances de minería de nutrientes. Los datos son estandarizados, georreferenciados y alimentan un Tablero Nacional de Salud del Suelo en tiempo real. Las estaciones regionales de INTA sirven como columna vertebral de recolección de datos.</w:t>
            </w:r>
          </w:p>
        </w:tc>
      </w:tr>
      <w:tr>
        <w:tc>
          <w:tcPr>
            <w:tcW w:type="dxa" w:w="18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pPr>
              <w:spacing w:after="40"/>
            </w:pPr>
            <w:r>
              <w:rPr>
                <w:rFonts w:ascii="Arial" w:cs="Arial" w:eastAsia="Arial" w:hAnsi="Arial"/>
                <w:b/>
                <w:bCs/>
                <w:i w:val="false"/>
                <w:iCs w:val="false"/>
                <w:color w:val="0D47A1"/>
                <w:sz w:val="20"/>
                <w:szCs w:val="20"/>
              </w:rPr>
              <w:t xml:space="preserve">PILAR II</w:t>
            </w:r>
          </w:p>
          <w:p>
            <w:pPr>
              <w:spacing w:after="40"/>
            </w:pPr>
            <w:r>
              <w:rPr>
                <w:rFonts w:ascii="Arial" w:cs="Arial" w:eastAsia="Arial" w:hAnsi="Arial"/>
                <w:b w:val="false"/>
                <w:bCs w:val="false"/>
                <w:i/>
                <w:iCs/>
                <w:color w:val="616161"/>
                <w:sz w:val="20"/>
                <w:szCs w:val="20"/>
              </w:rPr>
              <w:t xml:space="preserve">Red de Despliegue Tecnológico</w:t>
            </w:r>
          </w:p>
        </w:tc>
        <w:tc>
          <w:tcPr>
            <w:tcW w:type="dxa" w:w="756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Despliegue sistemático de sistemas de inoculación biológica y sistemas de optimización del agua a través de un marco de adopción por niveles (Demostración → Centros Regionales → Escala Comercial → Acceso Comunitario). Cada despliegue sigue protocolos estandarizados de instalación, capacitación y monitoreo. Adquisición de equipamiento mediante procesos públicos transparentes con especificaciones de desempeño definidas.</w:t>
            </w:r>
          </w:p>
        </w:tc>
      </w:tr>
      <w:tr>
        <w:tc>
          <w:tcPr>
            <w:tcW w:type="dxa" w:w="1800"/>
            <w:tcBorders>
              <w:top w:val="single" w:color="BDBDBD" w:sz="1"/>
              <w:left w:val="single" w:color="BDBDBD" w:sz="1"/>
              <w:bottom w:val="single" w:color="BDBDBD" w:sz="1"/>
              <w:right w:val="single" w:color="BDBDBD" w:sz="1"/>
            </w:tcBorders>
            <w:tcMar>
              <w:top w:type="dxa" w:w="100"/>
              <w:left w:type="dxa" w:w="140"/>
              <w:bottom w:type="dxa" w:w="100"/>
              <w:right w:type="dxa" w:w="140"/>
            </w:tcMar>
          </w:tcPr>
          <w:p>
            <w:pPr>
              <w:spacing w:after="40"/>
            </w:pPr>
            <w:r>
              <w:rPr>
                <w:rFonts w:ascii="Arial" w:cs="Arial" w:eastAsia="Arial" w:hAnsi="Arial"/>
                <w:b/>
                <w:bCs/>
                <w:i w:val="false"/>
                <w:iCs w:val="false"/>
                <w:color w:val="0D47A1"/>
                <w:sz w:val="20"/>
                <w:szCs w:val="20"/>
              </w:rPr>
              <w:t xml:space="preserve">PILAR III</w:t>
            </w:r>
          </w:p>
          <w:p>
            <w:pPr>
              <w:spacing w:after="40"/>
            </w:pPr>
            <w:r>
              <w:rPr>
                <w:rFonts w:ascii="Arial" w:cs="Arial" w:eastAsia="Arial" w:hAnsi="Arial"/>
                <w:b w:val="false"/>
                <w:bCs w:val="false"/>
                <w:i/>
                <w:iCs/>
                <w:color w:val="616161"/>
                <w:sz w:val="20"/>
                <w:szCs w:val="20"/>
              </w:rPr>
              <w:t xml:space="preserve">Pagos por Resultados Verificados</w:t>
            </w:r>
          </w:p>
        </w:tc>
        <w:tc>
          <w:tcPr>
            <w:tcW w:type="dxa" w:w="756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Reemplazar subsidios basados en prácticas con pagos verificados por resultados. Los productores obtienen pagos del programa vinculados a mejoras medidas: +X% de materia orgánica del suelo, +X% de biomasa microbiana, −X% de insumos químicos, +X toneladas de CO₂e secuestradas. Financiado a través de instrumentos de política agropecuaria reestructurados y financiamiento climático internacional. Desplaza los incentivos del cumplimiento al impacto.</w:t>
            </w:r>
          </w:p>
        </w:tc>
      </w:tr>
      <w:tr>
        <w:tc>
          <w:tcPr>
            <w:tcW w:type="dxa" w:w="18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pPr>
              <w:spacing w:after="40"/>
            </w:pPr>
            <w:r>
              <w:rPr>
                <w:rFonts w:ascii="Arial" w:cs="Arial" w:eastAsia="Arial" w:hAnsi="Arial"/>
                <w:b/>
                <w:bCs/>
                <w:i w:val="false"/>
                <w:iCs w:val="false"/>
                <w:color w:val="0D47A1"/>
                <w:sz w:val="20"/>
                <w:szCs w:val="20"/>
              </w:rPr>
              <w:t xml:space="preserve">PILAR IV</w:t>
            </w:r>
          </w:p>
          <w:p>
            <w:pPr>
              <w:spacing w:after="40"/>
            </w:pPr>
            <w:r>
              <w:rPr>
                <w:rFonts w:ascii="Arial" w:cs="Arial" w:eastAsia="Arial" w:hAnsi="Arial"/>
                <w:b w:val="false"/>
                <w:bCs w:val="false"/>
                <w:i/>
                <w:iCs/>
                <w:color w:val="616161"/>
                <w:sz w:val="20"/>
                <w:szCs w:val="20"/>
              </w:rPr>
              <w:t xml:space="preserve">Mercado de Carbono Agroecológico</w:t>
            </w:r>
          </w:p>
        </w:tc>
        <w:tc>
          <w:tcPr>
            <w:tcW w:type="dxa" w:w="756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Construir un protocolo estandarizado y verificado por el Estado de créditos de carbono del suelo que permita a los productores participantes monetizar el carbono secuestrado a través de mercados voluntarios y regulados. El marco regulatorio emergente argentino de mercado de carbono provee la base. La infraestructura MRV del programa proporciona la integridad de datos requerida por los registros internacionales. Los ingresos por carbono crean un ciclo de adopción autofinanciado y posicionan a la Argentina como líder global en carbono del suelo.</w:t>
            </w:r>
          </w:p>
        </w:tc>
      </w:tr>
      <w:tr>
        <w:tc>
          <w:tcPr>
            <w:tcW w:type="dxa" w:w="1800"/>
            <w:tcBorders>
              <w:top w:val="single" w:color="BDBDBD" w:sz="1"/>
              <w:left w:val="single" w:color="BDBDBD" w:sz="1"/>
              <w:bottom w:val="single" w:color="BDBDBD" w:sz="1"/>
              <w:right w:val="single" w:color="BDBDBD" w:sz="1"/>
            </w:tcBorders>
            <w:tcMar>
              <w:top w:type="dxa" w:w="100"/>
              <w:left w:type="dxa" w:w="140"/>
              <w:bottom w:type="dxa" w:w="100"/>
              <w:right w:type="dxa" w:w="140"/>
            </w:tcMar>
          </w:tcPr>
          <w:p>
            <w:pPr>
              <w:spacing w:after="40"/>
            </w:pPr>
            <w:r>
              <w:rPr>
                <w:rFonts w:ascii="Arial" w:cs="Arial" w:eastAsia="Arial" w:hAnsi="Arial"/>
                <w:b/>
                <w:bCs/>
                <w:i w:val="false"/>
                <w:iCs w:val="false"/>
                <w:color w:val="0D47A1"/>
                <w:sz w:val="20"/>
                <w:szCs w:val="20"/>
              </w:rPr>
              <w:t xml:space="preserve">PILAR V</w:t>
            </w:r>
          </w:p>
          <w:p>
            <w:pPr>
              <w:spacing w:after="40"/>
            </w:pPr>
            <w:r>
              <w:rPr>
                <w:rFonts w:ascii="Arial" w:cs="Arial" w:eastAsia="Arial" w:hAnsi="Arial"/>
                <w:b w:val="false"/>
                <w:bCs w:val="false"/>
                <w:i/>
                <w:iCs/>
                <w:color w:val="616161"/>
                <w:sz w:val="20"/>
                <w:szCs w:val="20"/>
              </w:rPr>
              <w:t xml:space="preserve">Red de Conocimiento y Formación</w:t>
            </w:r>
          </w:p>
        </w:tc>
        <w:tc>
          <w:tcPr>
            <w:tcW w:type="dxa" w:w="756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Capacitar una fuerza laboral nacional de técnicos en salud del suelo, extensionistas y productores líderes. Desarrollar currículas estandarizadas para manejo biológico del suelo, optimización de física del agua y monitoreo de salud del suelo. Aprovechar las 52 Estaciones Experimentales y más de 350 Unidades de Extensión de INTA. Crear redes de productores par a par (modelo Grupos CREA). Publicar un Informe Nacional Anual de Salud del Suelo.</w:t>
            </w:r>
          </w:p>
        </w:tc>
      </w:tr>
    </w:tbl>
    <w:p>
      <w:pPr>
        <w:spacing w:after="80"/>
      </w:pPr>
    </w:p>
    <w:p>
      <w:pPr>
        <w:pStyle w:val="Heading2"/>
        <w:spacing w:before="300" w:after="120"/>
      </w:pPr>
      <w:r>
        <w:rPr>
          <w:rFonts w:ascii="Arial" w:cs="Arial" w:eastAsia="Arial" w:hAnsi="Arial"/>
          <w:b/>
          <w:bCs/>
          <w:color w:val="2E7D32"/>
          <w:sz w:val="28"/>
          <w:szCs w:val="28"/>
        </w:rPr>
        <w:t xml:space="preserve">4.3 Arquitectura de Despliegue Regional</w:t>
      </w:r>
    </w:p>
    <w:p>
      <w:pPr>
        <w:spacing w:after="160" w:before="0"/>
        <w:jc w:val="both"/>
      </w:pPr>
      <w:r>
        <w:rPr>
          <w:rFonts w:ascii="Arial" w:cs="Arial" w:eastAsia="Arial" w:hAnsi="Arial"/>
          <w:b w:val="false"/>
          <w:bCs w:val="false"/>
          <w:i w:val="false"/>
          <w:iCs w:val="false"/>
          <w:color w:val="212121"/>
          <w:sz w:val="22"/>
          <w:szCs w:val="22"/>
        </w:rPr>
        <w:t xml:space="preserve">La diversidad agrícola argentina requiere una estrategia de despliegue regionalmente diferenciada. El programa identifica seis agro-regiones prioritarias con paquetes tecnológicos adaptados: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080"/>
        <w:gridCol w:w="2080"/>
        <w:gridCol w:w="2000"/>
      </w:tblGrid>
      <w:tr>
        <w:trPr>
          <w:tblHeader/>
        </w:trPr>
        <w:tc>
          <w:tcPr>
            <w:tcW w:type="dxa" w:w="1500"/>
            <w:tcBorders>
              <w:top w:val="single" w:color="BDBDBD" w:sz="1"/>
              <w:left w:val="single" w:color="BDBDBD" w:sz="1"/>
              <w:bottom w:val="single" w:color="BDBDBD" w:sz="1"/>
              <w:right w:val="single" w:color="BDBDBD" w:sz="1"/>
            </w:tcBorders>
            <w:shd w:fill="2E7D32" w:val="clear"/>
            <w:tcMar>
              <w:top w:type="dxa" w:w="100"/>
              <w:left w:type="dxa" w:w="140"/>
              <w:bottom w:type="dxa" w:w="100"/>
              <w:right w:type="dxa" w:w="140"/>
            </w:tcMar>
            <w:vAlign w:val="center"/>
          </w:tcPr>
          <w:p>
            <w:r>
              <w:rPr>
                <w:rFonts w:ascii="Arial" w:cs="Arial" w:eastAsia="Arial" w:hAnsi="Arial"/>
                <w:b/>
                <w:bCs/>
                <w:color w:val="FFFFFF"/>
                <w:sz w:val="20"/>
                <w:szCs w:val="20"/>
              </w:rPr>
              <w:t xml:space="preserve">Región</w:t>
            </w:r>
          </w:p>
        </w:tc>
        <w:tc>
          <w:tcPr>
            <w:tcW w:type="dxa" w:w="1700"/>
            <w:tcBorders>
              <w:top w:val="single" w:color="BDBDBD" w:sz="1"/>
              <w:left w:val="single" w:color="BDBDBD" w:sz="1"/>
              <w:bottom w:val="single" w:color="BDBDBD" w:sz="1"/>
              <w:right w:val="single" w:color="BDBDBD" w:sz="1"/>
            </w:tcBorders>
            <w:shd w:fill="2E7D32" w:val="clear"/>
            <w:tcMar>
              <w:top w:type="dxa" w:w="100"/>
              <w:left w:type="dxa" w:w="140"/>
              <w:bottom w:type="dxa" w:w="100"/>
              <w:right w:type="dxa" w:w="140"/>
            </w:tcMar>
            <w:vAlign w:val="center"/>
          </w:tcPr>
          <w:p>
            <w:r>
              <w:rPr>
                <w:rFonts w:ascii="Arial" w:cs="Arial" w:eastAsia="Arial" w:hAnsi="Arial"/>
                <w:b/>
                <w:bCs/>
                <w:color w:val="FFFFFF"/>
                <w:sz w:val="20"/>
                <w:szCs w:val="20"/>
              </w:rPr>
              <w:t xml:space="preserve">Agricultura Principal</w:t>
            </w:r>
          </w:p>
        </w:tc>
        <w:tc>
          <w:tcPr>
            <w:tcW w:type="dxa" w:w="2080"/>
            <w:tcBorders>
              <w:top w:val="single" w:color="BDBDBD" w:sz="1"/>
              <w:left w:val="single" w:color="BDBDBD" w:sz="1"/>
              <w:bottom w:val="single" w:color="BDBDBD" w:sz="1"/>
              <w:right w:val="single" w:color="BDBDBD" w:sz="1"/>
            </w:tcBorders>
            <w:shd w:fill="2E7D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Desafío de Degradación Clave</w:t>
            </w:r>
          </w:p>
        </w:tc>
        <w:tc>
          <w:tcPr>
            <w:tcW w:type="dxa" w:w="2080"/>
            <w:tcBorders>
              <w:top w:val="single" w:color="BDBDBD" w:sz="1"/>
              <w:left w:val="single" w:color="BDBDBD" w:sz="1"/>
              <w:bottom w:val="single" w:color="BDBDBD" w:sz="1"/>
              <w:right w:val="single" w:color="BDBDBD" w:sz="1"/>
            </w:tcBorders>
            <w:shd w:fill="2E7D32"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Prioridad Tecnológica</w:t>
            </w:r>
          </w:p>
        </w:tc>
        <w:tc>
          <w:tcPr>
            <w:tcW w:type="dxa" w:w="2000"/>
            <w:tcBorders>
              <w:top w:val="single" w:color="BDBDBD" w:sz="1"/>
              <w:left w:val="single" w:color="BDBDBD" w:sz="1"/>
              <w:bottom w:val="single" w:color="BDBDBD" w:sz="1"/>
              <w:right w:val="single" w:color="BDBDBD" w:sz="1"/>
            </w:tcBorders>
            <w:shd w:fill="2E7D32" w:val="clear"/>
            <w:tcMar>
              <w:top w:type="dxa" w:w="100"/>
              <w:left w:type="dxa" w:w="140"/>
              <w:bottom w:type="dxa" w:w="100"/>
              <w:right w:type="dxa" w:w="140"/>
            </w:tcMar>
            <w:vAlign w:val="center"/>
          </w:tcPr>
          <w:p>
            <w:r>
              <w:rPr>
                <w:rFonts w:ascii="Arial" w:cs="Arial" w:eastAsia="Arial" w:hAnsi="Arial"/>
                <w:b/>
                <w:bCs/>
                <w:color w:val="FFFFFF"/>
                <w:sz w:val="20"/>
                <w:szCs w:val="20"/>
              </w:rPr>
              <w:t xml:space="preserve">Anclaje Institucional</w:t>
            </w:r>
          </w:p>
        </w:tc>
      </w:tr>
      <w:tr>
        <w:tc>
          <w:tcPr>
            <w:tcW w:type="dxa" w:w="15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Pampa Húmeda</w:t>
            </w:r>
          </w:p>
        </w:tc>
        <w:tc>
          <w:tcPr>
            <w:tcW w:type="dxa" w:w="17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Soja, maíz, trigo, ganadería; 60%+ de la producción granaria nacional</w:t>
            </w:r>
          </w:p>
        </w:tc>
        <w:tc>
          <w:tcPr>
            <w:tcW w:type="dxa" w:w="208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Pérdida de MOS, monocultivo, dependencia química, minería de nutrientes</w:t>
            </w:r>
          </w:p>
        </w:tc>
        <w:tc>
          <w:tcPr>
            <w:tcW w:type="dxa" w:w="208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Stack completo Biología + Agua; sistemas gran escala (500–10.000L); optimización para secano</w:t>
            </w:r>
          </w:p>
        </w:tc>
        <w:tc>
          <w:tcPr>
            <w:tcW w:type="dxa" w:w="20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INTA Pergamino, INTA Balcarce, INTA Marcos Juárez; Bolsa de Cereales; AACREA</w:t>
            </w:r>
          </w:p>
        </w:tc>
      </w:tr>
      <w:tr>
        <w:tc>
          <w:tcPr>
            <w:tcW w:type="dxa" w:w="15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Pampa Semiárida</w:t>
            </w:r>
          </w:p>
        </w:tc>
        <w:tc>
          <w:tcPr>
            <w:tcW w:type="dxa" w:w="17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Ganadería, granos de secano, cultivos emergentes</w:t>
            </w:r>
          </w:p>
        </w:tc>
        <w:tc>
          <w:tcPr>
            <w:tcW w:type="dxa" w:w="208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Erosión (eólica e hídrica), baja MOS, vulnerabilidad a sequía</w:t>
            </w:r>
          </w:p>
        </w:tc>
        <w:tc>
          <w:tcPr>
            <w:tcW w:type="dxa" w:w="208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Biología para control de erosión; optimización de retención hídrica; sistemas de escala media</w:t>
            </w:r>
          </w:p>
        </w:tc>
        <w:tc>
          <w:tcPr>
            <w:tcW w:type="dxa" w:w="20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INTA Anguil, INTA General Villegas; extensión provincial</w:t>
            </w:r>
          </w:p>
        </w:tc>
      </w:tr>
      <w:tr>
        <w:tc>
          <w:tcPr>
            <w:tcW w:type="dxa" w:w="15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NOA (Noroeste)</w:t>
            </w:r>
          </w:p>
        </w:tc>
        <w:tc>
          <w:tcPr>
            <w:tcW w:type="dxa" w:w="17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Caña de azúcar, cítricos, tabaco, legumbres, cultivos originarios</w:t>
            </w:r>
          </w:p>
        </w:tc>
        <w:tc>
          <w:tcPr>
            <w:tcW w:type="dxa" w:w="208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Presión de deforestación, compactación del suelo, calidad del agua de riego</w:t>
            </w:r>
          </w:p>
        </w:tc>
        <w:tc>
          <w:tcPr>
            <w:tcW w:type="dxa" w:w="208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Biología + Optimización del agua para riego; productividad alternativa a deforestación</w:t>
            </w:r>
          </w:p>
        </w:tc>
        <w:tc>
          <w:tcPr>
            <w:tcW w:type="dxa" w:w="20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INTA Salta, INTA Famaillá, INTA Cerrillos; estaciones INTA provinciales</w:t>
            </w:r>
          </w:p>
        </w:tc>
      </w:tr>
      <w:tr>
        <w:tc>
          <w:tcPr>
            <w:tcW w:type="dxa" w:w="15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NEA (Noreste)</w:t>
            </w:r>
          </w:p>
        </w:tc>
        <w:tc>
          <w:tcPr>
            <w:tcW w:type="dxa" w:w="17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Yerba mate, té, forestal, cítricos, arroz, ganadería</w:t>
            </w:r>
          </w:p>
        </w:tc>
        <w:tc>
          <w:tcPr>
            <w:tcW w:type="dxa" w:w="208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Suelos lateríticos, degradación tropical, inundaciones, contaminación química</w:t>
            </w:r>
          </w:p>
        </w:tc>
        <w:tc>
          <w:tcPr>
            <w:tcW w:type="dxa" w:w="208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Biología para restauración de suelos tropicales; tratamiento del agua para remediación de contaminación</w:t>
            </w:r>
          </w:p>
        </w:tc>
        <w:tc>
          <w:tcPr>
            <w:tcW w:type="dxa" w:w="20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INTA Cerro Azul, INTA El Sombrerito; INTA Corrientes</w:t>
            </w:r>
          </w:p>
        </w:tc>
      </w:tr>
      <w:tr>
        <w:tc>
          <w:tcPr>
            <w:tcW w:type="dxa" w:w="15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Cuyo</w:t>
            </w:r>
          </w:p>
        </w:tc>
        <w:tc>
          <w:tcPr>
            <w:tcW w:type="dxa" w:w="17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Viñedos, olivos, frutales; agricultura irrigada</w:t>
            </w:r>
          </w:p>
        </w:tc>
        <w:tc>
          <w:tcPr>
            <w:tcW w:type="dxa" w:w="208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Escasez hídrica, salinidad, eficiencia de riego, calidad de exportación vinícola</w:t>
            </w:r>
          </w:p>
        </w:tc>
        <w:tc>
          <w:tcPr>
            <w:tcW w:type="dxa" w:w="208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Optimización del agua crítica: riego con nanoburbujas para calidad de vid y ahorro hídrico</w:t>
            </w:r>
          </w:p>
        </w:tc>
        <w:tc>
          <w:tcPr>
            <w:tcW w:type="dxa" w:w="20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INTA Mendoza, INTA San Juan; COVIAR; cámaras vitivinícolas</w:t>
            </w:r>
          </w:p>
        </w:tc>
      </w:tr>
      <w:tr>
        <w:tc>
          <w:tcPr>
            <w:tcW w:type="dxa" w:w="15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Patagonia Norte y Comahue</w:t>
            </w:r>
          </w:p>
        </w:tc>
        <w:tc>
          <w:tcPr>
            <w:tcW w:type="dxa" w:w="17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Frutales de pepita (manzanas, peras), agricultura irrigada, ovinos</w:t>
            </w:r>
          </w:p>
        </w:tc>
        <w:tc>
          <w:tcPr>
            <w:tcW w:type="dxa" w:w="208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Dependencia de riego, erosión eólica, materia orgánica limitada</w:t>
            </w:r>
          </w:p>
        </w:tc>
        <w:tc>
          <w:tcPr>
            <w:tcW w:type="dxa" w:w="208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Optimización del agua para riego; biología para control de erosión eólica; adaptación climática</w:t>
            </w:r>
          </w:p>
        </w:tc>
        <w:tc>
          <w:tcPr>
            <w:tcW w:type="dxa" w:w="20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INTA Alto Valle, INTA Bariloche</w:t>
            </w:r>
          </w:p>
        </w:tc>
      </w:tr>
    </w:tbl>
    <w:p>
      <w:pPr>
        <w:spacing w:after="80"/>
      </w:pPr>
    </w:p>
    <w:p>
      <w:pPr>
        <w:pStyle w:val="Heading2"/>
        <w:spacing w:before="300" w:after="120"/>
      </w:pPr>
      <w:r>
        <w:rPr>
          <w:rFonts w:ascii="Arial" w:cs="Arial" w:eastAsia="Arial" w:hAnsi="Arial"/>
          <w:b/>
          <w:bCs/>
          <w:color w:val="2E7D32"/>
          <w:sz w:val="28"/>
          <w:szCs w:val="28"/>
        </w:rPr>
        <w:t xml:space="preserve">4.4 Marco de Adopción por 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2760"/>
      </w:tblGrid>
      <w:tr>
        <w:trPr>
          <w:tblHeader/>
        </w:trPr>
        <w:tc>
          <w:tcPr>
            <w:tcW w:type="dxa" w:w="1200"/>
            <w:tcBorders>
              <w:top w:val="single" w:color="BDBDBD" w:sz="1"/>
              <w:left w:val="single" w:color="BDBDBD" w:sz="1"/>
              <w:bottom w:val="single" w:color="BDBDBD" w:sz="1"/>
              <w:right w:val="single" w:color="BDBDBD" w:sz="1"/>
            </w:tcBorders>
            <w:shd w:fill="0D47A1" w:val="clear"/>
            <w:tcMar>
              <w:top w:type="dxa" w:w="100"/>
              <w:left w:type="dxa" w:w="140"/>
              <w:bottom w:type="dxa" w:w="100"/>
              <w:right w:type="dxa" w:w="140"/>
            </w:tcMar>
            <w:vAlign w:val="center"/>
          </w:tcPr>
          <w:p>
            <w:r>
              <w:rPr>
                <w:rFonts w:ascii="Arial" w:cs="Arial" w:eastAsia="Arial" w:hAnsi="Arial"/>
                <w:b/>
                <w:bCs/>
                <w:color w:val="FFFFFF"/>
                <w:sz w:val="20"/>
                <w:szCs w:val="20"/>
              </w:rPr>
              <w:t xml:space="preserve">Nivel</w:t>
            </w:r>
          </w:p>
        </w:tc>
        <w:tc>
          <w:tcPr>
            <w:tcW w:type="dxa" w:w="2200"/>
            <w:tcBorders>
              <w:top w:val="single" w:color="BDBDBD" w:sz="1"/>
              <w:left w:val="single" w:color="BDBDBD" w:sz="1"/>
              <w:bottom w:val="single" w:color="BDBDBD" w:sz="1"/>
              <w:right w:val="single" w:color="BDBDBD" w:sz="1"/>
            </w:tcBorders>
            <w:shd w:fill="0D47A1" w:val="clear"/>
            <w:tcMar>
              <w:top w:type="dxa" w:w="100"/>
              <w:left w:type="dxa" w:w="140"/>
              <w:bottom w:type="dxa" w:w="100"/>
              <w:right w:type="dxa" w:w="140"/>
            </w:tcMar>
            <w:vAlign w:val="center"/>
          </w:tcPr>
          <w:p>
            <w:r>
              <w:rPr>
                <w:rFonts w:ascii="Arial" w:cs="Arial" w:eastAsia="Arial" w:hAnsi="Arial"/>
                <w:b/>
                <w:bCs/>
                <w:color w:val="FFFFFF"/>
                <w:sz w:val="20"/>
                <w:szCs w:val="20"/>
              </w:rPr>
              <w:t xml:space="preserve">Audiencia Objetivo</w:t>
            </w:r>
          </w:p>
        </w:tc>
        <w:tc>
          <w:tcPr>
            <w:tcW w:type="dxa" w:w="3200"/>
            <w:tcBorders>
              <w:top w:val="single" w:color="BDBDBD" w:sz="1"/>
              <w:left w:val="single" w:color="BDBDBD" w:sz="1"/>
              <w:bottom w:val="single" w:color="BDBDBD" w:sz="1"/>
              <w:right w:val="single" w:color="BDBDBD" w:sz="1"/>
            </w:tcBorders>
            <w:shd w:fill="0D47A1" w:val="clear"/>
            <w:tcMar>
              <w:top w:type="dxa" w:w="100"/>
              <w:left w:type="dxa" w:w="140"/>
              <w:bottom w:type="dxa" w:w="100"/>
              <w:right w:type="dxa" w:w="140"/>
            </w:tcMar>
            <w:vAlign w:val="center"/>
          </w:tcPr>
          <w:p>
            <w:r>
              <w:rPr>
                <w:rFonts w:ascii="Arial" w:cs="Arial" w:eastAsia="Arial" w:hAnsi="Arial"/>
                <w:b/>
                <w:bCs/>
                <w:color w:val="FFFFFF"/>
                <w:sz w:val="20"/>
                <w:szCs w:val="20"/>
              </w:rPr>
              <w:t xml:space="preserve">Paquete Tecnológico</w:t>
            </w:r>
          </w:p>
        </w:tc>
        <w:tc>
          <w:tcPr>
            <w:tcW w:type="dxa" w:w="2760"/>
            <w:tcBorders>
              <w:top w:val="single" w:color="BDBDBD" w:sz="1"/>
              <w:left w:val="single" w:color="BDBDBD" w:sz="1"/>
              <w:bottom w:val="single" w:color="BDBDBD" w:sz="1"/>
              <w:right w:val="single" w:color="BDBDBD" w:sz="1"/>
            </w:tcBorders>
            <w:shd w:fill="0D47A1" w:val="clear"/>
            <w:tcMar>
              <w:top w:type="dxa" w:w="100"/>
              <w:left w:type="dxa" w:w="140"/>
              <w:bottom w:type="dxa" w:w="100"/>
              <w:right w:type="dxa" w:w="140"/>
            </w:tcMar>
            <w:vAlign w:val="center"/>
          </w:tcPr>
          <w:p>
            <w:r>
              <w:rPr>
                <w:rFonts w:ascii="Arial" w:cs="Arial" w:eastAsia="Arial" w:hAnsi="Arial"/>
                <w:b/>
                <w:bCs/>
                <w:color w:val="FFFFFF"/>
                <w:sz w:val="20"/>
                <w:szCs w:val="20"/>
              </w:rPr>
              <w:t xml:space="preserve">Escala y Cronograma</w:t>
            </w:r>
          </w:p>
        </w:tc>
      </w:tr>
      <w:tr>
        <w:tc>
          <w:tcPr>
            <w:tcW w:type="dxa" w:w="12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NIVEL 1
Demostrar</w:t>
            </w:r>
          </w:p>
        </w:tc>
        <w:tc>
          <w:tcPr>
            <w:tcW w:type="dxa" w:w="22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Estaciones Experimentales de INTA, facultades de agronomía, campos de demostración CREA</w:t>
            </w:r>
          </w:p>
        </w:tc>
        <w:tc>
          <w:tcPr>
            <w:tcW w:type="dxa" w:w="32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Sistema completo Biología + Agua (escala media) + instrumentación MRV completa + monitoreo climático</w:t>
            </w:r>
          </w:p>
        </w:tc>
        <w:tc>
          <w:tcPr>
            <w:tcW w:type="dxa" w:w="276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50 sitios en el Año 1 en 6 agro-regiones prioritarias. Propósito: datos de prueba irrefutables y localmente adaptados.</w:t>
            </w:r>
          </w:p>
        </w:tc>
      </w:tr>
      <w:tr>
        <w:tc>
          <w:tcPr>
            <w:tcW w:type="dxa" w:w="12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NIVEL 2
Regionalizar</w:t>
            </w:r>
          </w:p>
        </w:tc>
        <w:tc>
          <w:tcPr>
            <w:tcW w:type="dxa" w:w="22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Unidades de Extensión INTA, cooperativas, Grupos CREA, agencias agrícolas provinciales, Comunidades Indígenas</w:t>
            </w:r>
          </w:p>
        </w:tc>
        <w:tc>
          <w:tcPr>
            <w:tcW w:type="dxa" w:w="32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Elaboración biológica escalada (500–2.000L) + optimización del agua integrada al riego existente + protocolo MRV</w:t>
            </w:r>
          </w:p>
        </w:tc>
        <w:tc>
          <w:tcPr>
            <w:tcW w:type="dxa" w:w="276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300 centros para el Año 3 en zonas prioritarias: Pampa Húmeda, Cuyo, NOA, NEA.</w:t>
            </w:r>
          </w:p>
        </w:tc>
      </w:tr>
      <w:tr>
        <w:tc>
          <w:tcPr>
            <w:tcW w:type="dxa" w:w="12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NIVEL 3
Comercializar</w:t>
            </w:r>
          </w:p>
        </w:tc>
        <w:tc>
          <w:tcPr>
            <w:tcW w:type="dxa" w:w="22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Campos a gran escala (pools de siembra), estancias, operaciones agroindustriales, bodegas, productores orientados a exportación</w:t>
            </w:r>
          </w:p>
        </w:tc>
        <w:tc>
          <w:tcPr>
            <w:tcW w:type="dxa" w:w="32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Sistemas a escala comercial (2.000–10.000L+ elaboración; tratamiento de agua de alto caudal) + monitoreo automatizado + infraestructura de créditos de carbono</w:t>
            </w:r>
          </w:p>
        </w:tc>
        <w:tc>
          <w:tcPr>
            <w:tcW w:type="dxa" w:w="276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1.000+ operaciones para el Año 5. Autofinanciado vía pagos por resultados + créditos de carbono + primas de exportación.</w:t>
            </w:r>
          </w:p>
        </w:tc>
      </w:tr>
      <w:tr>
        <w:tc>
          <w:tcPr>
            <w:tcW w:type="dxa" w:w="12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NIVEL 4
Democratizar</w:t>
            </w:r>
          </w:p>
        </w:tc>
        <w:tc>
          <w:tcPr>
            <w:tcW w:type="dxa" w:w="22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Agricultura familiar, huertas comunitarias, huertas urbanas, escuelas, Comunidades Indígenas, cooperativas</w:t>
            </w:r>
          </w:p>
        </w:tc>
        <w:tc>
          <w:tcPr>
            <w:tcW w:type="dxa" w:w="32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Elaboradores biológicos compactos (100–300L) + optimización del agua a pequeña escala + kits de sustratos orgánicos + monitoreo simplificado</w:t>
            </w:r>
          </w:p>
        </w:tc>
        <w:tc>
          <w:tcPr>
            <w:tcW w:type="dxa" w:w="276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5.000+ sitios distribuidos para el Año 5. Financiado vía programas sociales, apoyo a cooperativas, financiamiento internacional de desarrollo.</w:t>
            </w:r>
          </w:p>
        </w:tc>
      </w:tr>
    </w:tbl>
    <w:p>
      <w:r>
        <w:br w:type="page"/>
      </w:r>
    </w:p>
    <w:p>
      <w:pPr>
        <w:pStyle w:val="Heading1"/>
        <w:spacing w:before="400" w:after="180"/>
      </w:pPr>
      <w:r>
        <w:rPr>
          <w:rFonts w:ascii="Arial" w:cs="Arial" w:eastAsia="Arial" w:hAnsi="Arial"/>
          <w:b/>
          <w:bCs/>
          <w:color w:val="0D47A1"/>
          <w:sz w:val="34"/>
          <w:szCs w:val="34"/>
        </w:rPr>
        <w:t xml:space="preserve">5. ARQUITECTURA DE FINANCIAMIENTO: DE DÓNDE SALE EL DINERO</w:t>
      </w:r>
    </w:p>
    <w:p>
      <w:pPr>
        <w:pStyle w:val="Heading2"/>
        <w:spacing w:before="300" w:after="120"/>
      </w:pPr>
      <w:r>
        <w:rPr>
          <w:rFonts w:ascii="Arial" w:cs="Arial" w:eastAsia="Arial" w:hAnsi="Arial"/>
          <w:b/>
          <w:bCs/>
          <w:color w:val="2E7D32"/>
          <w:sz w:val="28"/>
          <w:szCs w:val="28"/>
        </w:rPr>
        <w:t xml:space="preserve">5.1 Fuentes de Financiamiento Nacionales</w:t>
      </w:r>
    </w:p>
    <w:p>
      <w:pPr>
        <w:spacing w:after="160" w:before="0"/>
        <w:jc w:val="both"/>
      </w:pPr>
      <w:r>
        <w:rPr>
          <w:rFonts w:ascii="Arial" w:cs="Arial" w:eastAsia="Arial" w:hAnsi="Arial"/>
          <w:b w:val="false"/>
          <w:bCs w:val="false"/>
          <w:i w:val="false"/>
          <w:iCs w:val="false"/>
          <w:color w:val="212121"/>
          <w:sz w:val="22"/>
          <w:szCs w:val="22"/>
        </w:rPr>
        <w:t xml:space="preserve">PLANISV está diseñado para apalancar mecanismos de financiamiento existentes y fácilmente activables. No se requiere nueva legislación tributaria para iniciar la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DBDBD" w:sz="1"/>
              <w:left w:val="single" w:color="BDBDBD" w:sz="1"/>
              <w:bottom w:val="single" w:color="BDBDBD" w:sz="1"/>
              <w:right w:val="single" w:color="BDBDBD" w:sz="1"/>
            </w:tcBorders>
            <w:shd w:fill="0069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Fuente de Financiamiento</w:t>
            </w:r>
          </w:p>
        </w:tc>
        <w:tc>
          <w:tcPr>
            <w:tcW w:type="dxa" w:w="3510"/>
            <w:tcBorders>
              <w:top w:val="single" w:color="BDBDBD" w:sz="1"/>
              <w:left w:val="single" w:color="BDBDBD" w:sz="1"/>
              <w:bottom w:val="single" w:color="BDBDBD" w:sz="1"/>
              <w:right w:val="single" w:color="BDBDBD" w:sz="1"/>
            </w:tcBorders>
            <w:shd w:fill="00695C" w:val="clear"/>
            <w:tcMar>
              <w:top w:type="dxa" w:w="100"/>
              <w:left w:type="dxa" w:w="140"/>
              <w:bottom w:type="dxa" w:w="100"/>
              <w:right w:type="dxa" w:w="140"/>
            </w:tcMar>
            <w:vAlign w:val="center"/>
          </w:tcPr>
          <w:p>
            <w:r>
              <w:rPr>
                <w:rFonts w:ascii="Arial" w:cs="Arial" w:eastAsia="Arial" w:hAnsi="Arial"/>
                <w:b/>
                <w:bCs/>
                <w:color w:val="FFFFFF"/>
                <w:sz w:val="20"/>
                <w:szCs w:val="20"/>
              </w:rPr>
              <w:t xml:space="preserve">Aplicación a PLANISV</w:t>
            </w:r>
          </w:p>
        </w:tc>
        <w:tc>
          <w:tcPr>
            <w:tcW w:type="dxa" w:w="3510"/>
            <w:tcBorders>
              <w:top w:val="single" w:color="BDBDBD" w:sz="1"/>
              <w:left w:val="single" w:color="BDBDBD" w:sz="1"/>
              <w:bottom w:val="single" w:color="BDBDBD" w:sz="1"/>
              <w:right w:val="single" w:color="BDBDBD" w:sz="1"/>
            </w:tcBorders>
            <w:shd w:fill="0069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Potencial Estimado</w:t>
            </w:r>
          </w:p>
        </w:tc>
      </w:tr>
      <w:tr>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Reestructuración de retenciones</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Redirigir una fracción de los derechos de exportación agropecuarios del ingreso general a inversión en infraestructura de suelo. Una afectación del 1% sobre las retenciones de soja sola generaría USD 300–500 millones/año a volúmenes actuales de exportación. El argumento: el derecho de exportación debe mantener el activo que genera las exportaciones.</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300–500M+ anuales (con afectación del 1%)</w:t>
            </w:r>
          </w:p>
        </w:tc>
      </w:tr>
      <w:tr>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Fondo Nacional de Suelo Vivo (nuevo fondo)</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Fondo dedicado para PLANISV, capitalizado mediante afectación de retenciones, financiamiento climático internacional e ingresos por carbono. Administrado por un directorio tripartito (SAGyP, INTA, representantes de productores).</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Objetivo: USD 500M–1.000M+ para el Año 3</w:t>
            </w:r>
          </w:p>
        </w:tc>
      </w:tr>
      <w:tr>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Líneas de crédito Banco Nación</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Líneas de crédito subsidiadas para adquisición de tecnología Nivel 2–3. Garantizadas por el equipamiento y los pagos por resultados proyectados.</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Infraestructura existente; expansión de líneas crediticias</w:t>
            </w:r>
          </w:p>
        </w:tc>
      </w:tr>
      <w:tr>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Programas agropecuarios provinciales</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Los Ministerios provinciales de Producción cofinancian despliegues Nivel 1–2 en sus jurisdicciones. Modelo de cofinanciamiento: 60% nacional, 40% provincial.</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Variable por provincia; fondos contrapartida</w:t>
            </w:r>
          </w:p>
        </w:tc>
      </w:tr>
      <w:tr>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Reasignación presupuestaria de INTA</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Designar PLANISV como programa estratégico prioritario dentro del presupuesto existente de INTA. Apalancar 52 Estaciones Experimentales y 350+ Unidades de Extensión como columna vertebral de despliegue.</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Reasignación institucional; sin nueva apropiación requerida para Fase 1</w:t>
            </w:r>
          </w:p>
        </w:tc>
      </w:tr>
    </w:tbl>
    <w:p>
      <w:pPr>
        <w:spacing w:after="80"/>
      </w:pPr>
    </w:p>
    <w:p>
      <w:pPr>
        <w:pStyle w:val="Heading2"/>
        <w:spacing w:before="300" w:after="120"/>
      </w:pPr>
      <w:r>
        <w:rPr>
          <w:rFonts w:ascii="Arial" w:cs="Arial" w:eastAsia="Arial" w:hAnsi="Arial"/>
          <w:b/>
          <w:bCs/>
          <w:color w:val="2E7D32"/>
          <w:sz w:val="28"/>
          <w:szCs w:val="28"/>
        </w:rPr>
        <w:t xml:space="preserve">5.2 Fuentes de Financiamiento Internacional</w:t>
      </w:r>
    </w:p>
    <w:p>
      <w:pPr>
        <w:spacing w:after="160" w:before="0"/>
        <w:jc w:val="both"/>
      </w:pPr>
      <w:r>
        <w:rPr>
          <w:rFonts w:ascii="Arial" w:cs="Arial" w:eastAsia="Arial" w:hAnsi="Arial"/>
          <w:b w:val="false"/>
          <w:bCs w:val="false"/>
          <w:i w:val="false"/>
          <w:iCs w:val="false"/>
          <w:color w:val="212121"/>
          <w:sz w:val="22"/>
          <w:szCs w:val="22"/>
        </w:rPr>
        <w:t xml:space="preserve">La posición de la Argentina como nación agrícola principal y signataria del Acuerdo de París desbloquea financiamiento climático y de desarrollo internacional significativo: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DBDBD" w:sz="1"/>
              <w:left w:val="single" w:color="BDBDBD" w:sz="1"/>
              <w:bottom w:val="single" w:color="BDBDBD" w:sz="1"/>
              <w:right w:val="single" w:color="BDBDBD" w:sz="1"/>
            </w:tcBorders>
            <w:shd w:fill="0D47A1" w:val="clear"/>
            <w:tcMar>
              <w:top w:type="dxa" w:w="100"/>
              <w:left w:type="dxa" w:w="140"/>
              <w:bottom w:type="dxa" w:w="100"/>
              <w:right w:type="dxa" w:w="140"/>
            </w:tcMar>
            <w:vAlign w:val="center"/>
          </w:tcPr>
          <w:p>
            <w:r>
              <w:rPr>
                <w:rFonts w:ascii="Arial" w:cs="Arial" w:eastAsia="Arial" w:hAnsi="Arial"/>
                <w:b/>
                <w:bCs/>
                <w:color w:val="FFFFFF"/>
                <w:sz w:val="20"/>
                <w:szCs w:val="20"/>
              </w:rPr>
              <w:t xml:space="preserve">Fuente</w:t>
            </w:r>
          </w:p>
        </w:tc>
        <w:tc>
          <w:tcPr>
            <w:tcW w:type="dxa" w:w="3510"/>
            <w:tcBorders>
              <w:top w:val="single" w:color="BDBDBD" w:sz="1"/>
              <w:left w:val="single" w:color="BDBDBD" w:sz="1"/>
              <w:bottom w:val="single" w:color="BDBDBD" w:sz="1"/>
              <w:right w:val="single" w:color="BDBDBD" w:sz="1"/>
            </w:tcBorders>
            <w:shd w:fill="0D47A1" w:val="clear"/>
            <w:tcMar>
              <w:top w:type="dxa" w:w="100"/>
              <w:left w:type="dxa" w:w="140"/>
              <w:bottom w:type="dxa" w:w="100"/>
              <w:right w:type="dxa" w:w="140"/>
            </w:tcMar>
            <w:vAlign w:val="center"/>
          </w:tcPr>
          <w:p>
            <w:r>
              <w:rPr>
                <w:rFonts w:ascii="Arial" w:cs="Arial" w:eastAsia="Arial" w:hAnsi="Arial"/>
                <w:b/>
                <w:bCs/>
                <w:color w:val="FFFFFF"/>
                <w:sz w:val="20"/>
                <w:szCs w:val="20"/>
              </w:rPr>
              <w:t xml:space="preserve">Mecanismo</w:t>
            </w:r>
          </w:p>
        </w:tc>
        <w:tc>
          <w:tcPr>
            <w:tcW w:type="dxa" w:w="3510"/>
            <w:tcBorders>
              <w:top w:val="single" w:color="BDBDBD" w:sz="1"/>
              <w:left w:val="single" w:color="BDBDBD" w:sz="1"/>
              <w:bottom w:val="single" w:color="BDBDBD" w:sz="1"/>
              <w:right w:val="single" w:color="BDBDBD" w:sz="1"/>
            </w:tcBorders>
            <w:shd w:fill="0D47A1" w:val="clear"/>
            <w:tcMar>
              <w:top w:type="dxa" w:w="100"/>
              <w:left w:type="dxa" w:w="140"/>
              <w:bottom w:type="dxa" w:w="100"/>
              <w:right w:type="dxa" w:w="140"/>
            </w:tcMar>
            <w:vAlign w:val="center"/>
          </w:tcPr>
          <w:p>
            <w:r>
              <w:rPr>
                <w:rFonts w:ascii="Arial" w:cs="Arial" w:eastAsia="Arial" w:hAnsi="Arial"/>
                <w:b/>
                <w:bCs/>
                <w:color w:val="FFFFFF"/>
                <w:sz w:val="20"/>
                <w:szCs w:val="20"/>
              </w:rPr>
              <w:t xml:space="preserve">Potencial Estimado para PLANISV</w:t>
            </w:r>
          </w:p>
        </w:tc>
      </w:tr>
      <w:tr>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Fondo Verde para el Clima (GCF)</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Proyectos de secuestro de carbono en suelo en países en desarrollo. Argentina es elegible. El protocolo MRV de PLANISV cumple estándares GCF.</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50–200M en financiamiento de proyectos en 5 años</w:t>
            </w:r>
          </w:p>
        </w:tc>
      </w:tr>
      <w:tr>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Banco Mundial / BID</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Reestructurar préstamos existentes de desarrollo agrícola para incluir inversión en infraestructura de suelo. El BID tiene programas activos de productividad agrícola en Argentina.</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100–500M en préstamos concesionales</w:t>
            </w:r>
          </w:p>
        </w:tc>
      </w:tr>
      <w:tr>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Financiamiento de cumplimiento EUDR</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Los importadores europeos deben verificar sostenibilidad de cadenas de suministro. PLANISV provee la infraestructura de verificación que necesitan. Cofinanciamiento de programas de facilitación comercial UE.</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20–50M en apoyo de cumplimiento comercial</w:t>
            </w:r>
          </w:p>
        </w:tc>
      </w:tr>
      <w:tr>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Mercados internacionales de carbono</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Créditos de carbono del suelo verificados vendidos a compradores internacionales. El marco regulatorio argentino emergente de mercado de carbono lo habilita.</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100M–1.000M+ anuales a escala (ver Sección 7)</w:t>
            </w:r>
          </w:p>
        </w:tc>
      </w:tr>
      <w:tr>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FAO / CNULD / cooperación bilateral</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Programas contra la desertificación, degradación de tierras y sequía (DLDD). PLANISV aborda directamente los compromisos de Argentina ante la CNULD.</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20–50M en asistencia técnica y donaciones</w:t>
            </w:r>
          </w:p>
        </w:tc>
      </w:tr>
      <w:tr>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Inversión privada ESG / de impacto</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La infraestructura de salud del suelo califica para inversión alineada con ESG. Estructuras de financiamiento combinado con garantías públicas y capital privado.</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50–200M en coinversión privada a escala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8"/>
              <w:left w:val="single" w:color="FFF8E1" w:sz="2"/>
              <w:bottom w:val="single" w:color="FFF8E1" w:sz="2"/>
              <w:right w:val="single" w:color="FFF8E1" w:sz="2"/>
            </w:tcBorders>
            <w:shd w:fill="FFF8E1" w:val="clear"/>
            <w:tcMar>
              <w:top w:type="dxa" w:w="140"/>
              <w:left w:type="dxa" w:w="220"/>
              <w:bottom w:type="dxa" w:w="140"/>
              <w:right w:type="dxa" w:w="220"/>
            </w:tcMar>
          </w:tcPr>
          <w:p>
            <w:pPr>
              <w:spacing w:after="80"/>
            </w:pPr>
            <w:r>
              <w:rPr>
                <w:rFonts w:ascii="Arial" w:cs="Arial" w:eastAsia="Arial" w:hAnsi="Arial"/>
                <w:b/>
                <w:bCs/>
                <w:color w:val="F57F17"/>
                <w:sz w:val="23"/>
                <w:szCs w:val="23"/>
              </w:rPr>
              <w:t xml:space="preserve">La Asimetría de Ingresos</w:t>
            </w:r>
          </w:p>
          <w:p>
            <w:pPr>
              <w:jc w:val="both"/>
            </w:pPr>
            <w:r>
              <w:rPr>
                <w:rFonts w:ascii="Arial" w:cs="Arial" w:eastAsia="Arial" w:hAnsi="Arial"/>
                <w:color w:val="212121"/>
                <w:sz w:val="21"/>
                <w:szCs w:val="21"/>
              </w:rPr>
              <w:t xml:space="preserve">La Argentina genera USD 40.000–50.000 millones anuales en exportaciones agropecuarias a partir de un suelo que recibe efectivamente cero inversión en infraestructura. Una asignación del 2% de los ingresos por exportaciones agropecuarias a la restauración del suelo generaría USD 800M–1.000M anuales — más que suficiente para financiar PLANISV a plena escala. La cuestión no es la asequibilidad. La cuestión es la prioridad de asignación.</w:t>
            </w:r>
          </w:p>
        </w:tc>
      </w:tr>
    </w:tbl>
    <w:p>
      <w:r>
        <w:br w:type="page"/>
      </w:r>
    </w:p>
    <w:p>
      <w:pPr>
        <w:pStyle w:val="Heading1"/>
        <w:spacing w:before="400" w:after="180"/>
      </w:pPr>
      <w:r>
        <w:rPr>
          <w:rFonts w:ascii="Arial" w:cs="Arial" w:eastAsia="Arial" w:hAnsi="Arial"/>
          <w:b/>
          <w:bCs/>
          <w:color w:val="0D47A1"/>
          <w:sz w:val="34"/>
          <w:szCs w:val="34"/>
        </w:rPr>
        <w:t xml:space="preserve">6. PAGOS POR RESULTADOS: PAGAR POR IMPACTO, NO POR RITUALES</w:t>
      </w:r>
    </w:p>
    <w:p>
      <w:pPr>
        <w:pStyle w:val="Heading2"/>
        <w:spacing w:before="300" w:after="120"/>
      </w:pPr>
      <w:r>
        <w:rPr>
          <w:rFonts w:ascii="Arial" w:cs="Arial" w:eastAsia="Arial" w:hAnsi="Arial"/>
          <w:b/>
          <w:bCs/>
          <w:color w:val="2E7D32"/>
          <w:sz w:val="28"/>
          <w:szCs w:val="28"/>
        </w:rPr>
        <w:t xml:space="preserve">6.1 Por Qué Fracasan los Subsidios Basados en Prácticas</w:t>
      </w:r>
    </w:p>
    <w:p>
      <w:pPr>
        <w:spacing w:after="160" w:before="0"/>
        <w:jc w:val="both"/>
      </w:pPr>
      <w:r>
        <w:rPr>
          <w:rFonts w:ascii="Arial" w:cs="Arial" w:eastAsia="Arial" w:hAnsi="Arial"/>
          <w:b w:val="false"/>
          <w:bCs w:val="false"/>
          <w:i w:val="false"/>
          <w:iCs w:val="false"/>
          <w:color w:val="212121"/>
          <w:sz w:val="22"/>
          <w:szCs w:val="22"/>
        </w:rPr>
        <w:t xml:space="preserve">Los subsidios agropecuarios tradicionales pagan por actividades: comprar semillas, aplicar insumos, adoptar prácticas. No verifican resultados. Un productor recibe el mismo pago tanto si su cultivo de cobertura reconstruyó la biología del suelo como si se pudrió bajo la aplicación de herbicida. Esto crea riesgo moral y desperdicia fondos públicos.</w:t>
      </w:r>
    </w:p>
    <w:p>
      <w:pPr>
        <w:spacing w:after="160" w:before="0"/>
        <w:jc w:val="both"/>
      </w:pPr>
      <w:r>
        <w:rPr>
          <w:rFonts w:ascii="Arial" w:cs="Arial" w:eastAsia="Arial" w:hAnsi="Arial"/>
          <w:b w:val="false"/>
          <w:bCs w:val="false"/>
          <w:i w:val="false"/>
          <w:iCs w:val="false"/>
          <w:color w:val="212121"/>
          <w:sz w:val="22"/>
          <w:szCs w:val="22"/>
        </w:rPr>
        <w:t xml:space="preserve">PLANISV introduce Pagos por Resultados (PPR): los productores obtienen pagos basados en mejoras verificadas y medidas en indicadores de salud del suelo. El stack tecnológico provee tanto los medios para lograr resultados como la instrumentación para verificarlos.</w:t>
      </w:r>
    </w:p>
    <w:p>
      <w:pPr>
        <w:pStyle w:val="Heading2"/>
        <w:spacing w:before="300" w:after="120"/>
      </w:pPr>
      <w:r>
        <w:rPr>
          <w:rFonts w:ascii="Arial" w:cs="Arial" w:eastAsia="Arial" w:hAnsi="Arial"/>
          <w:b/>
          <w:bCs/>
          <w:color w:val="2E7D32"/>
          <w:sz w:val="28"/>
          <w:szCs w:val="28"/>
        </w:rPr>
        <w:t xml:space="preserve">6.2 Estructura de Pagos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BDBDBD" w:sz="1"/>
              <w:left w:val="single" w:color="BDBDBD" w:sz="1"/>
              <w:bottom w:val="single" w:color="BDBDBD" w:sz="1"/>
              <w:right w:val="single" w:color="BDBDBD" w:sz="1"/>
            </w:tcBorders>
            <w:shd w:fill="2E7D32" w:val="clear"/>
            <w:tcMar>
              <w:top w:type="dxa" w:w="100"/>
              <w:left w:type="dxa" w:w="140"/>
              <w:bottom w:type="dxa" w:w="100"/>
              <w:right w:type="dxa" w:w="140"/>
            </w:tcMar>
            <w:vAlign w:val="center"/>
          </w:tcPr>
          <w:p>
            <w:r>
              <w:rPr>
                <w:rFonts w:ascii="Arial" w:cs="Arial" w:eastAsia="Arial" w:hAnsi="Arial"/>
                <w:b/>
                <w:bCs/>
                <w:color w:val="FFFFFF"/>
                <w:sz w:val="20"/>
                <w:szCs w:val="20"/>
              </w:rPr>
              <w:t xml:space="preserve">Nivel de Pago</w:t>
            </w:r>
          </w:p>
        </w:tc>
        <w:tc>
          <w:tcPr>
            <w:tcW w:type="dxa" w:w="2520"/>
            <w:tcBorders>
              <w:top w:val="single" w:color="BDBDBD" w:sz="1"/>
              <w:left w:val="single" w:color="BDBDBD" w:sz="1"/>
              <w:bottom w:val="single" w:color="BDBDBD" w:sz="1"/>
              <w:right w:val="single" w:color="BDBDBD" w:sz="1"/>
            </w:tcBorders>
            <w:shd w:fill="2E7D32"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Resultado Requerido</w:t>
            </w:r>
          </w:p>
        </w:tc>
        <w:tc>
          <w:tcPr>
            <w:tcW w:type="dxa" w:w="2520"/>
            <w:tcBorders>
              <w:top w:val="single" w:color="BDBDBD" w:sz="1"/>
              <w:left w:val="single" w:color="BDBDBD" w:sz="1"/>
              <w:bottom w:val="single" w:color="BDBDBD" w:sz="1"/>
              <w:right w:val="single" w:color="BDBDBD" w:sz="1"/>
            </w:tcBorders>
            <w:shd w:fill="2E7D32" w:val="clear"/>
            <w:tcMar>
              <w:top w:type="dxa" w:w="100"/>
              <w:left w:type="dxa" w:w="140"/>
              <w:bottom w:type="dxa" w:w="100"/>
              <w:right w:type="dxa" w:w="140"/>
            </w:tcMar>
            <w:vAlign w:val="center"/>
          </w:tcPr>
          <w:p>
            <w:r>
              <w:rPr>
                <w:rFonts w:ascii="Arial" w:cs="Arial" w:eastAsia="Arial" w:hAnsi="Arial"/>
                <w:b/>
                <w:bCs/>
                <w:color w:val="FFFFFF"/>
                <w:sz w:val="20"/>
                <w:szCs w:val="20"/>
              </w:rPr>
              <w:t xml:space="preserve">Método de Verificación</w:t>
            </w:r>
          </w:p>
        </w:tc>
        <w:tc>
          <w:tcPr>
            <w:tcW w:type="dxa" w:w="2520"/>
            <w:tcBorders>
              <w:top w:val="single" w:color="BDBDBD" w:sz="1"/>
              <w:left w:val="single" w:color="BDBDBD" w:sz="1"/>
              <w:bottom w:val="single" w:color="BDBDBD" w:sz="1"/>
              <w:right w:val="single" w:color="BDBDBD" w:sz="1"/>
            </w:tcBorders>
            <w:shd w:fill="2E7D32" w:val="clear"/>
            <w:tcMar>
              <w:top w:type="dxa" w:w="100"/>
              <w:left w:type="dxa" w:w="140"/>
              <w:bottom w:type="dxa" w:w="100"/>
              <w:right w:type="dxa" w:w="140"/>
            </w:tcMar>
            <w:vAlign w:val="center"/>
          </w:tcPr>
          <w:p>
            <w:r>
              <w:rPr>
                <w:rFonts w:ascii="Arial" w:cs="Arial" w:eastAsia="Arial" w:hAnsi="Arial"/>
                <w:b/>
                <w:bCs/>
                <w:color w:val="FFFFFF"/>
                <w:sz w:val="20"/>
                <w:szCs w:val="20"/>
              </w:rPr>
              <w:t xml:space="preserve">Pago Indicativo</w:t>
            </w:r>
          </w:p>
        </w:tc>
      </w:tr>
      <w:tr>
        <w:tc>
          <w:tcPr>
            <w:tcW w:type="dxa" w:w="18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Pago Base</w:t>
            </w:r>
          </w:p>
        </w:tc>
        <w:tc>
          <w:tcPr>
            <w:tcW w:type="dxa" w:w="25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Tecnología instalada y operativa; datos de línea base enviados al Censo Nacional de Suelo</w:t>
            </w:r>
          </w:p>
        </w:tc>
        <w:tc>
          <w:tcPr>
            <w:tcW w:type="dxa" w:w="25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Verificación de instalación; primera carga de datos MRV al Tablero</w:t>
            </w:r>
          </w:p>
        </w:tc>
        <w:tc>
          <w:tcPr>
            <w:tcW w:type="dxa" w:w="25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10–25/hectárea/año</w:t>
            </w:r>
          </w:p>
        </w:tc>
      </w:tr>
      <w:tr>
        <w:tc>
          <w:tcPr>
            <w:tcW w:type="dxa" w:w="18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Pago de Rendimiento</w:t>
            </w:r>
          </w:p>
        </w:tc>
        <w:tc>
          <w:tcPr>
            <w:tcW w:type="dxa" w:w="252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+0,5% de aumento de MOS Y +100% de aumento de biomasa microbiana sobre línea base dentro de 24 meses</w:t>
            </w:r>
          </w:p>
        </w:tc>
        <w:tc>
          <w:tcPr>
            <w:tcW w:type="dxa" w:w="252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Testeo anual de suelo (0–30 cm de profundidad); evaluación de biología microscópica (400x+)</w:t>
            </w:r>
          </w:p>
        </w:tc>
        <w:tc>
          <w:tcPr>
            <w:tcW w:type="dxa" w:w="252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25–50/ha/año adicionales</w:t>
            </w:r>
          </w:p>
        </w:tc>
      </w:tr>
      <w:tr>
        <w:tc>
          <w:tcPr>
            <w:tcW w:type="dxa" w:w="18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Pago de Impacto</w:t>
            </w:r>
          </w:p>
        </w:tc>
        <w:tc>
          <w:tcPr>
            <w:tcW w:type="dxa" w:w="25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+1% de aumento de MOS Y secuestro de carbono verificado (1+ t CO₂e/ha/año) Y −25% de reducción de insumos químicos</w:t>
            </w:r>
          </w:p>
        </w:tc>
        <w:tc>
          <w:tcPr>
            <w:tcW w:type="dxa" w:w="25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Protocolo MRV completo: testeo de carbono del suelo, auditoría de insumos, monitoreo de OD, verificación por terceros</w:t>
            </w:r>
          </w:p>
        </w:tc>
        <w:tc>
          <w:tcPr>
            <w:tcW w:type="dxa" w:w="25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50–100/ha/año adicionales</w:t>
            </w:r>
          </w:p>
        </w:tc>
      </w:tr>
      <w:tr>
        <w:tc>
          <w:tcPr>
            <w:tcW w:type="dxa" w:w="18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Bono de Carbono</w:t>
            </w:r>
          </w:p>
        </w:tc>
        <w:tc>
          <w:tcPr>
            <w:tcW w:type="dxa" w:w="252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Créditos de carbono verificados registrados en registro aprobado</w:t>
            </w:r>
          </w:p>
        </w:tc>
        <w:tc>
          <w:tcPr>
            <w:tcW w:type="dxa" w:w="252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Verificación certificada por registro según protocolos internacionales</w:t>
            </w:r>
          </w:p>
        </w:tc>
        <w:tc>
          <w:tcPr>
            <w:tcW w:type="dxa" w:w="252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Precio de mercado (USD 20–50/t CO₂e) pagado al productor</w:t>
            </w:r>
          </w:p>
        </w:tc>
      </w:tr>
      <w:tr>
        <w:tc>
          <w:tcPr>
            <w:tcW w:type="dxa" w:w="18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Prima de Exportación</w:t>
            </w:r>
          </w:p>
        </w:tc>
        <w:tc>
          <w:tcPr>
            <w:tcW w:type="dxa" w:w="25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Producción cumple cumplimiento EUDR y/o estándares de certificación regenerativa</w:t>
            </w:r>
          </w:p>
        </w:tc>
        <w:tc>
          <w:tcPr>
            <w:tcW w:type="dxa" w:w="25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Auditoría de certificación; documentación de trazabilidad; exportación de datos del Tablero</w:t>
            </w:r>
          </w:p>
        </w:tc>
        <w:tc>
          <w:tcPr>
            <w:tcW w:type="dxa" w:w="25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Prima de exportación del 5–15% sobre producción calificada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8"/>
              <w:left w:val="single" w:color="E0F2F1" w:sz="2"/>
              <w:bottom w:val="single" w:color="E0F2F1" w:sz="2"/>
              <w:right w:val="single" w:color="E0F2F1" w:sz="2"/>
            </w:tcBorders>
            <w:shd w:fill="E0F2F1" w:val="clear"/>
            <w:tcMar>
              <w:top w:type="dxa" w:w="140"/>
              <w:left w:type="dxa" w:w="220"/>
              <w:bottom w:type="dxa" w:w="140"/>
              <w:right w:type="dxa" w:w="220"/>
            </w:tcMar>
          </w:tcPr>
          <w:p>
            <w:pPr>
              <w:spacing w:after="80"/>
            </w:pPr>
            <w:r>
              <w:rPr>
                <w:rFonts w:ascii="Arial" w:cs="Arial" w:eastAsia="Arial" w:hAnsi="Arial"/>
                <w:b/>
                <w:bCs/>
                <w:color w:val="00695C"/>
                <w:sz w:val="23"/>
                <w:szCs w:val="23"/>
              </w:rPr>
              <w:t xml:space="preserve">Ejemplo: Operación de 1.000 Hectáreas en Pampa Húmeda (Rotación Soja-Maíz-Trigo)</w:t>
            </w:r>
          </w:p>
          <w:p>
            <w:pPr>
              <w:jc w:val="both"/>
            </w:pPr>
            <w:r>
              <w:rPr>
                <w:rFonts w:ascii="Arial" w:cs="Arial" w:eastAsia="Arial" w:hAnsi="Arial"/>
                <w:color w:val="212121"/>
                <w:sz w:val="21"/>
                <w:szCs w:val="21"/>
              </w:rPr>
              <w:t xml:space="preserve">Año 1: Pago Base = USD 10.000–25.000. Año 2–3: Pago de Rendimiento = USD 25.000–50.000/año adicionales. Año 3+: Pago de Impacto = USD 50.000–100.000/año adicionales. Bono de Carbono: 1.000 ha × 1,0 t CO₂e/ha × USD 35/t = USD 35.000/año. Prima de Exportación: prima de soja regenerativa sobre 500 t = USD 15.000–30.000/año. Potencial total Año 3+ de aumento de ingresos anuales: USD 135.000–240.000 — más reducción de costos de insumos de USD 20.000–40.000/año por reducción química, más mejoras de rendimiento del 20–40%. Transformación económica neta: de la cinta sin fin de commodities a flujos de ingresos diversificados y premium.</w:t>
            </w:r>
          </w:p>
        </w:tc>
      </w:tr>
    </w:tbl>
    <w:p>
      <w:pPr>
        <w:spacing w:after="80"/>
      </w:pPr>
    </w:p>
    <w:p>
      <w:pPr>
        <w:pStyle w:val="Heading2"/>
        <w:spacing w:before="300" w:after="120"/>
      </w:pPr>
      <w:r>
        <w:rPr>
          <w:rFonts w:ascii="Arial" w:cs="Arial" w:eastAsia="Arial" w:hAnsi="Arial"/>
          <w:b/>
          <w:bCs/>
          <w:color w:val="2E7D32"/>
          <w:sz w:val="28"/>
          <w:szCs w:val="28"/>
        </w:rPr>
        <w:t xml:space="preserve">6.3 El Motor de Prima de Exportación</w:t>
      </w:r>
    </w:p>
    <w:p>
      <w:pPr>
        <w:spacing w:after="160" w:before="0"/>
        <w:jc w:val="both"/>
      </w:pPr>
      <w:r>
        <w:rPr>
          <w:rFonts w:ascii="Arial" w:cs="Arial" w:eastAsia="Arial" w:hAnsi="Arial"/>
          <w:b w:val="false"/>
          <w:bCs w:val="false"/>
          <w:i w:val="false"/>
          <w:iCs w:val="false"/>
          <w:color w:val="212121"/>
          <w:sz w:val="22"/>
          <w:szCs w:val="22"/>
        </w:rPr>
        <w:t xml:space="preserve">Esta es una palanca únicamente poderosa para la Argentina que no existe en la misma forma para ningún otro gran exportador agrícola:</w:t>
      </w:r>
    </w:p>
    <w:p>
      <w:pPr>
        <w:pStyle w:val="ListParagraph"/>
        <w:numPr>
          <w:ilvl w:val="0"/>
          <w:numId w:val="6"/>
        </w:numPr>
        <w:spacing w:after="80"/>
        <w:jc w:val="both"/>
      </w:pPr>
      <w:r>
        <w:rPr>
          <w:rFonts w:ascii="Arial" w:cs="Arial" w:eastAsia="Arial" w:hAnsi="Arial"/>
          <w:color w:val="212121"/>
          <w:sz w:val="22"/>
          <w:szCs w:val="22"/>
        </w:rPr>
        <w:t xml:space="preserve">La Estrategia Farm-to-Fork y el Reglamento de Deforestación de la UE están creando un mercado de dos niveles: la producción verificada como sostenible obtiene precios premium y acceso garantizado; la producción no verificada enfrenta barreras y descuentos.</w:t>
      </w:r>
    </w:p>
    <w:p>
      <w:pPr>
        <w:pStyle w:val="ListParagraph"/>
        <w:numPr>
          <w:ilvl w:val="0"/>
          <w:numId w:val="6"/>
        </w:numPr>
        <w:spacing w:after="80"/>
        <w:jc w:val="both"/>
      </w:pPr>
      <w:r>
        <w:rPr>
          <w:rFonts w:ascii="Arial" w:cs="Arial" w:eastAsia="Arial" w:hAnsi="Arial"/>
          <w:color w:val="212121"/>
          <w:sz w:val="22"/>
          <w:szCs w:val="22"/>
        </w:rPr>
        <w:t xml:space="preserve">China, Japón, Corea del Sur y los importadores de Medio Oriente solicitan cada vez más documentación de sostenibilidad.</w:t>
      </w:r>
    </w:p>
    <w:p>
      <w:pPr>
        <w:pStyle w:val="ListParagraph"/>
        <w:numPr>
          <w:ilvl w:val="0"/>
          <w:numId w:val="6"/>
        </w:numPr>
        <w:spacing w:after="80"/>
        <w:jc w:val="both"/>
      </w:pPr>
      <w:r>
        <w:rPr>
          <w:rFonts w:ascii="Arial" w:cs="Arial" w:eastAsia="Arial" w:hAnsi="Arial"/>
          <w:color w:val="212121"/>
          <w:sz w:val="22"/>
          <w:szCs w:val="22"/>
        </w:rPr>
        <w:t xml:space="preserve">El Tablero y el protocolo MRV de PLANISV proveen exactamente la infraestructura de datos requerida para certificación de exportación — a nivel de lote, en tiempo real, verificada por el Estado.</w:t>
      </w:r>
    </w:p>
    <w:p>
      <w:pPr>
        <w:pStyle w:val="ListParagraph"/>
        <w:numPr>
          <w:ilvl w:val="0"/>
          <w:numId w:val="6"/>
        </w:numPr>
        <w:spacing w:after="80"/>
        <w:jc w:val="both"/>
      </w:pPr>
      <w:r>
        <w:rPr>
          <w:rFonts w:ascii="Arial" w:cs="Arial" w:eastAsia="Arial" w:hAnsi="Arial"/>
          <w:color w:val="212121"/>
          <w:sz w:val="22"/>
          <w:szCs w:val="22"/>
        </w:rPr>
        <w:t xml:space="preserve">La Argentina puede ser el primer gran exportador agrícola en ofrecer datos de salud del suelo verificados por el gobierno a nivel de embarque. Esto posiciona los commodities argentinos como productos premium en un mercado que migra rápidamente hacia la verificación de sostenibilidad.</w:t>
      </w:r>
    </w:p>
    <w:p>
      <w:pPr>
        <w:pStyle w:val="ListParagraph"/>
        <w:numPr>
          <w:ilvl w:val="0"/>
          <w:numId w:val="6"/>
        </w:numPr>
        <w:spacing w:after="80"/>
        <w:jc w:val="both"/>
      </w:pPr>
      <w:r>
        <w:rPr>
          <w:rFonts w:ascii="Arial" w:cs="Arial" w:eastAsia="Arial" w:hAnsi="Arial"/>
          <w:color w:val="212121"/>
          <w:sz w:val="22"/>
          <w:szCs w:val="22"/>
        </w:rPr>
        <w:t xml:space="preserve">Potencial estimado de prima de exportación: USD 2.000–5.000 millones anuales si el 30–50% de la producción alcanza estatus regenerativo verificado.</w:t>
      </w:r>
    </w:p>
    <w:p>
      <w:r>
        <w:br w:type="page"/>
      </w:r>
    </w:p>
    <w:p>
      <w:pPr>
        <w:pStyle w:val="Heading1"/>
        <w:spacing w:before="400" w:after="180"/>
      </w:pPr>
      <w:r>
        <w:rPr>
          <w:rFonts w:ascii="Arial" w:cs="Arial" w:eastAsia="Arial" w:hAnsi="Arial"/>
          <w:b/>
          <w:bCs/>
          <w:color w:val="0D47A1"/>
          <w:sz w:val="34"/>
          <w:szCs w:val="34"/>
        </w:rPr>
        <w:t xml:space="preserve">7. SECUESTRO DE CARBONO: LA PAMPA COMO BÓVEDA DE CARBONO</w:t>
      </w:r>
    </w:p>
    <w:p>
      <w:pPr>
        <w:pStyle w:val="Heading2"/>
        <w:spacing w:before="300" w:after="120"/>
      </w:pPr>
      <w:r>
        <w:rPr>
          <w:rFonts w:ascii="Arial" w:cs="Arial" w:eastAsia="Arial" w:hAnsi="Arial"/>
          <w:b/>
          <w:bCs/>
          <w:color w:val="2E7D32"/>
          <w:sz w:val="28"/>
          <w:szCs w:val="28"/>
        </w:rPr>
        <w:t xml:space="preserve">7.1 La Oportunidad Única de Argentina</w:t>
      </w:r>
    </w:p>
    <w:p>
      <w:pPr>
        <w:spacing w:after="160" w:before="0"/>
        <w:jc w:val="both"/>
      </w:pPr>
      <w:r>
        <w:rPr>
          <w:rFonts w:ascii="Arial" w:cs="Arial" w:eastAsia="Arial" w:hAnsi="Arial"/>
          <w:b w:val="false"/>
          <w:bCs w:val="false"/>
          <w:i w:val="false"/>
          <w:iCs w:val="false"/>
          <w:color w:val="212121"/>
          <w:sz w:val="22"/>
          <w:szCs w:val="22"/>
        </w:rPr>
        <w:t xml:space="preserve">Los suelos agrícolas argentinos representan una de las mayores oportunidades de secuestro de carbono del planeta. Solo la Pampa comprende aproximadamente 50 millones de hectáreas de tierras de cultivo que han perdido el 40–60% de su carbono orgánico original del suelo. Esto es un déficit — y un déficit es una oportunidad de restauración.</w:t>
      </w:r>
    </w:p>
    <w:p>
      <w:pPr>
        <w:spacing w:after="160" w:before="0"/>
        <w:jc w:val="both"/>
      </w:pPr>
      <w:r>
        <w:rPr>
          <w:rFonts w:ascii="Arial" w:cs="Arial" w:eastAsia="Arial" w:hAnsi="Arial"/>
          <w:b/>
          <w:bCs/>
          <w:i w:val="false"/>
          <w:iCs w:val="false"/>
          <w:color w:val="212121"/>
          <w:sz w:val="22"/>
          <w:szCs w:val="22"/>
        </w:rPr>
        <w:t xml:space="preserve">Palanca biológica: </w:t>
      </w:r>
      <w:r>
        <w:rPr>
          <w:rFonts w:ascii="Arial" w:cs="Arial" w:eastAsia="Arial" w:hAnsi="Arial"/>
          <w:b w:val="false"/>
          <w:bCs w:val="false"/>
          <w:i w:val="false"/>
          <w:iCs w:val="false"/>
          <w:color w:val="212121"/>
          <w:sz w:val="22"/>
          <w:szCs w:val="22"/>
        </w:rPr>
        <w:t xml:space="preserve">El compost tea y las enmiendas biológicas introducen la fuerza laboral microbiana que impulsa la humificación — la conversión de insumos orgánicos en carbono estable del suelo (humus). Las condiciones aeróbicas de elaboración (&gt;10 ppm de oxígeno disuelto) aseguran que el carbono se procese por vías aeróbicas estables, no por vías anaeróbicas productoras de metano.</w:t>
      </w:r>
    </w:p>
    <w:p>
      <w:pPr>
        <w:spacing w:after="160" w:before="0"/>
        <w:jc w:val="both"/>
      </w:pPr>
      <w:r>
        <w:rPr>
          <w:rFonts w:ascii="Arial" w:cs="Arial" w:eastAsia="Arial" w:hAnsi="Arial"/>
          <w:b/>
          <w:bCs/>
          <w:i w:val="false"/>
          <w:iCs w:val="false"/>
          <w:color w:val="212121"/>
          <w:sz w:val="22"/>
          <w:szCs w:val="22"/>
        </w:rPr>
        <w:t xml:space="preserve">Palanca hídrica: </w:t>
      </w:r>
      <w:r>
        <w:rPr>
          <w:rFonts w:ascii="Arial" w:cs="Arial" w:eastAsia="Arial" w:hAnsi="Arial"/>
          <w:b w:val="false"/>
          <w:bCs w:val="false"/>
          <w:i w:val="false"/>
          <w:iCs w:val="false"/>
          <w:color w:val="212121"/>
          <w:sz w:val="22"/>
          <w:szCs w:val="22"/>
        </w:rPr>
        <w:t xml:space="preserve">El agua enriquecida con nanoburbujas mantiene el oxígeno disuelto a lo largo del perfil del suelo, soportando actividad microbiana aeróbica profunda. La oxigenación mejorada de raíces promueve crecimiento radicular más profundo y mayor biomasa radicular, depositando material rico en carbono en horizontes subsuperficiales donde es menos susceptible a la perturbación por labranza.</w:t>
      </w:r>
    </w:p>
    <w:p>
      <w:pPr>
        <w:pStyle w:val="Heading2"/>
        <w:spacing w:before="300" w:after="120"/>
      </w:pPr>
      <w:r>
        <w:rPr>
          <w:rFonts w:ascii="Arial" w:cs="Arial" w:eastAsia="Arial" w:hAnsi="Arial"/>
          <w:b/>
          <w:bCs/>
          <w:color w:val="2E7D32"/>
          <w:sz w:val="28"/>
          <w:szCs w:val="28"/>
        </w:rPr>
        <w:t xml:space="preserve">7.2 Proyecciones de Secuestro para Argentina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20"/>
        <w:gridCol w:w="2040"/>
      </w:tblGrid>
      <w:tr>
        <w:trPr>
          <w:tblHeader/>
        </w:trPr>
        <w:tc>
          <w:tcPr>
            <w:tcW w:type="dxa" w:w="1800"/>
            <w:tcBorders>
              <w:top w:val="single" w:color="BDBDBD" w:sz="1"/>
              <w:left w:val="single" w:color="BDBDBD" w:sz="1"/>
              <w:bottom w:val="single" w:color="BDBDBD" w:sz="1"/>
              <w:right w:val="single" w:color="BDBDBD" w:sz="1"/>
            </w:tcBorders>
            <w:shd w:fill="4E342E" w:val="clear"/>
            <w:tcMar>
              <w:top w:type="dxa" w:w="100"/>
              <w:left w:type="dxa" w:w="140"/>
              <w:bottom w:type="dxa" w:w="100"/>
              <w:right w:type="dxa" w:w="140"/>
            </w:tcMar>
            <w:vAlign w:val="center"/>
          </w:tcPr>
          <w:p>
            <w:r>
              <w:rPr>
                <w:rFonts w:ascii="Arial" w:cs="Arial" w:eastAsia="Arial" w:hAnsi="Arial"/>
                <w:b/>
                <w:bCs/>
                <w:color w:val="FFFFFF"/>
                <w:sz w:val="20"/>
                <w:szCs w:val="20"/>
              </w:rPr>
              <w:t xml:space="preserve">Escenario</w:t>
            </w:r>
          </w:p>
        </w:tc>
        <w:tc>
          <w:tcPr>
            <w:tcW w:type="dxa" w:w="1800"/>
            <w:tcBorders>
              <w:top w:val="single" w:color="BDBDBD" w:sz="1"/>
              <w:left w:val="single" w:color="BDBDBD" w:sz="1"/>
              <w:bottom w:val="single" w:color="BDBDBD" w:sz="1"/>
              <w:right w:val="single" w:color="BDBDBD" w:sz="1"/>
            </w:tcBorders>
            <w:shd w:fill="4E342E" w:val="clear"/>
            <w:tcMar>
              <w:top w:type="dxa" w:w="100"/>
              <w:left w:type="dxa" w:w="140"/>
              <w:bottom w:type="dxa" w:w="100"/>
              <w:right w:type="dxa" w:w="140"/>
            </w:tcMar>
            <w:vAlign w:val="center"/>
          </w:tcPr>
          <w:p>
            <w:r>
              <w:rPr>
                <w:rFonts w:ascii="Arial" w:cs="Arial" w:eastAsia="Arial" w:hAnsi="Arial"/>
                <w:b/>
                <w:bCs/>
                <w:color w:val="FFFFFF"/>
                <w:sz w:val="20"/>
                <w:szCs w:val="20"/>
              </w:rPr>
              <w:t xml:space="preserve">Ganancia MOS (5 años)</w:t>
            </w:r>
          </w:p>
        </w:tc>
        <w:tc>
          <w:tcPr>
            <w:tcW w:type="dxa" w:w="1800"/>
            <w:tcBorders>
              <w:top w:val="single" w:color="BDBDBD" w:sz="1"/>
              <w:left w:val="single" w:color="BDBDBD" w:sz="1"/>
              <w:bottom w:val="single" w:color="BDBDBD" w:sz="1"/>
              <w:right w:val="single" w:color="BDBDBD" w:sz="1"/>
            </w:tcBorders>
            <w:shd w:fill="4E342E"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Secuestro Anual/Ha</w:t>
            </w:r>
          </w:p>
        </w:tc>
        <w:tc>
          <w:tcPr>
            <w:tcW w:type="dxa" w:w="1920"/>
            <w:tcBorders>
              <w:top w:val="single" w:color="BDBDBD" w:sz="1"/>
              <w:left w:val="single" w:color="BDBDBD" w:sz="1"/>
              <w:bottom w:val="single" w:color="BDBDBD" w:sz="1"/>
              <w:right w:val="single" w:color="BDBDBD" w:sz="1"/>
            </w:tcBorders>
            <w:shd w:fill="4E342E" w:val="clear"/>
            <w:tcMar>
              <w:top w:type="dxa" w:w="100"/>
              <w:left w:type="dxa" w:w="140"/>
              <w:bottom w:type="dxa" w:w="100"/>
              <w:right w:type="dxa" w:w="140"/>
            </w:tcMar>
            <w:vAlign w:val="center"/>
          </w:tcPr>
          <w:p>
            <w:r>
              <w:rPr>
                <w:rFonts w:ascii="Arial" w:cs="Arial" w:eastAsia="Arial" w:hAnsi="Arial"/>
                <w:b/>
                <w:bCs/>
                <w:color w:val="FFFFFF"/>
                <w:sz w:val="20"/>
                <w:szCs w:val="20"/>
              </w:rPr>
              <w:t xml:space="preserve">Área Participante</w:t>
            </w:r>
          </w:p>
        </w:tc>
        <w:tc>
          <w:tcPr>
            <w:tcW w:type="dxa" w:w="2040"/>
            <w:tcBorders>
              <w:top w:val="single" w:color="BDBDBD" w:sz="1"/>
              <w:left w:val="single" w:color="BDBDBD" w:sz="1"/>
              <w:bottom w:val="single" w:color="BDBDBD" w:sz="1"/>
              <w:right w:val="single" w:color="BDBDBD" w:sz="1"/>
            </w:tcBorders>
            <w:shd w:fill="4E34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Potencial Nacional Anual</w:t>
            </w:r>
          </w:p>
        </w:tc>
      </w:tr>
      <w:tr>
        <w:tc>
          <w:tcPr>
            <w:tcW w:type="dxa" w:w="18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Conservador</w:t>
            </w:r>
          </w:p>
        </w:tc>
        <w:tc>
          <w:tcPr>
            <w:tcW w:type="dxa" w:w="18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+1% MOS</w:t>
            </w:r>
          </w:p>
        </w:tc>
        <w:tc>
          <w:tcPr>
            <w:tcW w:type="dxa" w:w="18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1,2–2,0 t CO₂e/ha/año</w:t>
            </w:r>
          </w:p>
        </w:tc>
        <w:tc>
          <w:tcPr>
            <w:tcW w:type="dxa" w:w="19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5 millones ha</w:t>
            </w:r>
          </w:p>
        </w:tc>
        <w:tc>
          <w:tcPr>
            <w:tcW w:type="dxa" w:w="20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6–10 Mt CO₂e/año</w:t>
            </w:r>
          </w:p>
        </w:tc>
      </w:tr>
      <w:tr>
        <w:tc>
          <w:tcPr>
            <w:tcW w:type="dxa" w:w="18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Moderado</w:t>
            </w:r>
          </w:p>
        </w:tc>
        <w:tc>
          <w:tcPr>
            <w:tcW w:type="dxa" w:w="18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+1,5% MOS</w:t>
            </w:r>
          </w:p>
        </w:tc>
        <w:tc>
          <w:tcPr>
            <w:tcW w:type="dxa" w:w="18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2,0–3,0 t CO₂e/ha/año</w:t>
            </w:r>
          </w:p>
        </w:tc>
        <w:tc>
          <w:tcPr>
            <w:tcW w:type="dxa" w:w="192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15 millones ha</w:t>
            </w:r>
          </w:p>
        </w:tc>
        <w:tc>
          <w:tcPr>
            <w:tcW w:type="dxa" w:w="20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30–45 Mt CO₂e/año</w:t>
            </w:r>
          </w:p>
        </w:tc>
      </w:tr>
      <w:tr>
        <w:tc>
          <w:tcPr>
            <w:tcW w:type="dxa" w:w="18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Ambicioso</w:t>
            </w:r>
          </w:p>
        </w:tc>
        <w:tc>
          <w:tcPr>
            <w:tcW w:type="dxa" w:w="18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+2% MOS</w:t>
            </w:r>
          </w:p>
        </w:tc>
        <w:tc>
          <w:tcPr>
            <w:tcW w:type="dxa" w:w="18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3,0–4,0 t CO₂e/ha/año</w:t>
            </w:r>
          </w:p>
        </w:tc>
        <w:tc>
          <w:tcPr>
            <w:tcW w:type="dxa" w:w="19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25 millones ha</w:t>
            </w:r>
          </w:p>
        </w:tc>
        <w:tc>
          <w:tcPr>
            <w:tcW w:type="dxa" w:w="20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75–100 Mt CO₂e/año</w:t>
            </w:r>
          </w:p>
        </w:tc>
      </w:tr>
      <w:tr>
        <w:tc>
          <w:tcPr>
            <w:tcW w:type="dxa" w:w="18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Transformador</w:t>
            </w:r>
          </w:p>
        </w:tc>
        <w:tc>
          <w:tcPr>
            <w:tcW w:type="dxa" w:w="18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+2,5%+ MOS</w:t>
            </w:r>
          </w:p>
        </w:tc>
        <w:tc>
          <w:tcPr>
            <w:tcW w:type="dxa" w:w="18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4,0–5,0 t CO₂e/ha/año</w:t>
            </w:r>
          </w:p>
        </w:tc>
        <w:tc>
          <w:tcPr>
            <w:tcW w:type="dxa" w:w="192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39 millones ha</w:t>
            </w:r>
          </w:p>
        </w:tc>
        <w:tc>
          <w:tcPr>
            <w:tcW w:type="dxa" w:w="20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156–195 Mt CO₂e/año</w:t>
            </w:r>
          </w:p>
        </w:tc>
      </w:tr>
    </w:tbl>
    <w:p>
      <w:pPr>
        <w:spacing w:after="80"/>
      </w:pPr>
    </w:p>
    <w:p>
      <w:pPr>
        <w:spacing w:after="160" w:before="0"/>
        <w:jc w:val="both"/>
      </w:pPr>
      <w:r>
        <w:rPr>
          <w:rFonts w:ascii="Arial" w:cs="Arial" w:eastAsia="Arial" w:hAnsi="Arial"/>
          <w:b w:val="false"/>
          <w:bCs w:val="false"/>
          <w:i w:val="false"/>
          <w:iCs w:val="false"/>
          <w:color w:val="212121"/>
          <w:sz w:val="22"/>
          <w:szCs w:val="22"/>
        </w:rPr>
        <w:t xml:space="preserve">Para contexto: las emisiones totales de gases de efecto invernadero de Argentina son aproximadamente 370 millones de toneladas de CO₂e anuales (2022). El escenario Ambicioso compensaría el 20–27% de las emisiones nacionales totales. El escenario Transformador haría de la agricultura argentina el mayor sumidero de carbono de América Latina y uno de los mayores del mundo, potencialmente habilitando a la Argentina a convertirse en un país de emisiones netas negativas.</w:t>
      </w:r>
    </w:p>
    <w:p>
      <w:pPr>
        <w:pStyle w:val="Heading2"/>
        <w:spacing w:before="300" w:after="120"/>
      </w:pPr>
      <w:r>
        <w:rPr>
          <w:rFonts w:ascii="Arial" w:cs="Arial" w:eastAsia="Arial" w:hAnsi="Arial"/>
          <w:b/>
          <w:bCs/>
          <w:color w:val="2E7D32"/>
          <w:sz w:val="28"/>
          <w:szCs w:val="28"/>
        </w:rPr>
        <w:t xml:space="preserve">7.3 Proyecciones de Ingresos por Carbono</w:t>
      </w:r>
    </w:p>
    <w:p>
      <w:pPr>
        <w:pStyle w:val="ListParagraph"/>
        <w:numPr>
          <w:ilvl w:val="0"/>
          <w:numId w:val="7"/>
        </w:numPr>
        <w:spacing w:after="80"/>
        <w:jc w:val="both"/>
      </w:pPr>
      <w:r>
        <w:rPr>
          <w:rFonts w:ascii="Arial" w:cs="Arial" w:eastAsia="Arial" w:hAnsi="Arial"/>
          <w:color w:val="212121"/>
          <w:sz w:val="22"/>
          <w:szCs w:val="22"/>
        </w:rPr>
        <w:t xml:space="preserve">5 millones ha × 1,5 t/ha × USD 35/t = USD 262 millones/año en ingresos por créditos de carbono</w:t>
      </w:r>
    </w:p>
    <w:p>
      <w:pPr>
        <w:pStyle w:val="ListParagraph"/>
        <w:numPr>
          <w:ilvl w:val="0"/>
          <w:numId w:val="7"/>
        </w:numPr>
        <w:spacing w:after="80"/>
        <w:jc w:val="both"/>
      </w:pPr>
      <w:r>
        <w:rPr>
          <w:rFonts w:ascii="Arial" w:cs="Arial" w:eastAsia="Arial" w:hAnsi="Arial"/>
          <w:color w:val="212121"/>
          <w:sz w:val="22"/>
          <w:szCs w:val="22"/>
        </w:rPr>
        <w:t xml:space="preserve">15 millones ha × 2,5 t/ha × USD 35/t = USD 1.300 millones/año</w:t>
      </w:r>
    </w:p>
    <w:p>
      <w:pPr>
        <w:pStyle w:val="ListParagraph"/>
        <w:numPr>
          <w:ilvl w:val="0"/>
          <w:numId w:val="7"/>
        </w:numPr>
        <w:spacing w:after="80"/>
        <w:jc w:val="both"/>
      </w:pPr>
      <w:r>
        <w:rPr>
          <w:rFonts w:ascii="Arial" w:cs="Arial" w:eastAsia="Arial" w:hAnsi="Arial"/>
          <w:color w:val="212121"/>
          <w:sz w:val="22"/>
          <w:szCs w:val="22"/>
        </w:rPr>
        <w:t xml:space="preserve">25 millones ha × 3,5 t/ha × USD 40/t = USD 3.500 millones/año</w:t>
      </w:r>
    </w:p>
    <w:p>
      <w:pPr>
        <w:spacing w:after="160" w:before="0"/>
        <w:jc w:val="both"/>
      </w:pPr>
      <w:r>
        <w:rPr>
          <w:rFonts w:ascii="Arial" w:cs="Arial" w:eastAsia="Arial" w:hAnsi="Arial"/>
          <w:b w:val="false"/>
          <w:bCs w:val="false"/>
          <w:i w:val="false"/>
          <w:iCs w:val="false"/>
          <w:color w:val="212121"/>
          <w:sz w:val="22"/>
          <w:szCs w:val="22"/>
        </w:rPr>
        <w:t xml:space="preserve">En el escenario Ambicioso, los ingresos por créditos de carbono por sí solos superarían el costo total anual de PLANISV, haciendo al programa completamente autofinanciado y creando un nuevo sector exportador de USD 3.000+ millones para la Argentina: carbono del suelo.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8"/>
              <w:left w:val="single" w:color="FFF8E1" w:sz="2"/>
              <w:bottom w:val="single" w:color="FFF8E1" w:sz="2"/>
              <w:right w:val="single" w:color="FFF8E1" w:sz="2"/>
            </w:tcBorders>
            <w:shd w:fill="FFF8E1" w:val="clear"/>
            <w:tcMar>
              <w:top w:type="dxa" w:w="140"/>
              <w:left w:type="dxa" w:w="220"/>
              <w:bottom w:type="dxa" w:w="140"/>
              <w:right w:type="dxa" w:w="220"/>
            </w:tcMar>
          </w:tcPr>
          <w:p>
            <w:pPr>
              <w:spacing w:after="80"/>
            </w:pPr>
            <w:r>
              <w:rPr>
                <w:rFonts w:ascii="Arial" w:cs="Arial" w:eastAsia="Arial" w:hAnsi="Arial"/>
                <w:b/>
                <w:bCs/>
                <w:color w:val="F57F17"/>
                <w:sz w:val="23"/>
                <w:szCs w:val="23"/>
              </w:rPr>
              <w:t xml:space="preserve">Un Nuevo Commodity de Exportación: Carbono del Suelo</w:t>
            </w:r>
          </w:p>
          <w:p>
            <w:pPr>
              <w:jc w:val="both"/>
            </w:pPr>
            <w:r>
              <w:rPr>
                <w:rFonts w:ascii="Arial" w:cs="Arial" w:eastAsia="Arial" w:hAnsi="Arial"/>
                <w:color w:val="212121"/>
                <w:sz w:val="21"/>
                <w:szCs w:val="21"/>
              </w:rPr>
              <w:t xml:space="preserve">Las exportaciones tradicionales de Argentina son soja, maíz, trigo, carne y vino. PLANISV agrega una sexta: créditos de carbono del suelo verificados. A diferencia de las exportaciones de commodities sujetas a precios globales volátiles y retenciones, los créditos de carbono representan un flujo de ingresos premium, vinculado a sostenibilidad, con demanda creciente. Argentina podría convertirse en el mayor exportador mundial de carbono del suelo — monetizando la restauración del mismo activo que produce todas sus demás exportaciones.</w:t>
            </w:r>
          </w:p>
        </w:tc>
      </w:tr>
    </w:tbl>
    <w:p>
      <w:r>
        <w:br w:type="page"/>
      </w:r>
    </w:p>
    <w:p>
      <w:pPr>
        <w:pStyle w:val="Heading1"/>
        <w:spacing w:before="400" w:after="180"/>
      </w:pPr>
      <w:r>
        <w:rPr>
          <w:rFonts w:ascii="Arial" w:cs="Arial" w:eastAsia="Arial" w:hAnsi="Arial"/>
          <w:b/>
          <w:bCs/>
          <w:color w:val="0D47A1"/>
          <w:sz w:val="34"/>
          <w:szCs w:val="34"/>
        </w:rPr>
        <w:t xml:space="preserve">8. CUMPLIMIENTO REGULATORIO UE Y ESTRATEGIA COMERCIAL INTERNACIONAL</w:t>
      </w:r>
    </w:p>
    <w:p>
      <w:pPr>
        <w:pStyle w:val="Heading2"/>
        <w:spacing w:before="300" w:after="120"/>
      </w:pPr>
      <w:r>
        <w:rPr>
          <w:rFonts w:ascii="Arial" w:cs="Arial" w:eastAsia="Arial" w:hAnsi="Arial"/>
          <w:b/>
          <w:bCs/>
          <w:color w:val="2E7D32"/>
          <w:sz w:val="28"/>
          <w:szCs w:val="28"/>
        </w:rPr>
        <w:t xml:space="preserve">8.1 El Imperativo EUDR y Farm-to-Fork</w:t>
      </w:r>
    </w:p>
    <w:p>
      <w:pPr>
        <w:spacing w:after="160" w:before="0"/>
        <w:jc w:val="both"/>
      </w:pPr>
      <w:r>
        <w:rPr>
          <w:rFonts w:ascii="Arial" w:cs="Arial" w:eastAsia="Arial" w:hAnsi="Arial"/>
          <w:b w:val="false"/>
          <w:bCs w:val="false"/>
          <w:i w:val="false"/>
          <w:iCs w:val="false"/>
          <w:color w:val="212121"/>
          <w:sz w:val="22"/>
          <w:szCs w:val="22"/>
        </w:rPr>
        <w:t xml:space="preserve">La Unión Europea es el segundo mayor mercado de exportación agrícola de Argentina y está implementando los requisitos de sostenibilidad más agresivos de la historia del comercio global:</w:t>
      </w:r>
    </w:p>
    <w:p>
      <w:pPr>
        <w:pStyle w:val="ListParagraph"/>
        <w:numPr>
          <w:ilvl w:val="0"/>
          <w:numId w:val="8"/>
        </w:numPr>
        <w:spacing w:after="80"/>
        <w:jc w:val="both"/>
      </w:pPr>
      <w:r>
        <w:rPr>
          <w:rFonts w:ascii="Arial" w:cs="Arial" w:eastAsia="Arial" w:hAnsi="Arial"/>
          <w:b/>
          <w:bCs/>
          <w:color w:val="212121"/>
          <w:sz w:val="22"/>
          <w:szCs w:val="22"/>
        </w:rPr>
        <w:t xml:space="preserve">Reglamento de Deforestación UE (EUDR): </w:t>
      </w:r>
      <w:r>
        <w:rPr>
          <w:rFonts w:ascii="Arial" w:cs="Arial" w:eastAsia="Arial" w:hAnsi="Arial"/>
          <w:color w:val="212121"/>
          <w:sz w:val="22"/>
          <w:szCs w:val="22"/>
        </w:rPr>
        <w:t xml:space="preserve">Exige a los importadores probar que los commodities (incluyendo soja, carne, aceite de palma, madera, cacao, café, caucho) no fueron producidos en tierras deforestadas después de diciembre de 2020. Requiere trazabilidad de geolocalización a nivel de parcela.</w:t>
      </w:r>
    </w:p>
    <w:p>
      <w:pPr>
        <w:pStyle w:val="ListParagraph"/>
        <w:numPr>
          <w:ilvl w:val="0"/>
          <w:numId w:val="8"/>
        </w:numPr>
        <w:spacing w:after="80"/>
        <w:jc w:val="both"/>
      </w:pPr>
      <w:r>
        <w:rPr>
          <w:rFonts w:ascii="Arial" w:cs="Arial" w:eastAsia="Arial" w:hAnsi="Arial"/>
          <w:b/>
          <w:bCs/>
          <w:color w:val="212121"/>
          <w:sz w:val="22"/>
          <w:szCs w:val="22"/>
        </w:rPr>
        <w:t xml:space="preserve">Estrategia Farm-to-Fork: </w:t>
      </w:r>
      <w:r>
        <w:rPr>
          <w:rFonts w:ascii="Arial" w:cs="Arial" w:eastAsia="Arial" w:hAnsi="Arial"/>
          <w:color w:val="212121"/>
          <w:sz w:val="22"/>
          <w:szCs w:val="22"/>
        </w:rPr>
        <w:t xml:space="preserve">Apunta a 50% de reducción en uso de plaguicidas químicos, 20% de reducción en fertilizantes y 25% de área de agricultura orgánica para 2030. Los productos que ingresan al mercado UE enfrentan escrutinio creciente sobre residuos químicos y prácticas de sostenibilidad.</w:t>
      </w:r>
    </w:p>
    <w:p>
      <w:pPr>
        <w:pStyle w:val="ListParagraph"/>
        <w:numPr>
          <w:ilvl w:val="0"/>
          <w:numId w:val="8"/>
        </w:numPr>
        <w:spacing w:after="80"/>
        <w:jc w:val="both"/>
      </w:pPr>
      <w:r>
        <w:rPr>
          <w:rFonts w:ascii="Arial" w:cs="Arial" w:eastAsia="Arial" w:hAnsi="Arial"/>
          <w:b/>
          <w:bCs/>
          <w:color w:val="212121"/>
          <w:sz w:val="22"/>
          <w:szCs w:val="22"/>
        </w:rPr>
        <w:t xml:space="preserve">Mecanismo de Ajuste en Frontera por Carbono (CBAM): </w:t>
      </w:r>
      <w:r>
        <w:rPr>
          <w:rFonts w:ascii="Arial" w:cs="Arial" w:eastAsia="Arial" w:hAnsi="Arial"/>
          <w:color w:val="212121"/>
          <w:sz w:val="22"/>
          <w:szCs w:val="22"/>
        </w:rPr>
        <w:t xml:space="preserve">Aunque actualmente enfocado en sectores industriales, la trayectoria es clara: la producción agrícola carbono-intensiva enfrentará ajustes fronterizos. La producción baja en carbono tendrá ventaja competitiva.</w:t>
      </w:r>
    </w:p>
    <w:p>
      <w:pPr>
        <w:pStyle w:val="ListParagraph"/>
        <w:numPr>
          <w:ilvl w:val="0"/>
          <w:numId w:val="8"/>
        </w:numPr>
        <w:spacing w:after="80"/>
        <w:jc w:val="both"/>
      </w:pPr>
      <w:r>
        <w:rPr>
          <w:rFonts w:ascii="Arial" w:cs="Arial" w:eastAsia="Arial" w:hAnsi="Arial"/>
          <w:b/>
          <w:bCs/>
          <w:color w:val="212121"/>
          <w:sz w:val="22"/>
          <w:szCs w:val="22"/>
        </w:rPr>
        <w:t xml:space="preserve">Directiva de Debida Diligencia Corporativa en Sostenibilidad (CSDDD): </w:t>
      </w:r>
      <w:r>
        <w:rPr>
          <w:rFonts w:ascii="Arial" w:cs="Arial" w:eastAsia="Arial" w:hAnsi="Arial"/>
          <w:color w:val="212121"/>
          <w:sz w:val="22"/>
          <w:szCs w:val="22"/>
        </w:rPr>
        <w:t xml:space="preserve">Exige a las empresas de la UE auditar toda su cadena de suministro por sostenibilidad ambiental y social. Los exportadores argentinos están en esa cadena de suministro.</w:t>
      </w:r>
    </w:p>
    <w:p>
      <w:pPr>
        <w:pStyle w:val="Heading2"/>
        <w:spacing w:before="300" w:after="120"/>
      </w:pPr>
      <w:r>
        <w:rPr>
          <w:rFonts w:ascii="Arial" w:cs="Arial" w:eastAsia="Arial" w:hAnsi="Arial"/>
          <w:b/>
          <w:bCs/>
          <w:color w:val="2E7D32"/>
          <w:sz w:val="28"/>
          <w:szCs w:val="28"/>
        </w:rPr>
        <w:t xml:space="preserve">8.2 Cómo PLANISV Convierte una Amenaza en una Ventaja</w:t>
      </w:r>
    </w:p>
    <w:p>
      <w:pPr>
        <w:spacing w:after="160" w:before="0"/>
        <w:jc w:val="both"/>
      </w:pPr>
      <w:r>
        <w:rPr>
          <w:rFonts w:ascii="Arial" w:cs="Arial" w:eastAsia="Arial" w:hAnsi="Arial"/>
          <w:b w:val="false"/>
          <w:bCs w:val="false"/>
          <w:i w:val="false"/>
          <w:iCs w:val="false"/>
          <w:color w:val="212121"/>
          <w:sz w:val="22"/>
          <w:szCs w:val="22"/>
        </w:rPr>
        <w:t xml:space="preserve">La mayoría de las naciones exportadoras están reaccionando ante los requisitos de la UE. PLANISV permite a la Argentina adelantarse:</w:t>
      </w:r>
    </w:p>
    <w:p>
      <w:pPr>
        <w:pStyle w:val="ListParagraph"/>
        <w:numPr>
          <w:ilvl w:val="0"/>
          <w:numId w:val="9"/>
        </w:numPr>
        <w:spacing w:after="100"/>
        <w:jc w:val="both"/>
      </w:pPr>
      <w:r>
        <w:rPr>
          <w:rFonts w:ascii="Arial" w:cs="Arial" w:eastAsia="Arial" w:hAnsi="Arial"/>
          <w:b/>
          <w:bCs/>
          <w:color w:val="212121"/>
          <w:sz w:val="22"/>
          <w:szCs w:val="22"/>
        </w:rPr>
        <w:t xml:space="preserve">Infraestructura de trazabilidad: </w:t>
      </w:r>
      <w:r>
        <w:rPr>
          <w:rFonts w:ascii="Arial" w:cs="Arial" w:eastAsia="Arial" w:hAnsi="Arial"/>
          <w:color w:val="212121"/>
          <w:sz w:val="22"/>
          <w:szCs w:val="22"/>
        </w:rPr>
        <w:t xml:space="preserve">El Tablero Nacional de Salud del Suelo provee datos a nivel de lote, en tiempo real, verificados por el Estado, que superan los requisitos de geolocalización del EUDR. Cada operación participante tiene datos auditables de salud del suelo e insumos.</w:t>
      </w:r>
    </w:p>
    <w:p>
      <w:pPr>
        <w:pStyle w:val="ListParagraph"/>
        <w:numPr>
          <w:ilvl w:val="0"/>
          <w:numId w:val="9"/>
        </w:numPr>
        <w:spacing w:after="100"/>
        <w:jc w:val="both"/>
      </w:pPr>
      <w:r>
        <w:rPr>
          <w:rFonts w:ascii="Arial" w:cs="Arial" w:eastAsia="Arial" w:hAnsi="Arial"/>
          <w:b/>
          <w:bCs/>
          <w:color w:val="212121"/>
          <w:sz w:val="22"/>
          <w:szCs w:val="22"/>
        </w:rPr>
        <w:t xml:space="preserve">Verificación de reducción química: </w:t>
      </w:r>
      <w:r>
        <w:rPr>
          <w:rFonts w:ascii="Arial" w:cs="Arial" w:eastAsia="Arial" w:hAnsi="Arial"/>
          <w:color w:val="212121"/>
          <w:sz w:val="22"/>
          <w:szCs w:val="22"/>
        </w:rPr>
        <w:t xml:space="preserve">El modelo de pagos por resultados requiere reducción documentada de insumos químicos. Estos datos soportan directamente el cumplimiento de Farm-to-Fork.</w:t>
      </w:r>
    </w:p>
    <w:p>
      <w:pPr>
        <w:pStyle w:val="ListParagraph"/>
        <w:numPr>
          <w:ilvl w:val="0"/>
          <w:numId w:val="9"/>
        </w:numPr>
        <w:spacing w:after="100"/>
        <w:jc w:val="both"/>
      </w:pPr>
      <w:r>
        <w:rPr>
          <w:rFonts w:ascii="Arial" w:cs="Arial" w:eastAsia="Arial" w:hAnsi="Arial"/>
          <w:b/>
          <w:bCs/>
          <w:color w:val="212121"/>
          <w:sz w:val="22"/>
          <w:szCs w:val="22"/>
        </w:rPr>
        <w:t xml:space="preserve">Documentación de huella de carbono: </w:t>
      </w:r>
      <w:r>
        <w:rPr>
          <w:rFonts w:ascii="Arial" w:cs="Arial" w:eastAsia="Arial" w:hAnsi="Arial"/>
          <w:color w:val="212121"/>
          <w:sz w:val="22"/>
          <w:szCs w:val="22"/>
        </w:rPr>
        <w:t xml:space="preserve">El MRV de secuestro de carbono de PLANISV provee los datos de carbono a nivel de producción que CBAM y CSDDD requerirán cada vez más.</w:t>
      </w:r>
    </w:p>
    <w:p>
      <w:pPr>
        <w:pStyle w:val="ListParagraph"/>
        <w:numPr>
          <w:ilvl w:val="0"/>
          <w:numId w:val="9"/>
        </w:numPr>
        <w:spacing w:after="100"/>
        <w:jc w:val="both"/>
      </w:pPr>
      <w:r>
        <w:rPr>
          <w:rFonts w:ascii="Arial" w:cs="Arial" w:eastAsia="Arial" w:hAnsi="Arial"/>
          <w:b/>
          <w:bCs/>
          <w:color w:val="212121"/>
          <w:sz w:val="22"/>
          <w:szCs w:val="22"/>
        </w:rPr>
        <w:t xml:space="preserve">Vía de certificación regenerativa: </w:t>
      </w:r>
      <w:r>
        <w:rPr>
          <w:rFonts w:ascii="Arial" w:cs="Arial" w:eastAsia="Arial" w:hAnsi="Arial"/>
          <w:color w:val="212121"/>
          <w:sz w:val="22"/>
          <w:szCs w:val="22"/>
        </w:rPr>
        <w:t xml:space="preserve">La participación en PLANISV Nivel 2–3 con resultados verificados puede servir como base para certificación de agricultura regenerativa, obteniendo primas de exportación del 5–15% sobre productos calificados.</w:t>
      </w:r>
    </w:p>
    <w:p>
      <w:pPr>
        <w:pStyle w:val="ListParagraph"/>
        <w:numPr>
          <w:ilvl w:val="0"/>
          <w:numId w:val="9"/>
        </w:numPr>
        <w:spacing w:after="100"/>
        <w:jc w:val="both"/>
      </w:pPr>
      <w:r>
        <w:rPr>
          <w:rFonts w:ascii="Arial" w:cs="Arial" w:eastAsia="Arial" w:hAnsi="Arial"/>
          <w:b/>
          <w:bCs/>
          <w:color w:val="212121"/>
          <w:sz w:val="22"/>
          <w:szCs w:val="22"/>
        </w:rPr>
        <w:t xml:space="preserve">Ventaja de primer movedor: </w:t>
      </w:r>
      <w:r>
        <w:rPr>
          <w:rFonts w:ascii="Arial" w:cs="Arial" w:eastAsia="Arial" w:hAnsi="Arial"/>
          <w:color w:val="212121"/>
          <w:sz w:val="22"/>
          <w:szCs w:val="22"/>
        </w:rPr>
        <w:t xml:space="preserve">Brasil, Estados Unidos y Australia son los principales competidores de Argentina en mercados agrícolas de la UE. Ninguno tiene una infraestructura nacional de datos de salud del suelo verificada por el gobierno. Argentina puede ser la primera.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8"/>
              <w:left w:val="single" w:color="E0F2F1" w:sz="2"/>
              <w:bottom w:val="single" w:color="E0F2F1" w:sz="2"/>
              <w:right w:val="single" w:color="E0F2F1" w:sz="2"/>
            </w:tcBorders>
            <w:shd w:fill="E0F2F1" w:val="clear"/>
            <w:tcMar>
              <w:top w:type="dxa" w:w="140"/>
              <w:left w:type="dxa" w:w="220"/>
              <w:bottom w:type="dxa" w:w="140"/>
              <w:right w:type="dxa" w:w="220"/>
            </w:tcMar>
          </w:tcPr>
          <w:p>
            <w:pPr>
              <w:spacing w:after="80"/>
            </w:pPr>
            <w:r>
              <w:rPr>
                <w:rFonts w:ascii="Arial" w:cs="Arial" w:eastAsia="Arial" w:hAnsi="Arial"/>
                <w:b/>
                <w:bCs/>
                <w:color w:val="00695C"/>
                <w:sz w:val="23"/>
                <w:szCs w:val="23"/>
              </w:rPr>
              <w:t xml:space="preserve">Posición Estratégica: De Costo de Cumplimiento a Arma Competitiva</w:t>
            </w:r>
          </w:p>
          <w:p>
            <w:pPr>
              <w:jc w:val="both"/>
            </w:pPr>
            <w:r>
              <w:rPr>
                <w:rFonts w:ascii="Arial" w:cs="Arial" w:eastAsia="Arial" w:hAnsi="Arial"/>
                <w:color w:val="212121"/>
                <w:sz w:val="21"/>
                <w:szCs w:val="21"/>
              </w:rPr>
              <w:t xml:space="preserve">Los requisitos de sostenibilidad de la UE suelen enmarcarse como una amenaza para las exportaciones argentinas. PLANISV los reenmarca como una oportunidad competitiva. La inversión en restauración del suelo simultáneamente reconstruye el activo productivo, genera ingresos por carbono, mejora la calidad alimentaria y crea la infraestructura de cumplimiento que los mercados premium demandan. Argentina no solo cumple los requisitos de la UE — los supera, y cobra un premium por ello.</w:t>
            </w:r>
          </w:p>
        </w:tc>
      </w:tr>
    </w:tbl>
    <w:p>
      <w:r>
        <w:br w:type="page"/>
      </w:r>
    </w:p>
    <w:p>
      <w:pPr>
        <w:pStyle w:val="Heading1"/>
        <w:spacing w:before="400" w:after="180"/>
      </w:pPr>
      <w:r>
        <w:rPr>
          <w:rFonts w:ascii="Arial" w:cs="Arial" w:eastAsia="Arial" w:hAnsi="Arial"/>
          <w:b/>
          <w:bCs/>
          <w:color w:val="0D47A1"/>
          <w:sz w:val="34"/>
          <w:szCs w:val="34"/>
        </w:rPr>
        <w:t xml:space="preserve">9. SOBERANÍA ALIMENTARIA, DENSIDAD NUTRICIONAL Y SALUD PÚBLICA</w:t>
      </w:r>
    </w:p>
    <w:p>
      <w:pPr>
        <w:pStyle w:val="Heading2"/>
        <w:spacing w:before="300" w:after="120"/>
      </w:pPr>
      <w:r>
        <w:rPr>
          <w:rFonts w:ascii="Arial" w:cs="Arial" w:eastAsia="Arial" w:hAnsi="Arial"/>
          <w:b/>
          <w:bCs/>
          <w:color w:val="2E7D32"/>
          <w:sz w:val="28"/>
          <w:szCs w:val="28"/>
        </w:rPr>
        <w:t xml:space="preserve">9.1 La Paradoja Argentina</w:t>
      </w:r>
    </w:p>
    <w:p>
      <w:pPr>
        <w:spacing w:after="160" w:before="0"/>
        <w:jc w:val="both"/>
      </w:pPr>
      <w:r>
        <w:rPr>
          <w:rFonts w:ascii="Arial" w:cs="Arial" w:eastAsia="Arial" w:hAnsi="Arial"/>
          <w:b w:val="false"/>
          <w:bCs w:val="false"/>
          <w:i w:val="false"/>
          <w:iCs w:val="false"/>
          <w:color w:val="212121"/>
          <w:sz w:val="22"/>
          <w:szCs w:val="22"/>
        </w:rPr>
        <w:t xml:space="preserve">Argentina produce alimentos suficientes para 400 millones de personas, pero enfrenta desafíos significativos de malnutrición doméstica y problemas de salud vinculados a la dieta. La paradoja tiene una explicación a nivel de suelo: el sistema agrícola nacional está optimizado para volumen calórico de exportación, no para calidad nutricional. La misma degradación del suelo que amenaza la productividad exportadora también degrada la densidad nutricional de los alimentos consumidos a nivel doméstico.</w:t>
      </w:r>
    </w:p>
    <w:p>
      <w:pPr>
        <w:pStyle w:val="Heading2"/>
        <w:spacing w:before="300" w:after="120"/>
      </w:pPr>
      <w:r>
        <w:rPr>
          <w:rFonts w:ascii="Arial" w:cs="Arial" w:eastAsia="Arial" w:hAnsi="Arial"/>
          <w:b/>
          <w:bCs/>
          <w:color w:val="2E7D32"/>
          <w:sz w:val="28"/>
          <w:szCs w:val="28"/>
        </w:rPr>
        <w:t xml:space="preserve">9.2 Cómo PLANISV Aborda la Soberanía Alimentaria</w:t>
      </w:r>
    </w:p>
    <w:p>
      <w:pPr>
        <w:pStyle w:val="ListParagraph"/>
        <w:numPr>
          <w:ilvl w:val="0"/>
          <w:numId w:val="10"/>
        </w:numPr>
        <w:spacing w:after="80"/>
        <w:jc w:val="both"/>
      </w:pPr>
      <w:r>
        <w:rPr>
          <w:rFonts w:ascii="Arial" w:cs="Arial" w:eastAsia="Arial" w:hAnsi="Arial"/>
          <w:b/>
          <w:bCs/>
          <w:color w:val="212121"/>
          <w:sz w:val="22"/>
          <w:szCs w:val="22"/>
        </w:rPr>
        <w:t xml:space="preserve">Nivel 4 — Democratizar: </w:t>
      </w:r>
      <w:r>
        <w:rPr>
          <w:rFonts w:ascii="Arial" w:cs="Arial" w:eastAsia="Arial" w:hAnsi="Arial"/>
          <w:color w:val="212121"/>
          <w:sz w:val="22"/>
          <w:szCs w:val="22"/>
        </w:rPr>
        <w:t xml:space="preserve">Despliegue directo de tecnología de restauración biológica del suelo a la agricultura familiar, huertas comunitarias, programas escolares y Comunidades Indígenas. Esta no es una estrategia de derrame — es una vía paralela que lleva la tecnología de restauración del suelo directamente a las comunidades que producen alimentos para consumo doméstico.</w:t>
      </w:r>
    </w:p>
    <w:p>
      <w:pPr>
        <w:pStyle w:val="ListParagraph"/>
        <w:numPr>
          <w:ilvl w:val="0"/>
          <w:numId w:val="10"/>
        </w:numPr>
        <w:spacing w:after="80"/>
        <w:jc w:val="both"/>
      </w:pPr>
      <w:r>
        <w:rPr>
          <w:rFonts w:ascii="Arial" w:cs="Arial" w:eastAsia="Arial" w:hAnsi="Arial"/>
          <w:b/>
          <w:bCs/>
          <w:color w:val="212121"/>
          <w:sz w:val="22"/>
          <w:szCs w:val="22"/>
        </w:rPr>
        <w:t xml:space="preserve">Mejora de densidad nutricional: </w:t>
      </w:r>
      <w:r>
        <w:rPr>
          <w:rFonts w:ascii="Arial" w:cs="Arial" w:eastAsia="Arial" w:hAnsi="Arial"/>
          <w:color w:val="212121"/>
          <w:sz w:val="22"/>
          <w:szCs w:val="22"/>
        </w:rPr>
        <w:t xml:space="preserve">Los suelos biológicamente activos producen alimentos mediblemente más nutritivos: mayor contenido mineral (calcio, hierro, zinc, magnesio), mayores lecturas Brix, menores residuos químicos. Esto no es una mejora marginal — es la diferencia entre alimentos que sostienen la salud y alimentos que simplemente llenan estómagos.</w:t>
      </w:r>
    </w:p>
    <w:p>
      <w:pPr>
        <w:pStyle w:val="ListParagraph"/>
        <w:numPr>
          <w:ilvl w:val="0"/>
          <w:numId w:val="10"/>
        </w:numPr>
        <w:spacing w:after="80"/>
        <w:jc w:val="both"/>
      </w:pPr>
      <w:r>
        <w:rPr>
          <w:rFonts w:ascii="Arial" w:cs="Arial" w:eastAsia="Arial" w:hAnsi="Arial"/>
          <w:b/>
          <w:bCs/>
          <w:color w:val="212121"/>
          <w:sz w:val="22"/>
          <w:szCs w:val="22"/>
        </w:rPr>
        <w:t xml:space="preserve">Soberanía de conocimiento agrícola: </w:t>
      </w:r>
      <w:r>
        <w:rPr>
          <w:rFonts w:ascii="Arial" w:cs="Arial" w:eastAsia="Arial" w:hAnsi="Arial"/>
          <w:color w:val="212121"/>
          <w:sz w:val="22"/>
          <w:szCs w:val="22"/>
        </w:rPr>
        <w:t xml:space="preserve">La red de conocimiento de PLANISV (Pilar V) capacita una nueva generación de extensionistas y productores líderes en manejo biológico del suelo. Esto reduce la dependencia de empresas multinacionales de agroquímicos para el conocimiento agrícola y crea una base de expertise nacional.</w:t>
      </w:r>
    </w:p>
    <w:p>
      <w:pPr>
        <w:pStyle w:val="ListParagraph"/>
        <w:numPr>
          <w:ilvl w:val="0"/>
          <w:numId w:val="10"/>
        </w:numPr>
        <w:spacing w:after="80"/>
        <w:jc w:val="both"/>
      </w:pPr>
      <w:r>
        <w:rPr>
          <w:rFonts w:ascii="Arial" w:cs="Arial" w:eastAsia="Arial" w:hAnsi="Arial"/>
          <w:b/>
          <w:bCs/>
          <w:color w:val="212121"/>
          <w:sz w:val="22"/>
          <w:szCs w:val="22"/>
        </w:rPr>
        <w:t xml:space="preserve">Resiliencia de sistemas alimentarios regionales: </w:t>
      </w:r>
      <w:r>
        <w:rPr>
          <w:rFonts w:ascii="Arial" w:cs="Arial" w:eastAsia="Arial" w:hAnsi="Arial"/>
          <w:color w:val="212121"/>
          <w:sz w:val="22"/>
          <w:szCs w:val="22"/>
        </w:rPr>
        <w:t xml:space="preserve">Los despliegues de centros Nivel 2 en NOA y NEA — regiones con las tasas más altas de inseguridad alimentaria — fortalecen la capacidad de producción alimentaria local mientras restauran suelos degradados.</w:t>
      </w:r>
    </w:p>
    <w:p>
      <w:pPr>
        <w:pStyle w:val="Heading2"/>
        <w:spacing w:before="300" w:after="120"/>
      </w:pPr>
      <w:r>
        <w:rPr>
          <w:rFonts w:ascii="Arial" w:cs="Arial" w:eastAsia="Arial" w:hAnsi="Arial"/>
          <w:b/>
          <w:bCs/>
          <w:color w:val="2E7D32"/>
          <w:sz w:val="28"/>
          <w:szCs w:val="28"/>
        </w:rPr>
        <w:t xml:space="preserve">9.3 Integración Interministerial</w:t>
      </w:r>
    </w:p>
    <w:p>
      <w:pPr>
        <w:pStyle w:val="ListParagraph"/>
        <w:numPr>
          <w:ilvl w:val="0"/>
          <w:numId w:val="11"/>
        </w:numPr>
        <w:spacing w:after="80"/>
        <w:jc w:val="both"/>
      </w:pPr>
      <w:r>
        <w:rPr>
          <w:rFonts w:ascii="Arial" w:cs="Arial" w:eastAsia="Arial" w:hAnsi="Arial"/>
          <w:b/>
          <w:bCs/>
          <w:color w:val="212121"/>
          <w:sz w:val="22"/>
          <w:szCs w:val="22"/>
        </w:rPr>
        <w:t xml:space="preserve">SAGyP + Ministerio de Salud: </w:t>
      </w:r>
      <w:r>
        <w:rPr>
          <w:rFonts w:ascii="Arial" w:cs="Arial" w:eastAsia="Arial" w:hAnsi="Arial"/>
          <w:color w:val="212121"/>
          <w:sz w:val="22"/>
          <w:szCs w:val="22"/>
        </w:rPr>
        <w:t xml:space="preserve">Rastrear mejoras de densidad nutricional en alimentos de origen PLANISV y correlacionar con métricas de salud en regiones participantes.</w:t>
      </w:r>
    </w:p>
    <w:p>
      <w:pPr>
        <w:pStyle w:val="ListParagraph"/>
        <w:numPr>
          <w:ilvl w:val="0"/>
          <w:numId w:val="11"/>
        </w:numPr>
        <w:spacing w:after="80"/>
        <w:jc w:val="both"/>
      </w:pPr>
      <w:r>
        <w:rPr>
          <w:rFonts w:ascii="Arial" w:cs="Arial" w:eastAsia="Arial" w:hAnsi="Arial"/>
          <w:b/>
          <w:bCs/>
          <w:color w:val="212121"/>
          <w:sz w:val="22"/>
          <w:szCs w:val="22"/>
        </w:rPr>
        <w:t xml:space="preserve">SAGyP + Ministerio de Ambiente: </w:t>
      </w:r>
      <w:r>
        <w:rPr>
          <w:rFonts w:ascii="Arial" w:cs="Arial" w:eastAsia="Arial" w:hAnsi="Arial"/>
          <w:color w:val="212121"/>
          <w:sz w:val="22"/>
          <w:szCs w:val="22"/>
        </w:rPr>
        <w:t xml:space="preserve">Integrar datos de carbono del suelo en reporte climático nacional (NDC). Coordinar con prevención de deforestación.</w:t>
      </w:r>
    </w:p>
    <w:p>
      <w:pPr>
        <w:pStyle w:val="ListParagraph"/>
        <w:numPr>
          <w:ilvl w:val="0"/>
          <w:numId w:val="11"/>
        </w:numPr>
        <w:spacing w:after="80"/>
        <w:jc w:val="both"/>
      </w:pPr>
      <w:r>
        <w:rPr>
          <w:rFonts w:ascii="Arial" w:cs="Arial" w:eastAsia="Arial" w:hAnsi="Arial"/>
          <w:b/>
          <w:bCs/>
          <w:color w:val="212121"/>
          <w:sz w:val="22"/>
          <w:szCs w:val="22"/>
        </w:rPr>
        <w:t xml:space="preserve">SAGyP + Ministerio de Desarrollo Social: </w:t>
      </w:r>
      <w:r>
        <w:rPr>
          <w:rFonts w:ascii="Arial" w:cs="Arial" w:eastAsia="Arial" w:hAnsi="Arial"/>
          <w:color w:val="212121"/>
          <w:sz w:val="22"/>
          <w:szCs w:val="22"/>
        </w:rPr>
        <w:t xml:space="preserve">Despliegues Nivel 4 en comunidades vulnerables como intervenciones de seguridad alimentaria y desarrollo económico.</w:t>
      </w:r>
    </w:p>
    <w:p>
      <w:pPr>
        <w:pStyle w:val="ListParagraph"/>
        <w:numPr>
          <w:ilvl w:val="0"/>
          <w:numId w:val="11"/>
        </w:numPr>
        <w:spacing w:after="80"/>
        <w:jc w:val="both"/>
      </w:pPr>
      <w:r>
        <w:rPr>
          <w:rFonts w:ascii="Arial" w:cs="Arial" w:eastAsia="Arial" w:hAnsi="Arial"/>
          <w:b/>
          <w:bCs/>
          <w:color w:val="212121"/>
          <w:sz w:val="22"/>
          <w:szCs w:val="22"/>
        </w:rPr>
        <w:t xml:space="preserve">SAGyP + Ministerio de Ciencia y Tecnología: </w:t>
      </w:r>
      <w:r>
        <w:rPr>
          <w:rFonts w:ascii="Arial" w:cs="Arial" w:eastAsia="Arial" w:hAnsi="Arial"/>
          <w:color w:val="212121"/>
          <w:sz w:val="22"/>
          <w:szCs w:val="22"/>
        </w:rPr>
        <w:t xml:space="preserve">Financiar I+D para manufactura nacional de tecnología y ciencia de biología del suelo.</w:t>
      </w:r>
    </w:p>
    <w:p>
      <w:pPr>
        <w:pStyle w:val="ListParagraph"/>
        <w:numPr>
          <w:ilvl w:val="0"/>
          <w:numId w:val="11"/>
        </w:numPr>
        <w:spacing w:after="80"/>
        <w:jc w:val="both"/>
      </w:pPr>
      <w:r>
        <w:rPr>
          <w:rFonts w:ascii="Arial" w:cs="Arial" w:eastAsia="Arial" w:hAnsi="Arial"/>
          <w:b/>
          <w:bCs/>
          <w:color w:val="212121"/>
          <w:sz w:val="22"/>
          <w:szCs w:val="22"/>
        </w:rPr>
        <w:t xml:space="preserve">SAGyP + Cancillería: </w:t>
      </w:r>
      <w:r>
        <w:rPr>
          <w:rFonts w:ascii="Arial" w:cs="Arial" w:eastAsia="Arial" w:hAnsi="Arial"/>
          <w:color w:val="212121"/>
          <w:sz w:val="22"/>
          <w:szCs w:val="22"/>
        </w:rPr>
        <w:t xml:space="preserve">Apalancar datos de PLANISV para negociaciones comerciales, diplomacia climática y posicionamiento internacional.</w:t>
      </w:r>
    </w:p>
    <w:p>
      <w:r>
        <w:br w:type="page"/>
      </w:r>
    </w:p>
    <w:p>
      <w:pPr>
        <w:pStyle w:val="Heading1"/>
        <w:spacing w:before="400" w:after="180"/>
      </w:pPr>
      <w:r>
        <w:rPr>
          <w:rFonts w:ascii="Arial" w:cs="Arial" w:eastAsia="Arial" w:hAnsi="Arial"/>
          <w:b/>
          <w:bCs/>
          <w:color w:val="0D47A1"/>
          <w:sz w:val="34"/>
          <w:szCs w:val="34"/>
        </w:rPr>
        <w:t xml:space="preserve">10. TABLERO NACIONAL DE SALUD DEL SUELO: MONITOREO DE INFRAESTRUCTURA EN TIEMPO REAL</w:t>
      </w:r>
    </w:p>
    <w:p>
      <w:pPr>
        <w:pStyle w:val="Heading2"/>
        <w:spacing w:before="300" w:after="120"/>
      </w:pPr>
      <w:r>
        <w:rPr>
          <w:rFonts w:ascii="Arial" w:cs="Arial" w:eastAsia="Arial" w:hAnsi="Arial"/>
          <w:b/>
          <w:bCs/>
          <w:color w:val="2E7D32"/>
          <w:sz w:val="28"/>
          <w:szCs w:val="28"/>
        </w:rPr>
        <w:t xml:space="preserve">10.1 Arquitectura</w:t>
      </w:r>
    </w:p>
    <w:p>
      <w:pPr>
        <w:spacing w:after="160" w:before="0"/>
        <w:jc w:val="both"/>
      </w:pPr>
      <w:r>
        <w:rPr>
          <w:rFonts w:ascii="Arial" w:cs="Arial" w:eastAsia="Arial" w:hAnsi="Arial"/>
          <w:b w:val="false"/>
          <w:bCs w:val="false"/>
          <w:i w:val="false"/>
          <w:iCs w:val="false"/>
          <w:color w:val="212121"/>
          <w:sz w:val="22"/>
          <w:szCs w:val="22"/>
        </w:rPr>
        <w:t xml:space="preserve">Ninguna infraestructura puede gestionarse sin visibilidad. PLANISV incluye el diseño de un Tablero Nacional de Salud del Suelo (TNSS) — una plataforma de datos públicamente accesible y en tiempo real que agrega métricas de salud del suelo de cada operación participante en una vista nacional, desagregada por provincia, agro-región y operación individual. Es el equivalente de los indicadores económicos del BCRA, pero para el suelo.</w:t>
      </w:r>
    </w:p>
    <w:p>
      <w:pPr>
        <w:pStyle w:val="Heading2"/>
        <w:spacing w:before="300" w:after="120"/>
      </w:pPr>
      <w:r>
        <w:rPr>
          <w:rFonts w:ascii="Arial" w:cs="Arial" w:eastAsia="Arial" w:hAnsi="Arial"/>
          <w:b/>
          <w:bCs/>
          <w:color w:val="2E7D32"/>
          <w:sz w:val="28"/>
          <w:szCs w:val="28"/>
        </w:rPr>
        <w:t xml:space="preserve">10.2 Capas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DBDBD" w:sz="1"/>
              <w:left w:val="single" w:color="BDBDBD" w:sz="1"/>
              <w:bottom w:val="single" w:color="BDBDBD" w:sz="1"/>
              <w:right w:val="single" w:color="BDBDBD" w:sz="1"/>
            </w:tcBorders>
            <w:shd w:fill="0069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Capa de Datos</w:t>
            </w:r>
          </w:p>
        </w:tc>
        <w:tc>
          <w:tcPr>
            <w:tcW w:type="dxa" w:w="3510"/>
            <w:tcBorders>
              <w:top w:val="single" w:color="BDBDBD" w:sz="1"/>
              <w:left w:val="single" w:color="BDBDBD" w:sz="1"/>
              <w:bottom w:val="single" w:color="BDBDBD" w:sz="1"/>
              <w:right w:val="single" w:color="BDBDBD" w:sz="1"/>
            </w:tcBorders>
            <w:shd w:fill="00695C" w:val="clear"/>
            <w:tcMar>
              <w:top w:type="dxa" w:w="100"/>
              <w:left w:type="dxa" w:w="140"/>
              <w:bottom w:type="dxa" w:w="100"/>
              <w:right w:type="dxa" w:w="140"/>
            </w:tcMar>
            <w:vAlign w:val="center"/>
          </w:tcPr>
          <w:p>
            <w:r>
              <w:rPr>
                <w:rFonts w:ascii="Arial" w:cs="Arial" w:eastAsia="Arial" w:hAnsi="Arial"/>
                <w:b/>
                <w:bCs/>
                <w:color w:val="FFFFFF"/>
                <w:sz w:val="20"/>
                <w:szCs w:val="20"/>
              </w:rPr>
              <w:t xml:space="preserve">Métricas</w:t>
            </w:r>
          </w:p>
        </w:tc>
        <w:tc>
          <w:tcPr>
            <w:tcW w:type="dxa" w:w="3510"/>
            <w:tcBorders>
              <w:top w:val="single" w:color="BDBDBD" w:sz="1"/>
              <w:left w:val="single" w:color="BDBDBD" w:sz="1"/>
              <w:bottom w:val="single" w:color="BDBDBD" w:sz="1"/>
              <w:right w:val="single" w:color="BDBDBD" w:sz="1"/>
            </w:tcBorders>
            <w:shd w:fill="0069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Fuente y Método</w:t>
            </w:r>
          </w:p>
        </w:tc>
      </w:tr>
      <w:tr>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Índice Biológico</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Biomasa microbiana (recuento de bacterias, hongos, protozoos/gramo); relación hongos:bacterias; índice de diversidad biológica</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Microscopía a nivel de sitio (400x+); análisis de laboratorio; evaluaciones bio-anuales vía estaciones INTA</w:t>
            </w:r>
          </w:p>
        </w:tc>
      </w:tr>
      <w:tr>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Índice de Carbono</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MOS %; COS toneladas/ha; tasa anual de secuestro; CO₂e acumulado almacenado</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Testeo estándar de suelo (0–30 cm); muestreo anual; verificación por terceros para sitios de créditos de carbono</w:t>
            </w:r>
          </w:p>
        </w:tc>
      </w:tr>
      <w:tr>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Índice Hídrico</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Capacidad de retención de agua del suelo; tasa de infiltración; OD de riego (ppm); eficiencia de uso del agua</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Testeo gravimétrico; anillos de infiltración; medidores de OD en línea; monitoreo de caudal</w:t>
            </w:r>
          </w:p>
        </w:tc>
      </w:tr>
      <w:tr>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Índice de Dependencia Química</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Fertilizante sintético (kg/ha); plaguicidas/fungicidas (L/ha); tendencias de herbicidas; seguimiento específico de glifosato</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Registros de insumos del productor; verificación de compras; auditorías anuales</w:t>
            </w:r>
          </w:p>
        </w:tc>
      </w:tr>
      <w:tr>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Índice Económico</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Costo operativo por hectárea; ingreso por hectárea; pagos del programa; ingresos por carbono; ingresos por prima de exportación</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Datos financieros del productor; registros de pagos del programa; datos de registros de carbono</w:t>
            </w:r>
          </w:p>
        </w:tc>
      </w:tr>
      <w:tr>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Índice de Nutrientes</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Balance de extracción vs. reposición de nutrientes (NPK + micronutrientes); seguimiento de déficit de fósforo</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Testeo de suelo; cálculos de exportación de nutrientes por cosecha; registros de insumos</w:t>
            </w:r>
          </w:p>
        </w:tc>
      </w:tr>
      <w:tr>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Índice de Trazabilidad</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Estado de cumplimiento EUDR; niveles de residuos químicos; estado de certificación regenerativa; huella de carbono por tonelada</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Auditorías de certificación; testeo de residuos; agregación de datos del Tablero para documentación de exportación</w:t>
            </w:r>
          </w:p>
        </w:tc>
      </w:tr>
    </w:tbl>
    <w:p>
      <w:pPr>
        <w:spacing w:after="80"/>
      </w:pPr>
    </w:p>
    <w:p>
      <w:pPr>
        <w:pStyle w:val="Heading2"/>
        <w:spacing w:before="300" w:after="120"/>
      </w:pPr>
      <w:r>
        <w:rPr>
          <w:rFonts w:ascii="Arial" w:cs="Arial" w:eastAsia="Arial" w:hAnsi="Arial"/>
          <w:b/>
          <w:bCs/>
          <w:color w:val="2E7D32"/>
          <w:sz w:val="28"/>
          <w:szCs w:val="28"/>
        </w:rPr>
        <w:t xml:space="preserve">10.3 Índice Nacional de Salud del Suelo (INSS)</w:t>
      </w:r>
    </w:p>
    <w:p>
      <w:pPr>
        <w:spacing w:after="160" w:before="0"/>
        <w:jc w:val="both"/>
      </w:pPr>
      <w:r>
        <w:rPr>
          <w:rFonts w:ascii="Arial" w:cs="Arial" w:eastAsia="Arial" w:hAnsi="Arial"/>
          <w:b w:val="false"/>
          <w:bCs w:val="false"/>
          <w:i w:val="false"/>
          <w:iCs w:val="false"/>
          <w:color w:val="212121"/>
          <w:sz w:val="22"/>
          <w:szCs w:val="22"/>
        </w:rPr>
        <w:t xml:space="preserve">Un índice nacional compuesto, actualizado anualmente, que representa la condición agregada del suelo agrícola argentino:</w:t>
      </w:r>
    </w:p>
    <w:p>
      <w:pPr>
        <w:pStyle w:val="ListParagraph"/>
        <w:numPr>
          <w:ilvl w:val="0"/>
          <w:numId w:val="12"/>
        </w:numPr>
        <w:spacing w:after="80"/>
        <w:jc w:val="both"/>
      </w:pPr>
      <w:r>
        <w:rPr>
          <w:rFonts w:ascii="Arial" w:cs="Arial" w:eastAsia="Arial" w:hAnsi="Arial"/>
          <w:color w:val="212121"/>
          <w:sz w:val="22"/>
          <w:szCs w:val="22"/>
        </w:rPr>
        <w:t xml:space="preserve">Salud Biológica (25%): tendencias de biomasa y diversidad microbiana</w:t>
      </w:r>
    </w:p>
    <w:p>
      <w:pPr>
        <w:pStyle w:val="ListParagraph"/>
        <w:numPr>
          <w:ilvl w:val="0"/>
          <w:numId w:val="12"/>
        </w:numPr>
        <w:spacing w:after="80"/>
        <w:jc w:val="both"/>
      </w:pPr>
      <w:r>
        <w:rPr>
          <w:rFonts w:ascii="Arial" w:cs="Arial" w:eastAsia="Arial" w:hAnsi="Arial"/>
          <w:color w:val="212121"/>
          <w:sz w:val="22"/>
          <w:szCs w:val="22"/>
        </w:rPr>
        <w:t xml:space="preserve">Capital de Carbono (25%): tendencias de MOS y tasas de secuestro</w:t>
      </w:r>
    </w:p>
    <w:p>
      <w:pPr>
        <w:pStyle w:val="ListParagraph"/>
        <w:numPr>
          <w:ilvl w:val="0"/>
          <w:numId w:val="12"/>
        </w:numPr>
        <w:spacing w:after="80"/>
        <w:jc w:val="both"/>
      </w:pPr>
      <w:r>
        <w:rPr>
          <w:rFonts w:ascii="Arial" w:cs="Arial" w:eastAsia="Arial" w:hAnsi="Arial"/>
          <w:color w:val="212121"/>
          <w:sz w:val="22"/>
          <w:szCs w:val="22"/>
        </w:rPr>
        <w:t xml:space="preserve">Función Hídrica (20%): capacidad de retención de agua e infiltración</w:t>
      </w:r>
    </w:p>
    <w:p>
      <w:pPr>
        <w:pStyle w:val="ListParagraph"/>
        <w:numPr>
          <w:ilvl w:val="0"/>
          <w:numId w:val="12"/>
        </w:numPr>
        <w:spacing w:after="80"/>
        <w:jc w:val="both"/>
      </w:pPr>
      <w:r>
        <w:rPr>
          <w:rFonts w:ascii="Arial" w:cs="Arial" w:eastAsia="Arial" w:hAnsi="Arial"/>
          <w:color w:val="212121"/>
          <w:sz w:val="22"/>
          <w:szCs w:val="22"/>
        </w:rPr>
        <w:t xml:space="preserve">Independencia Química (15%): tendencias de dependencia de insumos sintéticos</w:t>
      </w:r>
    </w:p>
    <w:p>
      <w:pPr>
        <w:pStyle w:val="ListParagraph"/>
        <w:numPr>
          <w:ilvl w:val="0"/>
          <w:numId w:val="12"/>
        </w:numPr>
        <w:spacing w:after="80"/>
        <w:jc w:val="both"/>
      </w:pPr>
      <w:r>
        <w:rPr>
          <w:rFonts w:ascii="Arial" w:cs="Arial" w:eastAsia="Arial" w:hAnsi="Arial"/>
          <w:color w:val="212121"/>
          <w:sz w:val="22"/>
          <w:szCs w:val="22"/>
        </w:rPr>
        <w:t xml:space="preserve">Balance de Nutrientes (10%): equilibrio de extracción vs. reposición</w:t>
      </w:r>
    </w:p>
    <w:p>
      <w:pPr>
        <w:pStyle w:val="ListParagraph"/>
        <w:numPr>
          <w:ilvl w:val="0"/>
          <w:numId w:val="12"/>
        </w:numPr>
        <w:spacing w:after="80"/>
        <w:jc w:val="both"/>
      </w:pPr>
      <w:r>
        <w:rPr>
          <w:rFonts w:ascii="Arial" w:cs="Arial" w:eastAsia="Arial" w:hAnsi="Arial"/>
          <w:color w:val="212121"/>
          <w:sz w:val="22"/>
          <w:szCs w:val="22"/>
        </w:rPr>
        <w:t xml:space="preserve">Preparación Exportadora (5%): estado de cumplimiento y certificación</w:t>
      </w:r>
    </w:p>
    <w:p>
      <w:pPr>
        <w:spacing w:after="160" w:before="0"/>
        <w:jc w:val="both"/>
      </w:pPr>
      <w:r>
        <w:rPr>
          <w:rFonts w:ascii="Arial" w:cs="Arial" w:eastAsia="Arial" w:hAnsi="Arial"/>
          <w:b w:val="false"/>
          <w:bCs w:val="false"/>
          <w:i w:val="false"/>
          <w:iCs w:val="false"/>
          <w:color w:val="212121"/>
          <w:sz w:val="22"/>
          <w:szCs w:val="22"/>
        </w:rPr>
        <w:t xml:space="preserve">El INSS provee un número único y comunicable sobre si la infraestructura de suelo de Argentina está mejorando o declinando — y a qué ritmo. Se convierte en la métrica que gobierna decisiones de política, asignaciones presupuestarias y reporte internacional.</w:t>
      </w:r>
    </w:p>
    <w:p>
      <w:r>
        <w:br w:type="page"/>
      </w:r>
    </w:p>
    <w:p>
      <w:pPr>
        <w:pStyle w:val="Heading1"/>
        <w:spacing w:before="400" w:after="180"/>
      </w:pPr>
      <w:r>
        <w:rPr>
          <w:rFonts w:ascii="Arial" w:cs="Arial" w:eastAsia="Arial" w:hAnsi="Arial"/>
          <w:b/>
          <w:bCs/>
          <w:color w:val="0D47A1"/>
          <w:sz w:val="34"/>
          <w:szCs w:val="34"/>
        </w:rPr>
        <w:t xml:space="preserve">11. HOJA DE RUTA DE IMPLEMENTACIÓN</w:t>
      </w:r>
    </w:p>
    <w:p>
      <w:pPr>
        <w:pStyle w:val="Heading2"/>
        <w:spacing w:before="300" w:after="120"/>
      </w:pPr>
      <w:r>
        <w:rPr>
          <w:rFonts w:ascii="Arial" w:cs="Arial" w:eastAsia="Arial" w:hAnsi="Arial"/>
          <w:b/>
          <w:bCs/>
          <w:color w:val="2E7D32"/>
          <w:sz w:val="28"/>
          <w:szCs w:val="28"/>
        </w:rPr>
        <w:t xml:space="preserve">11.1 Fase 1 — Cimentar (Meses 0–12)</w:t>
      </w:r>
    </w:p>
    <w:p>
      <w:pPr>
        <w:spacing w:after="160" w:before="0"/>
        <w:jc w:val="both"/>
      </w:pPr>
      <w:r>
        <w:rPr>
          <w:rFonts w:ascii="Arial" w:cs="Arial" w:eastAsia="Arial" w:hAnsi="Arial"/>
          <w:b w:val="false"/>
          <w:bCs w:val="false"/>
          <w:i/>
          <w:iCs/>
          <w:color w:val="212121"/>
          <w:sz w:val="22"/>
          <w:szCs w:val="22"/>
        </w:rPr>
        <w:t xml:space="preserve">Objetivo: Desplegar infraestructura de demostración, generar datos de línea base y construir capacidad institucional.</w:t>
      </w:r>
    </w:p>
    <w:p>
      <w:pPr>
        <w:pStyle w:val="ListParagraph"/>
        <w:numPr>
          <w:ilvl w:val="0"/>
          <w:numId w:val="13"/>
        </w:numPr>
        <w:spacing w:after="100"/>
        <w:jc w:val="both"/>
      </w:pPr>
      <w:r>
        <w:rPr>
          <w:rFonts w:ascii="Arial" w:cs="Arial" w:eastAsia="Arial" w:hAnsi="Arial"/>
          <w:color w:val="212121"/>
          <w:sz w:val="22"/>
          <w:szCs w:val="22"/>
        </w:rPr>
        <w:t xml:space="preserve">Establecer la Oficina de Programa PLANISV dentro de SAGyP, con INTA como líder operativo.</w:t>
      </w:r>
    </w:p>
    <w:p>
      <w:pPr>
        <w:pStyle w:val="ListParagraph"/>
        <w:numPr>
          <w:ilvl w:val="0"/>
          <w:numId w:val="13"/>
        </w:numPr>
        <w:spacing w:after="100"/>
        <w:jc w:val="both"/>
      </w:pPr>
      <w:r>
        <w:rPr>
          <w:rFonts w:ascii="Arial" w:cs="Arial" w:eastAsia="Arial" w:hAnsi="Arial"/>
          <w:color w:val="212121"/>
          <w:sz w:val="22"/>
          <w:szCs w:val="22"/>
        </w:rPr>
        <w:t xml:space="preserve">Desplegar 50 sitios de demostración Nivel 1 en 6 agro-regiones prioritarias, cada uno con stack tecnológico completo Biología + Agua e instrumentación MRV.</w:t>
      </w:r>
    </w:p>
    <w:p>
      <w:pPr>
        <w:pStyle w:val="ListParagraph"/>
        <w:numPr>
          <w:ilvl w:val="0"/>
          <w:numId w:val="13"/>
        </w:numPr>
        <w:spacing w:after="100"/>
        <w:jc w:val="both"/>
      </w:pPr>
      <w:r>
        <w:rPr>
          <w:rFonts w:ascii="Arial" w:cs="Arial" w:eastAsia="Arial" w:hAnsi="Arial"/>
          <w:color w:val="212121"/>
          <w:sz w:val="22"/>
          <w:szCs w:val="22"/>
        </w:rPr>
        <w:t xml:space="preserve">Realizar muestreo de línea base del Censo Nacional de Suelo Vivo en todas las Estaciones Experimentales de INTA.</w:t>
      </w:r>
    </w:p>
    <w:p>
      <w:pPr>
        <w:pStyle w:val="ListParagraph"/>
        <w:numPr>
          <w:ilvl w:val="0"/>
          <w:numId w:val="13"/>
        </w:numPr>
        <w:spacing w:after="100"/>
        <w:jc w:val="both"/>
      </w:pPr>
      <w:r>
        <w:rPr>
          <w:rFonts w:ascii="Arial" w:cs="Arial" w:eastAsia="Arial" w:hAnsi="Arial"/>
          <w:color w:val="212121"/>
          <w:sz w:val="22"/>
          <w:szCs w:val="22"/>
        </w:rPr>
        <w:t xml:space="preserve">Desarrollar especificaciones técnicas de desempeño y protocolo de certificación INTI para equipamiento aprobado.</w:t>
      </w:r>
    </w:p>
    <w:p>
      <w:pPr>
        <w:pStyle w:val="ListParagraph"/>
        <w:numPr>
          <w:ilvl w:val="0"/>
          <w:numId w:val="13"/>
        </w:numPr>
        <w:spacing w:after="100"/>
        <w:jc w:val="both"/>
      </w:pPr>
      <w:r>
        <w:rPr>
          <w:rFonts w:ascii="Arial" w:cs="Arial" w:eastAsia="Arial" w:hAnsi="Arial"/>
          <w:color w:val="212121"/>
          <w:sz w:val="22"/>
          <w:szCs w:val="22"/>
        </w:rPr>
        <w:t xml:space="preserve">Capacitar a 300+ extensionistas de INTA, personal técnico provincial y líderes de grupos CREA en operación de sistemas y monitoreo.</w:t>
      </w:r>
    </w:p>
    <w:p>
      <w:pPr>
        <w:pStyle w:val="ListParagraph"/>
        <w:numPr>
          <w:ilvl w:val="0"/>
          <w:numId w:val="13"/>
        </w:numPr>
        <w:spacing w:after="100"/>
        <w:jc w:val="both"/>
      </w:pPr>
      <w:r>
        <w:rPr>
          <w:rFonts w:ascii="Arial" w:cs="Arial" w:eastAsia="Arial" w:hAnsi="Arial"/>
          <w:color w:val="212121"/>
          <w:sz w:val="22"/>
          <w:szCs w:val="22"/>
        </w:rPr>
        <w:t xml:space="preserve">Lanzar el Tablero Nacional de Salud del Suelo (beta) con datos iniciales de los sitios piloto.</w:t>
      </w:r>
    </w:p>
    <w:p>
      <w:pPr>
        <w:pStyle w:val="ListParagraph"/>
        <w:numPr>
          <w:ilvl w:val="0"/>
          <w:numId w:val="13"/>
        </w:numPr>
        <w:spacing w:after="100"/>
        <w:jc w:val="both"/>
      </w:pPr>
      <w:r>
        <w:rPr>
          <w:rFonts w:ascii="Arial" w:cs="Arial" w:eastAsia="Arial" w:hAnsi="Arial"/>
          <w:color w:val="212121"/>
          <w:sz w:val="22"/>
          <w:szCs w:val="22"/>
        </w:rPr>
        <w:t xml:space="preserve">Iniciar solicitudes de financiamiento internacional (GCF, BID, Banco Mundial) con datos de Fase 1.</w:t>
      </w:r>
    </w:p>
    <w:p>
      <w:pPr>
        <w:pStyle w:val="ListParagraph"/>
        <w:numPr>
          <w:ilvl w:val="0"/>
          <w:numId w:val="13"/>
        </w:numPr>
        <w:spacing w:after="100"/>
        <w:jc w:val="both"/>
      </w:pPr>
      <w:r>
        <w:rPr>
          <w:rFonts w:ascii="Arial" w:cs="Arial" w:eastAsia="Arial" w:hAnsi="Arial"/>
          <w:color w:val="212121"/>
          <w:sz w:val="22"/>
          <w:szCs w:val="22"/>
        </w:rPr>
        <w:t xml:space="preserve">Iniciar la propuesta de reestructuración de retenciones para capitalizar el Fondo Nacional de Suelo Vivo.</w:t>
      </w:r>
    </w:p>
    <w:p>
      <w:pPr>
        <w:pStyle w:val="Heading2"/>
        <w:spacing w:before="300" w:after="120"/>
      </w:pPr>
      <w:r>
        <w:rPr>
          <w:rFonts w:ascii="Arial" w:cs="Arial" w:eastAsia="Arial" w:hAnsi="Arial"/>
          <w:b/>
          <w:bCs/>
          <w:color w:val="2E7D32"/>
          <w:sz w:val="28"/>
          <w:szCs w:val="28"/>
        </w:rPr>
        <w:t xml:space="preserve">11.2 Fase 2 — Regionalizar (Meses 12–36)</w:t>
      </w:r>
    </w:p>
    <w:p>
      <w:pPr>
        <w:spacing w:after="160" w:before="0"/>
        <w:jc w:val="both"/>
      </w:pPr>
      <w:r>
        <w:rPr>
          <w:rFonts w:ascii="Arial" w:cs="Arial" w:eastAsia="Arial" w:hAnsi="Arial"/>
          <w:b w:val="false"/>
          <w:bCs w:val="false"/>
          <w:i/>
          <w:iCs/>
          <w:color w:val="212121"/>
          <w:sz w:val="22"/>
          <w:szCs w:val="22"/>
        </w:rPr>
        <w:t xml:space="preserve">Objetivo: Escalar a la red de centros regionales, activar pagos por resultados y generar prueba a escala estadística.</w:t>
      </w:r>
    </w:p>
    <w:p>
      <w:pPr>
        <w:pStyle w:val="ListParagraph"/>
        <w:numPr>
          <w:ilvl w:val="0"/>
          <w:numId w:val="14"/>
        </w:numPr>
        <w:spacing w:after="100"/>
        <w:jc w:val="both"/>
      </w:pPr>
      <w:r>
        <w:rPr>
          <w:rFonts w:ascii="Arial" w:cs="Arial" w:eastAsia="Arial" w:hAnsi="Arial"/>
          <w:color w:val="212121"/>
          <w:sz w:val="22"/>
          <w:szCs w:val="22"/>
        </w:rPr>
        <w:t xml:space="preserve">Escalar a 300 sitios de centros regionales Nivel 2 en zonas prioritarias.</w:t>
      </w:r>
    </w:p>
    <w:p>
      <w:pPr>
        <w:pStyle w:val="ListParagraph"/>
        <w:numPr>
          <w:ilvl w:val="0"/>
          <w:numId w:val="14"/>
        </w:numPr>
        <w:spacing w:after="100"/>
        <w:jc w:val="both"/>
      </w:pPr>
      <w:r>
        <w:rPr>
          <w:rFonts w:ascii="Arial" w:cs="Arial" w:eastAsia="Arial" w:hAnsi="Arial"/>
          <w:color w:val="212121"/>
          <w:sz w:val="22"/>
          <w:szCs w:val="22"/>
        </w:rPr>
        <w:t xml:space="preserve">Activar Pagos por Resultados (PPR) a través del Fondo Nacional.</w:t>
      </w:r>
    </w:p>
    <w:p>
      <w:pPr>
        <w:pStyle w:val="ListParagraph"/>
        <w:numPr>
          <w:ilvl w:val="0"/>
          <w:numId w:val="14"/>
        </w:numPr>
        <w:spacing w:after="100"/>
        <w:jc w:val="both"/>
      </w:pPr>
      <w:r>
        <w:rPr>
          <w:rFonts w:ascii="Arial" w:cs="Arial" w:eastAsia="Arial" w:hAnsi="Arial"/>
          <w:color w:val="212121"/>
          <w:sz w:val="22"/>
          <w:szCs w:val="22"/>
        </w:rPr>
        <w:t xml:space="preserve">Lanzar el programa de acceso comunitario Nivel 4 (objetivo: 1.000 sitios al final de Fase 2).</w:t>
      </w:r>
    </w:p>
    <w:p>
      <w:pPr>
        <w:pStyle w:val="ListParagraph"/>
        <w:numPr>
          <w:ilvl w:val="0"/>
          <w:numId w:val="14"/>
        </w:numPr>
        <w:spacing w:after="100"/>
        <w:jc w:val="both"/>
      </w:pPr>
      <w:r>
        <w:rPr>
          <w:rFonts w:ascii="Arial" w:cs="Arial" w:eastAsia="Arial" w:hAnsi="Arial"/>
          <w:color w:val="212121"/>
          <w:sz w:val="22"/>
          <w:szCs w:val="22"/>
        </w:rPr>
        <w:t xml:space="preserve">Establecer alianzas de manufactura nacional para tecnología aprobada (objetivo: 50% de contenido nacional).</w:t>
      </w:r>
    </w:p>
    <w:p>
      <w:pPr>
        <w:pStyle w:val="ListParagraph"/>
        <w:numPr>
          <w:ilvl w:val="0"/>
          <w:numId w:val="14"/>
        </w:numPr>
        <w:spacing w:after="100"/>
        <w:jc w:val="both"/>
      </w:pPr>
      <w:r>
        <w:rPr>
          <w:rFonts w:ascii="Arial" w:cs="Arial" w:eastAsia="Arial" w:hAnsi="Arial"/>
          <w:color w:val="212121"/>
          <w:sz w:val="22"/>
          <w:szCs w:val="22"/>
        </w:rPr>
        <w:t xml:space="preserve">Publicar el primer Informe Nacional Anual de Salud del Suelo con resultados verificados por terceros.</w:t>
      </w:r>
    </w:p>
    <w:p>
      <w:pPr>
        <w:pStyle w:val="ListParagraph"/>
        <w:numPr>
          <w:ilvl w:val="0"/>
          <w:numId w:val="14"/>
        </w:numPr>
        <w:spacing w:after="100"/>
        <w:jc w:val="both"/>
      </w:pPr>
      <w:r>
        <w:rPr>
          <w:rFonts w:ascii="Arial" w:cs="Arial" w:eastAsia="Arial" w:hAnsi="Arial"/>
          <w:color w:val="212121"/>
          <w:sz w:val="22"/>
          <w:szCs w:val="22"/>
        </w:rPr>
        <w:t xml:space="preserve">Iniciar registro de protocolo de créditos de carbono con registros internacionales.</w:t>
      </w:r>
    </w:p>
    <w:p>
      <w:pPr>
        <w:pStyle w:val="ListParagraph"/>
        <w:numPr>
          <w:ilvl w:val="0"/>
          <w:numId w:val="14"/>
        </w:numPr>
        <w:spacing w:after="100"/>
        <w:jc w:val="both"/>
      </w:pPr>
      <w:r>
        <w:rPr>
          <w:rFonts w:ascii="Arial" w:cs="Arial" w:eastAsia="Arial" w:hAnsi="Arial"/>
          <w:color w:val="212121"/>
          <w:sz w:val="22"/>
          <w:szCs w:val="22"/>
        </w:rPr>
        <w:t xml:space="preserve">Establecer 6 Centros de Excelencia regionales en facultades de agronomía universitarias.</w:t>
      </w:r>
    </w:p>
    <w:p>
      <w:pPr>
        <w:pStyle w:val="ListParagraph"/>
        <w:numPr>
          <w:ilvl w:val="0"/>
          <w:numId w:val="14"/>
        </w:numPr>
        <w:spacing w:after="100"/>
        <w:jc w:val="both"/>
      </w:pPr>
      <w:r>
        <w:rPr>
          <w:rFonts w:ascii="Arial" w:cs="Arial" w:eastAsia="Arial" w:hAnsi="Arial"/>
          <w:color w:val="212121"/>
          <w:sz w:val="22"/>
          <w:szCs w:val="22"/>
        </w:rPr>
        <w:t xml:space="preserve">Iniciar piloto de cumplimiento EUDR con 100+ operaciones exportadoras participantes.</w:t>
      </w:r>
    </w:p>
    <w:p>
      <w:pPr>
        <w:pStyle w:val="Heading2"/>
        <w:spacing w:before="300" w:after="120"/>
      </w:pPr>
      <w:r>
        <w:rPr>
          <w:rFonts w:ascii="Arial" w:cs="Arial" w:eastAsia="Arial" w:hAnsi="Arial"/>
          <w:b/>
          <w:bCs/>
          <w:color w:val="2E7D32"/>
          <w:sz w:val="28"/>
          <w:szCs w:val="28"/>
        </w:rPr>
        <w:t xml:space="preserve">11.3 Fase 3 — Escalar (Meses 36–72)</w:t>
      </w:r>
    </w:p>
    <w:p>
      <w:pPr>
        <w:spacing w:after="160" w:before="0"/>
        <w:jc w:val="both"/>
      </w:pPr>
      <w:r>
        <w:rPr>
          <w:rFonts w:ascii="Arial" w:cs="Arial" w:eastAsia="Arial" w:hAnsi="Arial"/>
          <w:b w:val="false"/>
          <w:bCs w:val="false"/>
          <w:i/>
          <w:iCs/>
          <w:color w:val="212121"/>
          <w:sz w:val="22"/>
          <w:szCs w:val="22"/>
        </w:rPr>
        <w:t xml:space="preserve">Objetivo: Despliegue nacional completo, activación del mercado de carbono, cumplimiento UE a escala e institucionalización del programa.</w:t>
      </w:r>
    </w:p>
    <w:p>
      <w:pPr>
        <w:pStyle w:val="ListParagraph"/>
        <w:numPr>
          <w:ilvl w:val="0"/>
          <w:numId w:val="15"/>
        </w:numPr>
        <w:spacing w:after="100"/>
        <w:jc w:val="both"/>
      </w:pPr>
      <w:r>
        <w:rPr>
          <w:rFonts w:ascii="Arial" w:cs="Arial" w:eastAsia="Arial" w:hAnsi="Arial"/>
          <w:color w:val="212121"/>
          <w:sz w:val="22"/>
          <w:szCs w:val="22"/>
        </w:rPr>
        <w:t xml:space="preserve">Escalar a 1.000+ operaciones comerciales Nivel 3 y 5.000+ sitios comunitarios Nivel 4.</w:t>
      </w:r>
    </w:p>
    <w:p>
      <w:pPr>
        <w:pStyle w:val="ListParagraph"/>
        <w:numPr>
          <w:ilvl w:val="0"/>
          <w:numId w:val="15"/>
        </w:numPr>
        <w:spacing w:after="100"/>
        <w:jc w:val="both"/>
      </w:pPr>
      <w:r>
        <w:rPr>
          <w:rFonts w:ascii="Arial" w:cs="Arial" w:eastAsia="Arial" w:hAnsi="Arial"/>
          <w:color w:val="212121"/>
          <w:sz w:val="22"/>
          <w:szCs w:val="22"/>
        </w:rPr>
        <w:t xml:space="preserve">Lanzar el Mercado Argentino de Carbono Agroecológico con créditos verificados por el Estado.</w:t>
      </w:r>
    </w:p>
    <w:p>
      <w:pPr>
        <w:pStyle w:val="ListParagraph"/>
        <w:numPr>
          <w:ilvl w:val="0"/>
          <w:numId w:val="15"/>
        </w:numPr>
        <w:spacing w:after="100"/>
        <w:jc w:val="both"/>
      </w:pPr>
      <w:r>
        <w:rPr>
          <w:rFonts w:ascii="Arial" w:cs="Arial" w:eastAsia="Arial" w:hAnsi="Arial"/>
          <w:color w:val="212121"/>
          <w:sz w:val="22"/>
          <w:szCs w:val="22"/>
        </w:rPr>
        <w:t xml:space="preserve">Alcanzar 70%+ de manufactura nacional de equipamiento del programa.</w:t>
      </w:r>
    </w:p>
    <w:p>
      <w:pPr>
        <w:pStyle w:val="ListParagraph"/>
        <w:numPr>
          <w:ilvl w:val="0"/>
          <w:numId w:val="15"/>
        </w:numPr>
        <w:spacing w:after="100"/>
        <w:jc w:val="both"/>
      </w:pPr>
      <w:r>
        <w:rPr>
          <w:rFonts w:ascii="Arial" w:cs="Arial" w:eastAsia="Arial" w:hAnsi="Arial"/>
          <w:color w:val="212121"/>
          <w:sz w:val="22"/>
          <w:szCs w:val="22"/>
        </w:rPr>
        <w:t xml:space="preserve">Infraestructura de cumplimiento EUDR completa y operativa para el 50%+ de las exportaciones agrícolas a la UE.</w:t>
      </w:r>
    </w:p>
    <w:p>
      <w:pPr>
        <w:pStyle w:val="ListParagraph"/>
        <w:numPr>
          <w:ilvl w:val="0"/>
          <w:numId w:val="15"/>
        </w:numPr>
        <w:spacing w:after="100"/>
        <w:jc w:val="both"/>
      </w:pPr>
      <w:r>
        <w:rPr>
          <w:rFonts w:ascii="Arial" w:cs="Arial" w:eastAsia="Arial" w:hAnsi="Arial"/>
          <w:color w:val="212121"/>
          <w:sz w:val="22"/>
          <w:szCs w:val="22"/>
        </w:rPr>
        <w:t xml:space="preserve">Integrar métricas de salud del suelo en seguros de cosecha y evaluaciones de riesgo bancario.</w:t>
      </w:r>
    </w:p>
    <w:p>
      <w:pPr>
        <w:pStyle w:val="ListParagraph"/>
        <w:numPr>
          <w:ilvl w:val="0"/>
          <w:numId w:val="15"/>
        </w:numPr>
        <w:spacing w:after="100"/>
        <w:jc w:val="both"/>
      </w:pPr>
      <w:r>
        <w:rPr>
          <w:rFonts w:ascii="Arial" w:cs="Arial" w:eastAsia="Arial" w:hAnsi="Arial"/>
          <w:color w:val="212121"/>
          <w:sz w:val="22"/>
          <w:szCs w:val="22"/>
        </w:rPr>
        <w:t xml:space="preserve">Publicar el Índice Nacional de Salud del Suelo (INSS) como indicador nacional estándar.</w:t>
      </w:r>
    </w:p>
    <w:p>
      <w:pPr>
        <w:pStyle w:val="ListParagraph"/>
        <w:numPr>
          <w:ilvl w:val="0"/>
          <w:numId w:val="15"/>
        </w:numPr>
        <w:spacing w:after="100"/>
        <w:jc w:val="both"/>
      </w:pPr>
      <w:r>
        <w:rPr>
          <w:rFonts w:ascii="Arial" w:cs="Arial" w:eastAsia="Arial" w:hAnsi="Arial"/>
          <w:color w:val="212121"/>
          <w:sz w:val="22"/>
          <w:szCs w:val="22"/>
        </w:rPr>
        <w:t xml:space="preserve">Lograr resultados medibles: objetivo de +1,5% de MOS en operaciones participantes, −30% de insumos químicos, +25% de eficiencia hídrica.</w:t>
      </w:r>
    </w:p>
    <w:p>
      <w:pPr>
        <w:pStyle w:val="Heading2"/>
        <w:spacing w:before="300" w:after="120"/>
      </w:pPr>
      <w:r>
        <w:rPr>
          <w:rFonts w:ascii="Arial" w:cs="Arial" w:eastAsia="Arial" w:hAnsi="Arial"/>
          <w:b/>
          <w:bCs/>
          <w:color w:val="2E7D32"/>
          <w:sz w:val="28"/>
          <w:szCs w:val="28"/>
        </w:rPr>
        <w:t xml:space="preserve">11.4 Fase 4 — Transformar (Años 6–15)</w:t>
      </w:r>
    </w:p>
    <w:p>
      <w:pPr>
        <w:spacing w:after="160" w:before="0"/>
        <w:jc w:val="both"/>
      </w:pPr>
      <w:r>
        <w:rPr>
          <w:rFonts w:ascii="Arial" w:cs="Arial" w:eastAsia="Arial" w:hAnsi="Arial"/>
          <w:b w:val="false"/>
          <w:bCs w:val="false"/>
          <w:i/>
          <w:iCs/>
          <w:color w:val="212121"/>
          <w:sz w:val="22"/>
          <w:szCs w:val="22"/>
        </w:rPr>
        <w:t xml:space="preserve">Objetivo: La agricultura argentina transiciona a sumidero neto de carbono; PLANISV se autofinancia; Argentina lidera la salud global del suelo.</w:t>
      </w:r>
    </w:p>
    <w:p>
      <w:pPr>
        <w:pStyle w:val="ListParagraph"/>
        <w:numPr>
          <w:ilvl w:val="0"/>
          <w:numId w:val="16"/>
        </w:numPr>
        <w:spacing w:after="100"/>
        <w:jc w:val="both"/>
      </w:pPr>
      <w:r>
        <w:rPr>
          <w:rFonts w:ascii="Arial" w:cs="Arial" w:eastAsia="Arial" w:hAnsi="Arial"/>
          <w:color w:val="212121"/>
          <w:sz w:val="22"/>
          <w:szCs w:val="22"/>
        </w:rPr>
        <w:t xml:space="preserve">25+ millones de hectáreas participantes; los suelos argentinos se reconstruyen mediblemente.</w:t>
      </w:r>
    </w:p>
    <w:p>
      <w:pPr>
        <w:pStyle w:val="ListParagraph"/>
        <w:numPr>
          <w:ilvl w:val="0"/>
          <w:numId w:val="16"/>
        </w:numPr>
        <w:spacing w:after="100"/>
        <w:jc w:val="both"/>
      </w:pPr>
      <w:r>
        <w:rPr>
          <w:rFonts w:ascii="Arial" w:cs="Arial" w:eastAsia="Arial" w:hAnsi="Arial"/>
          <w:color w:val="212121"/>
          <w:sz w:val="22"/>
          <w:szCs w:val="22"/>
        </w:rPr>
        <w:t xml:space="preserve">Los ingresos por créditos de carbono superan USD 1.000 millones/año; el programa se autofinancia.</w:t>
      </w:r>
    </w:p>
    <w:p>
      <w:pPr>
        <w:pStyle w:val="ListParagraph"/>
        <w:numPr>
          <w:ilvl w:val="0"/>
          <w:numId w:val="16"/>
        </w:numPr>
        <w:spacing w:after="100"/>
        <w:jc w:val="both"/>
      </w:pPr>
      <w:r>
        <w:rPr>
          <w:rFonts w:ascii="Arial" w:cs="Arial" w:eastAsia="Arial" w:hAnsi="Arial"/>
          <w:color w:val="212121"/>
          <w:sz w:val="22"/>
          <w:szCs w:val="22"/>
        </w:rPr>
        <w:t xml:space="preserve">Argentina es reconocida como líder global en agricultura regenerativa verificada.</w:t>
      </w:r>
    </w:p>
    <w:p>
      <w:pPr>
        <w:pStyle w:val="ListParagraph"/>
        <w:numPr>
          <w:ilvl w:val="0"/>
          <w:numId w:val="16"/>
        </w:numPr>
        <w:spacing w:after="100"/>
        <w:jc w:val="both"/>
      </w:pPr>
      <w:r>
        <w:rPr>
          <w:rFonts w:ascii="Arial" w:cs="Arial" w:eastAsia="Arial" w:hAnsi="Arial"/>
          <w:color w:val="212121"/>
          <w:sz w:val="22"/>
          <w:szCs w:val="22"/>
        </w:rPr>
        <w:t xml:space="preserve">Las mejoras de densidad nutricional alimentaria son medibles a nivel poblacional.</w:t>
      </w:r>
    </w:p>
    <w:p>
      <w:pPr>
        <w:pStyle w:val="ListParagraph"/>
        <w:numPr>
          <w:ilvl w:val="0"/>
          <w:numId w:val="16"/>
        </w:numPr>
        <w:spacing w:after="100"/>
        <w:jc w:val="both"/>
      </w:pPr>
      <w:r>
        <w:rPr>
          <w:rFonts w:ascii="Arial" w:cs="Arial" w:eastAsia="Arial" w:hAnsi="Arial"/>
          <w:color w:val="212121"/>
          <w:sz w:val="22"/>
          <w:szCs w:val="22"/>
        </w:rPr>
        <w:t xml:space="preserve">El capital biológico del suelo se incluye en las cuentas económicas nacionales (junto al PBI, balanza comercial, reservas).</w:t>
      </w:r>
    </w:p>
    <w:p>
      <w:pPr>
        <w:pStyle w:val="ListParagraph"/>
        <w:numPr>
          <w:ilvl w:val="0"/>
          <w:numId w:val="16"/>
        </w:numPr>
        <w:spacing w:after="100"/>
        <w:jc w:val="both"/>
      </w:pPr>
      <w:r>
        <w:rPr>
          <w:rFonts w:ascii="Arial" w:cs="Arial" w:eastAsia="Arial" w:hAnsi="Arial"/>
          <w:color w:val="212121"/>
          <w:sz w:val="22"/>
          <w:szCs w:val="22"/>
        </w:rPr>
        <w:t xml:space="preserve">El modelo PLANISV se exporta a otras naciones latinoamericanas como estándar regional.</w:t>
      </w:r>
    </w:p>
    <w:p>
      <w:r>
        <w:br w:type="page"/>
      </w:r>
    </w:p>
    <w:p>
      <w:pPr>
        <w:pStyle w:val="Heading1"/>
        <w:spacing w:before="400" w:after="180"/>
      </w:pPr>
      <w:r>
        <w:rPr>
          <w:rFonts w:ascii="Arial" w:cs="Arial" w:eastAsia="Arial" w:hAnsi="Arial"/>
          <w:b/>
          <w:bCs/>
          <w:color w:val="0D47A1"/>
          <w:sz w:val="34"/>
          <w:szCs w:val="34"/>
        </w:rPr>
        <w:t xml:space="preserve">12. MARCO PRESUPUESTARIO Y RETORNO DE INVERSIÓN</w:t>
      </w:r>
    </w:p>
    <w:p>
      <w:pPr>
        <w:pStyle w:val="Heading2"/>
        <w:spacing w:before="300" w:after="120"/>
      </w:pPr>
      <w:r>
        <w:rPr>
          <w:rFonts w:ascii="Arial" w:cs="Arial" w:eastAsia="Arial" w:hAnsi="Arial"/>
          <w:b/>
          <w:bCs/>
          <w:color w:val="2E7D32"/>
          <w:sz w:val="28"/>
          <w:szCs w:val="28"/>
        </w:rPr>
        <w:t xml:space="preserve">12.1 Inversión del Programa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0"/>
        <w:gridCol w:w="1710"/>
        <w:gridCol w:w="1730"/>
        <w:gridCol w:w="1710"/>
      </w:tblGrid>
      <w:tr>
        <w:trPr>
          <w:tblHeader/>
        </w:trPr>
        <w:tc>
          <w:tcPr>
            <w:tcW w:type="dxa" w:w="2500"/>
            <w:tcBorders>
              <w:top w:val="single" w:color="BDBDBD" w:sz="1"/>
              <w:left w:val="single" w:color="BDBDBD" w:sz="1"/>
              <w:bottom w:val="single" w:color="BDBDBD" w:sz="1"/>
              <w:right w:val="single" w:color="BDBDBD" w:sz="1"/>
            </w:tcBorders>
            <w:shd w:fill="0069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Componente</w:t>
            </w:r>
          </w:p>
        </w:tc>
        <w:tc>
          <w:tcPr>
            <w:tcW w:type="dxa" w:w="1710"/>
            <w:tcBorders>
              <w:top w:val="single" w:color="BDBDBD" w:sz="1"/>
              <w:left w:val="single" w:color="BDBDBD" w:sz="1"/>
              <w:bottom w:val="single" w:color="BDBDBD" w:sz="1"/>
              <w:right w:val="single" w:color="BDBDBD" w:sz="1"/>
            </w:tcBorders>
            <w:shd w:fill="0069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Fase 1 (Año 1)</w:t>
            </w:r>
          </w:p>
        </w:tc>
        <w:tc>
          <w:tcPr>
            <w:tcW w:type="dxa" w:w="1710"/>
            <w:tcBorders>
              <w:top w:val="single" w:color="BDBDBD" w:sz="1"/>
              <w:left w:val="single" w:color="BDBDBD" w:sz="1"/>
              <w:bottom w:val="single" w:color="BDBDBD" w:sz="1"/>
              <w:right w:val="single" w:color="BDBDBD" w:sz="1"/>
            </w:tcBorders>
            <w:shd w:fill="0069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Fase 2 (Año 2–3)</w:t>
            </w:r>
          </w:p>
        </w:tc>
        <w:tc>
          <w:tcPr>
            <w:tcW w:type="dxa" w:w="1730"/>
            <w:tcBorders>
              <w:top w:val="single" w:color="BDBDBD" w:sz="1"/>
              <w:left w:val="single" w:color="BDBDBD" w:sz="1"/>
              <w:bottom w:val="single" w:color="BDBDBD" w:sz="1"/>
              <w:right w:val="single" w:color="BDBDBD" w:sz="1"/>
            </w:tcBorders>
            <w:shd w:fill="0069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Fase 3 (Año 3–6)</w:t>
            </w:r>
          </w:p>
        </w:tc>
        <w:tc>
          <w:tcPr>
            <w:tcW w:type="dxa" w:w="1710"/>
            <w:tcBorders>
              <w:top w:val="single" w:color="BDBDBD" w:sz="1"/>
              <w:left w:val="single" w:color="BDBDBD" w:sz="1"/>
              <w:bottom w:val="single" w:color="BDBDBD" w:sz="1"/>
              <w:right w:val="single" w:color="BDBDBD" w:sz="1"/>
            </w:tcBorders>
            <w:shd w:fill="0069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Fase 4 (Año 6–15)</w:t>
            </w:r>
          </w:p>
        </w:tc>
      </w:tr>
      <w:tr>
        <w:tc>
          <w:tcPr>
            <w:tcW w:type="dxa" w:w="25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Equipamiento tecnológico</w:t>
            </w:r>
          </w:p>
        </w:tc>
        <w:tc>
          <w:tcPr>
            <w:tcW w:type="dxa" w:w="17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5–10M</w:t>
            </w:r>
          </w:p>
        </w:tc>
        <w:tc>
          <w:tcPr>
            <w:tcW w:type="dxa" w:w="17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25–50M</w:t>
            </w:r>
          </w:p>
        </w:tc>
        <w:tc>
          <w:tcPr>
            <w:tcW w:type="dxa" w:w="173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80–200M</w:t>
            </w:r>
          </w:p>
        </w:tc>
        <w:tc>
          <w:tcPr>
            <w:tcW w:type="dxa" w:w="17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200–400M</w:t>
            </w:r>
          </w:p>
        </w:tc>
      </w:tr>
      <w:tr>
        <w:tc>
          <w:tcPr>
            <w:tcW w:type="dxa" w:w="25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Instalación e integración</w:t>
            </w:r>
          </w:p>
        </w:tc>
        <w:tc>
          <w:tcPr>
            <w:tcW w:type="dxa" w:w="17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2–4M</w:t>
            </w:r>
          </w:p>
        </w:tc>
        <w:tc>
          <w:tcPr>
            <w:tcW w:type="dxa" w:w="17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10–20M</w:t>
            </w:r>
          </w:p>
        </w:tc>
        <w:tc>
          <w:tcPr>
            <w:tcW w:type="dxa" w:w="173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25–50M</w:t>
            </w:r>
          </w:p>
        </w:tc>
        <w:tc>
          <w:tcPr>
            <w:tcW w:type="dxa" w:w="17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40–80M</w:t>
            </w:r>
          </w:p>
        </w:tc>
      </w:tr>
      <w:tr>
        <w:tc>
          <w:tcPr>
            <w:tcW w:type="dxa" w:w="25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Capacitación y formación (INTA)</w:t>
            </w:r>
          </w:p>
        </w:tc>
        <w:tc>
          <w:tcPr>
            <w:tcW w:type="dxa" w:w="17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1–3M</w:t>
            </w:r>
          </w:p>
        </w:tc>
        <w:tc>
          <w:tcPr>
            <w:tcW w:type="dxa" w:w="17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5–8M</w:t>
            </w:r>
          </w:p>
        </w:tc>
        <w:tc>
          <w:tcPr>
            <w:tcW w:type="dxa" w:w="173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8–15M</w:t>
            </w:r>
          </w:p>
        </w:tc>
        <w:tc>
          <w:tcPr>
            <w:tcW w:type="dxa" w:w="17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12–20M</w:t>
            </w:r>
          </w:p>
        </w:tc>
      </w:tr>
      <w:tr>
        <w:tc>
          <w:tcPr>
            <w:tcW w:type="dxa" w:w="25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Infraestructura MRV y Tablero</w:t>
            </w:r>
          </w:p>
        </w:tc>
        <w:tc>
          <w:tcPr>
            <w:tcW w:type="dxa" w:w="17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2–4M</w:t>
            </w:r>
          </w:p>
        </w:tc>
        <w:tc>
          <w:tcPr>
            <w:tcW w:type="dxa" w:w="17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6–10M</w:t>
            </w:r>
          </w:p>
        </w:tc>
        <w:tc>
          <w:tcPr>
            <w:tcW w:type="dxa" w:w="173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12–20M</w:t>
            </w:r>
          </w:p>
        </w:tc>
        <w:tc>
          <w:tcPr>
            <w:tcW w:type="dxa" w:w="17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15–25M</w:t>
            </w:r>
          </w:p>
        </w:tc>
      </w:tr>
      <w:tr>
        <w:tc>
          <w:tcPr>
            <w:tcW w:type="dxa" w:w="25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Administración del programa</w:t>
            </w:r>
          </w:p>
        </w:tc>
        <w:tc>
          <w:tcPr>
            <w:tcW w:type="dxa" w:w="17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2–3M</w:t>
            </w:r>
          </w:p>
        </w:tc>
        <w:tc>
          <w:tcPr>
            <w:tcW w:type="dxa" w:w="17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5–8M</w:t>
            </w:r>
          </w:p>
        </w:tc>
        <w:tc>
          <w:tcPr>
            <w:tcW w:type="dxa" w:w="173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10–15M</w:t>
            </w:r>
          </w:p>
        </w:tc>
        <w:tc>
          <w:tcPr>
            <w:tcW w:type="dxa" w:w="17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15–20M</w:t>
            </w:r>
          </w:p>
        </w:tc>
      </w:tr>
      <w:tr>
        <w:tc>
          <w:tcPr>
            <w:tcW w:type="dxa" w:w="25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Investigación y Centros de Excelencia</w:t>
            </w:r>
          </w:p>
        </w:tc>
        <w:tc>
          <w:tcPr>
            <w:tcW w:type="dxa" w:w="17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1–3M</w:t>
            </w:r>
          </w:p>
        </w:tc>
        <w:tc>
          <w:tcPr>
            <w:tcW w:type="dxa" w:w="17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5–10M</w:t>
            </w:r>
          </w:p>
        </w:tc>
        <w:tc>
          <w:tcPr>
            <w:tcW w:type="dxa" w:w="173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10–18M</w:t>
            </w:r>
          </w:p>
        </w:tc>
        <w:tc>
          <w:tcPr>
            <w:tcW w:type="dxa" w:w="17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15–25M</w:t>
            </w:r>
          </w:p>
        </w:tc>
      </w:tr>
      <w:tr>
        <w:tc>
          <w:tcPr>
            <w:tcW w:type="dxa" w:w="25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Pagos por resultados a productores</w:t>
            </w:r>
          </w:p>
        </w:tc>
        <w:tc>
          <w:tcPr>
            <w:tcW w:type="dxa" w:w="17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w:t>
            </w:r>
          </w:p>
        </w:tc>
        <w:tc>
          <w:tcPr>
            <w:tcW w:type="dxa" w:w="17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15–30M</w:t>
            </w:r>
          </w:p>
        </w:tc>
        <w:tc>
          <w:tcPr>
            <w:tcW w:type="dxa" w:w="173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60–150M</w:t>
            </w:r>
          </w:p>
        </w:tc>
        <w:tc>
          <w:tcPr>
            <w:tcW w:type="dxa" w:w="17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300M–1.500M</w:t>
            </w:r>
          </w:p>
        </w:tc>
      </w:tr>
      <w:tr>
        <w:tc>
          <w:tcPr>
            <w:tcW w:type="dxa" w:w="25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INVERSIÓN TOTAL DEL PROGRAMA</w:t>
            </w:r>
          </w:p>
        </w:tc>
        <w:tc>
          <w:tcPr>
            <w:tcW w:type="dxa" w:w="17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13–27M</w:t>
            </w:r>
          </w:p>
        </w:tc>
        <w:tc>
          <w:tcPr>
            <w:tcW w:type="dxa" w:w="17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71–136M</w:t>
            </w:r>
          </w:p>
        </w:tc>
        <w:tc>
          <w:tcPr>
            <w:tcW w:type="dxa" w:w="173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205–468M</w:t>
            </w:r>
          </w:p>
        </w:tc>
        <w:tc>
          <w:tcPr>
            <w:tcW w:type="dxa" w:w="17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597M–2.070M</w:t>
            </w:r>
          </w:p>
        </w:tc>
      </w:tr>
    </w:tbl>
    <w:p>
      <w:pPr>
        <w:spacing w:after="80"/>
      </w:pPr>
    </w:p>
    <w:p>
      <w:pPr>
        <w:pStyle w:val="Heading2"/>
        <w:spacing w:before="300" w:after="120"/>
      </w:pPr>
      <w:r>
        <w:rPr>
          <w:rFonts w:ascii="Arial" w:cs="Arial" w:eastAsia="Arial" w:hAnsi="Arial"/>
          <w:b/>
          <w:bCs/>
          <w:color w:val="2E7D32"/>
          <w:sz w:val="28"/>
          <w:szCs w:val="28"/>
        </w:rPr>
        <w:t xml:space="preserve">12.2 Retorno de Inversión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DBDBD" w:sz="1"/>
              <w:left w:val="single" w:color="BDBDBD" w:sz="1"/>
              <w:bottom w:val="single" w:color="BDBDBD" w:sz="1"/>
              <w:right w:val="single" w:color="BDBDBD"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Categoría de Retorno</w:t>
            </w:r>
          </w:p>
        </w:tc>
        <w:tc>
          <w:tcPr>
            <w:tcW w:type="dxa" w:w="3510"/>
            <w:tcBorders>
              <w:top w:val="single" w:color="BDBDBD" w:sz="1"/>
              <w:left w:val="single" w:color="BDBDBD" w:sz="1"/>
              <w:bottom w:val="single" w:color="BDBDBD" w:sz="1"/>
              <w:right w:val="single" w:color="BDBDBD"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Mecanismo</w:t>
            </w:r>
          </w:p>
        </w:tc>
        <w:tc>
          <w:tcPr>
            <w:tcW w:type="dxa" w:w="3510"/>
            <w:tcBorders>
              <w:top w:val="single" w:color="BDBDBD" w:sz="1"/>
              <w:left w:val="single" w:color="BDBDBD" w:sz="1"/>
              <w:bottom w:val="single" w:color="BDBDBD" w:sz="1"/>
              <w:right w:val="single" w:color="BDBDBD"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Valor Estimado a 10 Años</w:t>
            </w:r>
          </w:p>
        </w:tc>
      </w:tr>
      <w:tr>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Evitación de pérdida de ingresos exportadores</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Productividad del suelo mantenida/mejorada protege base exportadora de USD 40.000–50.000M/año</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50.000–100.000M en caída de ingresos evitada por degradación</w:t>
            </w:r>
          </w:p>
        </w:tc>
      </w:tr>
      <w:tr>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Ingresos por créditos de carbono</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Carbono del suelo verificado monetizado internacionalmente</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1.000–15.000M acumulados (dependiente de escala)</w:t>
            </w:r>
          </w:p>
        </w:tc>
      </w:tr>
      <w:tr>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Captura de prima de exportación UE</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Producción verificada como regenerativa obtiene prima del 5–15%</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USD 5.000–15.000M acumulados en ingresos adicionales de exportación</w:t>
            </w:r>
          </w:p>
        </w:tc>
      </w:tr>
      <w:tr>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Reducción de costos de insumos químicos</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30–50% de reducción en gasto en agroquímicos por productores participantes</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USD 3.000–8.000M en ahorro de productores</w:t>
            </w:r>
          </w:p>
        </w:tc>
      </w:tr>
      <w:tr>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Ganancias de eficiencia hídrica</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30%+ de mejora en eficiencia de uso del agua, crítico en zonas de secano y propensas a sequía</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Difícil de cuantificar; previene pérdida de cosechas en años de sequía (evitación de pérdidas catastróficas)</w:t>
            </w:r>
          </w:p>
        </w:tc>
      </w:tr>
      <w:tr>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Revitalización económica rural</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Empleos tecnológicos, manufactura nacional, proveedores de servicios, nuevo sector de carbono</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Multiplicador de 2–3x sobre el gasto del programa</w:t>
            </w:r>
          </w:p>
        </w:tc>
      </w:tr>
      <w:tr>
        <w:tc>
          <w:tcPr>
            <w:tcW w:type="dxa" w:w="234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Mejora de salud pública</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Alimentos más nutritivos, menor exposición química en comunidades agrícolas</w:t>
            </w:r>
          </w:p>
        </w:tc>
        <w:tc>
          <w:tcPr>
            <w:tcW w:type="dxa" w:w="351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Largo plazo; direccionalmente &gt; USD 5.000M en evitación de gastos de salud</w:t>
            </w:r>
          </w:p>
        </w:tc>
      </w:tr>
      <w:tr>
        <w:tc>
          <w:tcPr>
            <w:tcW w:type="dxa" w:w="234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Apalancamiento de diplomacia climática</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Argentina como líder global en carbono del suelo; posición negociadora mejorada en foros internacionales</w:t>
            </w:r>
          </w:p>
        </w:tc>
        <w:tc>
          <w:tcPr>
            <w:tcW w:type="dxa" w:w="351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Estratégico: no cuantificable en dólares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8"/>
              <w:left w:val="single" w:color="E3F2FD" w:sz="2"/>
              <w:bottom w:val="single" w:color="E3F2FD" w:sz="2"/>
              <w:right w:val="single" w:color="E3F2FD" w:sz="2"/>
            </w:tcBorders>
            <w:shd w:fill="E3F2FD" w:val="clear"/>
            <w:tcMar>
              <w:top w:type="dxa" w:w="140"/>
              <w:left w:type="dxa" w:w="220"/>
              <w:bottom w:type="dxa" w:w="140"/>
              <w:right w:type="dxa" w:w="220"/>
            </w:tcMar>
          </w:tcPr>
          <w:p>
            <w:pPr>
              <w:spacing w:after="80"/>
            </w:pPr>
            <w:r>
              <w:rPr>
                <w:rFonts w:ascii="Arial" w:cs="Arial" w:eastAsia="Arial" w:hAnsi="Arial"/>
                <w:b/>
                <w:bCs/>
                <w:color w:val="0D47A1"/>
                <w:sz w:val="23"/>
                <w:szCs w:val="23"/>
              </w:rPr>
              <w:t xml:space="preserve">Estimación de ROI Agregado</w:t>
            </w:r>
          </w:p>
          <w:p>
            <w:pPr>
              <w:jc w:val="both"/>
            </w:pPr>
            <w:r>
              <w:rPr>
                <w:rFonts w:ascii="Arial" w:cs="Arial" w:eastAsia="Arial" w:hAnsi="Arial"/>
                <w:color w:val="212121"/>
                <w:sz w:val="21"/>
                <w:szCs w:val="21"/>
              </w:rPr>
              <w:t xml:space="preserve">A escala de Fase 3+, estimación de 8:1 a 15:1 de retorno de inversión pública en un horizonte de 10 años. Esto supera el perfil de retorno de virtualmente cualquier inversión en infraestructura disponible para el gobierno argentino. El programa no solo se paga a sí mismo — genera un nuevo sector exportador (carbono), protege la base exportadora existente (USD 40.000–50.000M/año) y crea una ventaja de primer movedor en la economía regenerativa global emergente.</w:t>
            </w:r>
          </w:p>
        </w:tc>
      </w:tr>
    </w:tbl>
    <w:p>
      <w:r>
        <w:br w:type="page"/>
      </w:r>
    </w:p>
    <w:p>
      <w:pPr>
        <w:pStyle w:val="Heading1"/>
        <w:spacing w:before="400" w:after="180"/>
      </w:pPr>
      <w:r>
        <w:rPr>
          <w:rFonts w:ascii="Arial" w:cs="Arial" w:eastAsia="Arial" w:hAnsi="Arial"/>
          <w:b/>
          <w:bCs/>
          <w:color w:val="0D47A1"/>
          <w:sz w:val="34"/>
          <w:szCs w:val="34"/>
        </w:rPr>
        <w:t xml:space="preserve">13. ANÁLISIS DE RIESGO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BDBDBD" w:sz="1"/>
              <w:left w:val="single" w:color="BDBDBD" w:sz="1"/>
              <w:bottom w:val="single" w:color="BDBDBD" w:sz="1"/>
              <w:right w:val="single" w:color="BDBDBD" w:sz="1"/>
            </w:tcBorders>
            <w:shd w:fill="F57F17" w:val="clear"/>
            <w:tcMar>
              <w:top w:type="dxa" w:w="100"/>
              <w:left w:type="dxa" w:w="140"/>
              <w:bottom w:type="dxa" w:w="100"/>
              <w:right w:type="dxa" w:w="140"/>
            </w:tcMar>
            <w:vAlign w:val="center"/>
          </w:tcPr>
          <w:p>
            <w:r>
              <w:rPr>
                <w:rFonts w:ascii="Arial" w:cs="Arial" w:eastAsia="Arial" w:hAnsi="Arial"/>
                <w:b/>
                <w:bCs/>
                <w:color w:val="FFFFFF"/>
                <w:sz w:val="20"/>
                <w:szCs w:val="20"/>
              </w:rPr>
              <w:t xml:space="preserve">Riesgo</w:t>
            </w:r>
          </w:p>
        </w:tc>
        <w:tc>
          <w:tcPr>
            <w:tcW w:type="dxa" w:w="2600"/>
            <w:tcBorders>
              <w:top w:val="single" w:color="BDBDBD" w:sz="1"/>
              <w:left w:val="single" w:color="BDBDBD" w:sz="1"/>
              <w:bottom w:val="single" w:color="BDBDBD" w:sz="1"/>
              <w:right w:val="single" w:color="BDBDBD" w:sz="1"/>
            </w:tcBorders>
            <w:shd w:fill="F57F17"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Impacto si no se Mitiga</w:t>
            </w:r>
          </w:p>
        </w:tc>
        <w:tc>
          <w:tcPr>
            <w:tcW w:type="dxa" w:w="2600"/>
            <w:tcBorders>
              <w:top w:val="single" w:color="BDBDBD" w:sz="1"/>
              <w:left w:val="single" w:color="BDBDBD" w:sz="1"/>
              <w:bottom w:val="single" w:color="BDBDBD" w:sz="1"/>
              <w:right w:val="single" w:color="BDBDBD" w:sz="1"/>
            </w:tcBorders>
            <w:shd w:fill="F57F17"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Estrategia de Mitigación</w:t>
            </w:r>
          </w:p>
        </w:tc>
        <w:tc>
          <w:tcPr>
            <w:tcW w:type="dxa" w:w="2600"/>
            <w:tcBorders>
              <w:top w:val="single" w:color="BDBDBD" w:sz="1"/>
              <w:left w:val="single" w:color="BDBDBD" w:sz="1"/>
              <w:bottom w:val="single" w:color="BDBDBD" w:sz="1"/>
              <w:right w:val="single" w:color="BDBDBD" w:sz="1"/>
            </w:tcBorders>
            <w:shd w:fill="F57F17" w:val="clear"/>
            <w:tcMar>
              <w:top w:type="dxa" w:w="100"/>
              <w:left w:type="dxa" w:w="140"/>
              <w:bottom w:type="dxa" w:w="100"/>
              <w:right w:type="dxa" w:w="140"/>
            </w:tcMar>
            <w:vAlign w:val="center"/>
          </w:tcPr>
          <w:p>
            <w:r>
              <w:rPr>
                <w:rFonts w:ascii="Arial" w:cs="Arial" w:eastAsia="Arial" w:hAnsi="Arial"/>
                <w:b/>
                <w:bCs/>
                <w:color w:val="FFFFFF"/>
                <w:sz w:val="20"/>
                <w:szCs w:val="20"/>
              </w:rPr>
              <w:t xml:space="preserve">Métrica de Prueba</w:t>
            </w:r>
          </w:p>
        </w:tc>
      </w:tr>
      <w:tr>
        <w:tc>
          <w:tcPr>
            <w:tcW w:type="dxa" w:w="156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Inestabilidad macroeconómica (inflación, volatilidad cambiaria)</w:t>
            </w:r>
          </w:p>
        </w:tc>
        <w:tc>
          <w:tcPr>
            <w:tcW w:type="dxa" w:w="26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Incertidumbre presupuestaria; costos de importación de tecnología; vacilación de inversión de productores</w:t>
            </w:r>
          </w:p>
        </w:tc>
        <w:tc>
          <w:tcPr>
            <w:tcW w:type="dxa" w:w="26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Dolarizar adquisición de equipos vía financiamiento internacional. Manufactura nacional reduce exposición cambiaria. Créditos de carbono generan moneda dura. PPR indexados a inflación.</w:t>
            </w:r>
          </w:p>
        </w:tc>
        <w:tc>
          <w:tcPr>
            <w:tcW w:type="dxa" w:w="26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Variación del presupuesto del programa &lt;15% del plan en todas las fases</w:t>
            </w:r>
          </w:p>
        </w:tc>
      </w:tr>
      <w:tr>
        <w:tc>
          <w:tcPr>
            <w:tcW w:type="dxa" w:w="156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Discontinuidad política</w:t>
            </w:r>
          </w:p>
        </w:tc>
        <w:tc>
          <w:tcPr>
            <w:tcW w:type="dxa" w:w="26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Cambio de administración deprioriza o cancela el programa</w:t>
            </w:r>
          </w:p>
        </w:tc>
        <w:tc>
          <w:tcPr>
            <w:tcW w:type="dxa" w:w="26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Institucionalizar vía ley (no decreto). Anclar en INTA (continuidad institucional). Crear constituencia de productores vía PPR. Demostrar valor bipartidista (ingresos exportadores + desarrollo rural + ambiente).</w:t>
            </w:r>
          </w:p>
        </w:tc>
        <w:tc>
          <w:tcPr>
            <w:tcW w:type="dxa" w:w="26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Ley del programa PLANISV aprobada para el Año 2; apoyo bipartidista documentado</w:t>
            </w:r>
          </w:p>
        </w:tc>
      </w:tr>
      <w:tr>
        <w:tc>
          <w:tcPr>
            <w:tcW w:type="dxa" w:w="156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Resistencia a la adopción</w:t>
            </w:r>
          </w:p>
        </w:tc>
        <w:tc>
          <w:tcPr>
            <w:tcW w:type="dxa" w:w="26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Baja adopción de productores escépticos del enfoque biológico</w:t>
            </w:r>
          </w:p>
        </w:tc>
        <w:tc>
          <w:tcPr>
            <w:tcW w:type="dxa" w:w="26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Demos Nivel 1 en INTA y grupos CREA (instituciones de confianza). PPR desriesgan la adopción. Efecto red de pares (modelo CREA). Prueba económica visible en 1–2 campañas.</w:t>
            </w:r>
          </w:p>
        </w:tc>
        <w:tc>
          <w:tcPr>
            <w:tcW w:type="dxa" w:w="26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Tasa de adopción &gt;20% de productores elegibles dentro de 3 años de activación regional</w:t>
            </w:r>
          </w:p>
        </w:tc>
      </w:tr>
      <w:tr>
        <w:tc>
          <w:tcPr>
            <w:tcW w:type="dxa" w:w="156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Variabilidad de resultados entre regiones y suelos</w:t>
            </w:r>
          </w:p>
        </w:tc>
        <w:tc>
          <w:tcPr>
            <w:tcW w:type="dxa" w:w="26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Resultados inconsistentes socavan credibilidad</w:t>
            </w:r>
          </w:p>
        </w:tc>
        <w:tc>
          <w:tcPr>
            <w:tcW w:type="dxa" w:w="26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6 agro-regiones distintas en Fase 1. MRV estandarizado permite comparación rigurosa. Centros de Excelencia regionales desarrollan protocolos locales.</w:t>
            </w:r>
          </w:p>
        </w:tc>
        <w:tc>
          <w:tcPr>
            <w:tcW w:type="dxa" w:w="26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Mejoras significativas (p&lt;0,05) en 80%+ de los sitios</w:t>
            </w:r>
          </w:p>
        </w:tc>
      </w:tr>
      <w:tr>
        <w:tc>
          <w:tcPr>
            <w:tcW w:type="dxa" w:w="156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Dependencia de importación tecnológica</w:t>
            </w:r>
          </w:p>
        </w:tc>
        <w:tc>
          <w:tcPr>
            <w:tcW w:type="dxa" w:w="26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Costos cambiarios; interrupciones de suministro; vulnerabilidad política</w:t>
            </w:r>
          </w:p>
        </w:tc>
        <w:tc>
          <w:tcPr>
            <w:tcW w:type="dxa" w:w="26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Objetivos agresivos de manufactura nacional (70% para Año 5). Acuerdos de transferencia tecnológica. Certificación INTI para fabricantes locales.</w:t>
            </w:r>
          </w:p>
        </w:tc>
        <w:tc>
          <w:tcPr>
            <w:tcW w:type="dxa" w:w="26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Participación de manufactura nacional superando 50% para Año 3, 70% para Año 5</w:t>
            </w:r>
          </w:p>
        </w:tc>
      </w:tr>
      <w:tr>
        <w:tc>
          <w:tcPr>
            <w:tcW w:type="dxa" w:w="156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Colapso del precio del carbono</w:t>
            </w:r>
          </w:p>
        </w:tc>
        <w:tc>
          <w:tcPr>
            <w:tcW w:type="dxa" w:w="26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Proyecciones de autofinanciamiento fallan; ingresos por carbono de productores decepcionan</w:t>
            </w:r>
          </w:p>
        </w:tc>
        <w:tc>
          <w:tcPr>
            <w:tcW w:type="dxa" w:w="26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Ingresos por carbono son suplementarios, no primarios. PPR proveen base estable. Economía diversificada: rinde + ahorro de insumos + prima de exportación + carbono + PPR.</w:t>
            </w:r>
          </w:p>
        </w:tc>
        <w:tc>
          <w:tcPr>
            <w:tcW w:type="dxa" w:w="260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Viabilidad del programa mantenida a USD 10/t CO₂e de precio piso de carbono</w:t>
            </w:r>
          </w:p>
        </w:tc>
      </w:tr>
      <w:tr>
        <w:tc>
          <w:tcPr>
            <w:tcW w:type="dxa" w:w="156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Integridad de datos / fraude MRV</w:t>
            </w:r>
          </w:p>
        </w:tc>
        <w:tc>
          <w:tcPr>
            <w:tcW w:type="dxa" w:w="26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Créditos de carbono cuestionados; credibilidad del programa destruida</w:t>
            </w:r>
          </w:p>
        </w:tc>
        <w:tc>
          <w:tcPr>
            <w:tcW w:type="dxa" w:w="26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Verificación por terceros. Tablero abierto. Auditorías independientes. Validación de investigación universitaria. Consideración de trazabilidad blockchain.</w:t>
            </w:r>
          </w:p>
        </w:tc>
        <w:tc>
          <w:tcPr>
            <w:tcW w:type="dxa" w:w="260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Cero hallazgos de fraude; aceptación de créditos por registros internacionales</w:t>
            </w:r>
          </w:p>
        </w:tc>
      </w:tr>
    </w:tbl>
    <w:p>
      <w:r>
        <w:br w:type="page"/>
      </w:r>
    </w:p>
    <w:p>
      <w:pPr>
        <w:pStyle w:val="Heading1"/>
        <w:spacing w:before="400" w:after="180"/>
      </w:pPr>
      <w:r>
        <w:rPr>
          <w:rFonts w:ascii="Arial" w:cs="Arial" w:eastAsia="Arial" w:hAnsi="Arial"/>
          <w:b/>
          <w:bCs/>
          <w:color w:val="0D47A1"/>
          <w:sz w:val="34"/>
          <w:szCs w:val="34"/>
        </w:rPr>
        <w:t xml:space="preserve">14. ESTRUCTURA DE GOBERNANZA</w:t>
      </w:r>
    </w:p>
    <w:p>
      <w:pPr>
        <w:pStyle w:val="Heading2"/>
        <w:spacing w:before="300" w:after="120"/>
      </w:pPr>
      <w:r>
        <w:rPr>
          <w:rFonts w:ascii="Arial" w:cs="Arial" w:eastAsia="Arial" w:hAnsi="Arial"/>
          <w:b/>
          <w:bCs/>
          <w:color w:val="2E7D32"/>
          <w:sz w:val="28"/>
          <w:szCs w:val="28"/>
        </w:rPr>
        <w:t xml:space="preserve">14.1 Arquitectura Institucional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BDBD" w:sz="1"/>
              <w:left w:val="single" w:color="BDBDBD" w:sz="1"/>
              <w:bottom w:val="single" w:color="BDBDBD" w:sz="1"/>
              <w:right w:val="single" w:color="BDBDBD" w:sz="1"/>
            </w:tcBorders>
            <w:shd w:fill="0D47A1"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Autoridad del Programa (Gobierno)</w:t>
            </w:r>
          </w:p>
        </w:tc>
        <w:tc>
          <w:tcPr>
            <w:tcW w:type="dxa" w:w="3120"/>
            <w:tcBorders>
              <w:top w:val="single" w:color="BDBDBD" w:sz="1"/>
              <w:left w:val="single" w:color="BDBDBD" w:sz="1"/>
              <w:bottom w:val="single" w:color="BDBDBD" w:sz="1"/>
              <w:right w:val="single" w:color="BDBDBD" w:sz="1"/>
            </w:tcBorders>
            <w:shd w:fill="0D47A1"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Tecnología y Operaciones</w:t>
            </w:r>
          </w:p>
        </w:tc>
        <w:tc>
          <w:tcPr>
            <w:tcW w:type="dxa" w:w="3120"/>
            <w:tcBorders>
              <w:top w:val="single" w:color="BDBDBD" w:sz="1"/>
              <w:left w:val="single" w:color="BDBDBD" w:sz="1"/>
              <w:bottom w:val="single" w:color="BDBDBD" w:sz="1"/>
              <w:right w:val="single" w:color="BDBDBD" w:sz="1"/>
            </w:tcBorders>
            <w:shd w:fill="0D47A1"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Verificación Independiente</w:t>
            </w:r>
          </w:p>
        </w:tc>
      </w:tr>
      <w:tr>
        <w:tc>
          <w:tcPr>
            <w:tcW w:type="dxa" w:w="31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SAGyP: Diseño del programa, política, regulación</w:t>
            </w:r>
          </w:p>
        </w:tc>
        <w:tc>
          <w:tcPr>
            <w:tcW w:type="dxa" w:w="31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Proveedores de tecnología aprobados: entrega, instalación, capacitación de equipamiento</w:t>
            </w:r>
          </w:p>
        </w:tc>
        <w:tc>
          <w:tcPr>
            <w:tcW w:type="dxa" w:w="31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Estaciones Experimentales INTA: testeo de suelo, evaluación biológica</w:t>
            </w:r>
          </w:p>
        </w:tc>
      </w:tr>
      <w:tr>
        <w:tc>
          <w:tcPr>
            <w:tcW w:type="dxa" w:w="312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Fondo Nacional de Suelo Vivo: Asignación de financiamiento</w:t>
            </w:r>
          </w:p>
        </w:tc>
        <w:tc>
          <w:tcPr>
            <w:tcW w:type="dxa" w:w="312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Red de Extensión INTA: columna vertebral operativa de despliegue</w:t>
            </w:r>
          </w:p>
        </w:tc>
        <w:tc>
          <w:tcPr>
            <w:tcW w:type="dxa" w:w="312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CONICET / laboratorios universitarios: validación independiente de investigación</w:t>
            </w:r>
          </w:p>
        </w:tc>
      </w:tr>
      <w:tr>
        <w:tc>
          <w:tcPr>
            <w:tcW w:type="dxa" w:w="31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SENASA: Certificación de calidad de insumos</w:t>
            </w:r>
          </w:p>
        </w:tc>
        <w:tc>
          <w:tcPr>
            <w:tcW w:type="dxa" w:w="31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Fabricantes nacionales: producción de equipamiento (certificado INTI)</w:t>
            </w:r>
          </w:p>
        </w:tc>
        <w:tc>
          <w:tcPr>
            <w:tcW w:type="dxa" w:w="31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Registros internacionales: verificación de créditos de carbono (ACR, Verra, Gold Standard)</w:t>
            </w:r>
          </w:p>
        </w:tc>
      </w:tr>
      <w:tr>
        <w:tc>
          <w:tcPr>
            <w:tcW w:type="dxa" w:w="312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Ministerios Provinciales: Cofinanciamiento regional, adaptación</w:t>
            </w:r>
          </w:p>
        </w:tc>
        <w:tc>
          <w:tcPr>
            <w:tcW w:type="dxa" w:w="312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Cooperativas y Grupos CREA: redes de pares, transferencia de conocimiento</w:t>
            </w:r>
          </w:p>
        </w:tc>
        <w:tc>
          <w:tcPr>
            <w:tcW w:type="dxa" w:w="3120"/>
            <w:tcBorders>
              <w:top w:val="single" w:color="BDBDBD" w:sz="1"/>
              <w:left w:val="single" w:color="BDBDBD" w:sz="1"/>
              <w:bottom w:val="single" w:color="BDBDBD" w:sz="1"/>
              <w:right w:val="single" w:color="BDBDBD" w:sz="1"/>
            </w:tcBorders>
            <w:shd w:fill="FAFAFA" w:val="clear"/>
            <w:tcMar>
              <w:top w:type="dxa" w:w="100"/>
              <w:left w:type="dxa" w:w="140"/>
              <w:bottom w:type="dxa" w:w="100"/>
              <w:right w:type="dxa" w:w="140"/>
            </w:tcMar>
          </w:tcPr>
          <w:p>
            <w:r>
              <w:rPr>
                <w:rFonts w:ascii="Arial" w:cs="Arial" w:eastAsia="Arial" w:hAnsi="Arial"/>
                <w:color w:val="212121"/>
                <w:sz w:val="20"/>
                <w:szCs w:val="20"/>
              </w:rPr>
              <w:t xml:space="preserve">Auditoría General de la Nación: auditoría financiera y de cumplimiento</w:t>
            </w:r>
          </w:p>
        </w:tc>
      </w:tr>
      <w:tr>
        <w:tc>
          <w:tcPr>
            <w:tcW w:type="dxa" w:w="31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COFEMA: Integración ambiental, reporte climático</w:t>
            </w:r>
          </w:p>
        </w:tc>
        <w:tc>
          <w:tcPr>
            <w:tcW w:type="dxa" w:w="31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Integradores del sector privado: instalación, mantenimiento, distribución</w:t>
            </w:r>
          </w:p>
        </w:tc>
        <w:tc>
          <w:tcPr>
            <w:tcW w:type="dxa" w:w="3120"/>
            <w:tcBorders>
              <w:top w:val="single" w:color="BDBDBD" w:sz="1"/>
              <w:left w:val="single" w:color="BDBDBD" w:sz="1"/>
              <w:bottom w:val="single" w:color="BDBDBD" w:sz="1"/>
              <w:right w:val="single" w:color="BDBDBD" w:sz="1"/>
            </w:tcBorders>
            <w:tcMar>
              <w:top w:type="dxa" w:w="100"/>
              <w:left w:type="dxa" w:w="140"/>
              <w:bottom w:type="dxa" w:w="100"/>
              <w:right w:type="dxa" w:w="140"/>
            </w:tcMar>
          </w:tcPr>
          <w:p>
            <w:r>
              <w:rPr>
                <w:rFonts w:ascii="Arial" w:cs="Arial" w:eastAsia="Arial" w:hAnsi="Arial"/>
                <w:color w:val="212121"/>
                <w:sz w:val="20"/>
                <w:szCs w:val="20"/>
              </w:rPr>
              <w:t xml:space="preserve">Organismos internacionales: verificación de cumplimiento EUDR</w:t>
            </w:r>
          </w:p>
        </w:tc>
      </w:tr>
    </w:tbl>
    <w:p>
      <w:pPr>
        <w:spacing w:after="80"/>
      </w:pPr>
    </w:p>
    <w:p>
      <w:pPr>
        <w:pStyle w:val="Heading2"/>
        <w:spacing w:before="300" w:after="120"/>
      </w:pPr>
      <w:r>
        <w:rPr>
          <w:rFonts w:ascii="Arial" w:cs="Arial" w:eastAsia="Arial" w:hAnsi="Arial"/>
          <w:b/>
          <w:bCs/>
          <w:color w:val="2E7D32"/>
          <w:sz w:val="28"/>
          <w:szCs w:val="28"/>
        </w:rPr>
        <w:t xml:space="preserve">14.2 El Rol Central de INTA</w:t>
      </w:r>
    </w:p>
    <w:p>
      <w:pPr>
        <w:spacing w:after="160" w:before="0"/>
        <w:jc w:val="both"/>
      </w:pPr>
      <w:r>
        <w:rPr>
          <w:rFonts w:ascii="Arial" w:cs="Arial" w:eastAsia="Arial" w:hAnsi="Arial"/>
          <w:b w:val="false"/>
          <w:bCs w:val="false"/>
          <w:i w:val="false"/>
          <w:iCs w:val="false"/>
          <w:color w:val="212121"/>
          <w:sz w:val="22"/>
          <w:szCs w:val="22"/>
        </w:rPr>
        <w:t xml:space="preserve">INTA es la columna vertebral operativa de PLANISV. Con 52 Estaciones Experimentales, más de 350 Unidades de Extensión y una red nacional de extensionistas, INTA provee:</w:t>
      </w:r>
    </w:p>
    <w:p>
      <w:pPr>
        <w:pStyle w:val="ListParagraph"/>
        <w:numPr>
          <w:ilvl w:val="0"/>
          <w:numId w:val="17"/>
        </w:numPr>
        <w:spacing w:after="80"/>
        <w:jc w:val="both"/>
      </w:pPr>
      <w:r>
        <w:rPr>
          <w:rFonts w:ascii="Arial" w:cs="Arial" w:eastAsia="Arial" w:hAnsi="Arial"/>
          <w:color w:val="212121"/>
          <w:sz w:val="22"/>
          <w:szCs w:val="22"/>
        </w:rPr>
        <w:t xml:space="preserve">La infraestructura física para sitios de demostración Nivel 1 (Estaciones Experimentales).</w:t>
      </w:r>
    </w:p>
    <w:p>
      <w:pPr>
        <w:pStyle w:val="ListParagraph"/>
        <w:numPr>
          <w:ilvl w:val="0"/>
          <w:numId w:val="17"/>
        </w:numPr>
        <w:spacing w:after="80"/>
        <w:jc w:val="both"/>
      </w:pPr>
      <w:r>
        <w:rPr>
          <w:rFonts w:ascii="Arial" w:cs="Arial" w:eastAsia="Arial" w:hAnsi="Arial"/>
          <w:color w:val="212121"/>
          <w:sz w:val="22"/>
          <w:szCs w:val="22"/>
        </w:rPr>
        <w:t xml:space="preserve">La red humana para despliegue Nivel 2–4 (extensionistas como agentes de tecnología capacitados).</w:t>
      </w:r>
    </w:p>
    <w:p>
      <w:pPr>
        <w:pStyle w:val="ListParagraph"/>
        <w:numPr>
          <w:ilvl w:val="0"/>
          <w:numId w:val="17"/>
        </w:numPr>
        <w:spacing w:after="80"/>
        <w:jc w:val="both"/>
      </w:pPr>
      <w:r>
        <w:rPr>
          <w:rFonts w:ascii="Arial" w:cs="Arial" w:eastAsia="Arial" w:hAnsi="Arial"/>
          <w:color w:val="212121"/>
          <w:sz w:val="22"/>
          <w:szCs w:val="22"/>
        </w:rPr>
        <w:t xml:space="preserve">La capacidad de laboratorio para análisis biológico y químico del suelo (existente y mejorado).</w:t>
      </w:r>
    </w:p>
    <w:p>
      <w:pPr>
        <w:pStyle w:val="ListParagraph"/>
        <w:numPr>
          <w:ilvl w:val="0"/>
          <w:numId w:val="17"/>
        </w:numPr>
        <w:spacing w:after="80"/>
        <w:jc w:val="both"/>
      </w:pPr>
      <w:r>
        <w:rPr>
          <w:rFonts w:ascii="Arial" w:cs="Arial" w:eastAsia="Arial" w:hAnsi="Arial"/>
          <w:color w:val="212121"/>
          <w:sz w:val="22"/>
          <w:szCs w:val="22"/>
        </w:rPr>
        <w:t xml:space="preserve">La capacidad de investigación para adaptación regional y mejora continua.</w:t>
      </w:r>
    </w:p>
    <w:p>
      <w:pPr>
        <w:pStyle w:val="ListParagraph"/>
        <w:numPr>
          <w:ilvl w:val="0"/>
          <w:numId w:val="17"/>
        </w:numPr>
        <w:spacing w:after="80"/>
        <w:jc w:val="both"/>
      </w:pPr>
      <w:r>
        <w:rPr>
          <w:rFonts w:ascii="Arial" w:cs="Arial" w:eastAsia="Arial" w:hAnsi="Arial"/>
          <w:color w:val="212121"/>
          <w:sz w:val="22"/>
          <w:szCs w:val="22"/>
        </w:rPr>
        <w:t xml:space="preserve">La continuidad institucional que sobrevive transiciones políticas (INTA opera ininterrumpidamente desde 1956).</w:t>
      </w:r>
    </w:p>
    <w:p>
      <w:pPr>
        <w:spacing w:after="160" w:before="0"/>
        <w:jc w:val="both"/>
      </w:pPr>
      <w:r>
        <w:rPr>
          <w:rFonts w:ascii="Arial" w:cs="Arial" w:eastAsia="Arial" w:hAnsi="Arial"/>
          <w:b w:val="false"/>
          <w:bCs w:val="false"/>
          <w:i w:val="false"/>
          <w:iCs w:val="false"/>
          <w:color w:val="212121"/>
          <w:sz w:val="22"/>
          <w:szCs w:val="22"/>
        </w:rPr>
        <w:t xml:space="preserve">PLANISV debe establecerse como programa estratégico prioritario dentro de INTA, con líneas presupuestarias y personal dedicados, pero gobernado por la autoridad interministerial del programa para asegurar coordinación transversal de gobierno.</w:t>
      </w:r>
    </w:p>
    <w:p>
      <w:pPr>
        <w:pStyle w:val="Heading2"/>
        <w:spacing w:before="300" w:after="120"/>
      </w:pPr>
      <w:r>
        <w:rPr>
          <w:rFonts w:ascii="Arial" w:cs="Arial" w:eastAsia="Arial" w:hAnsi="Arial"/>
          <w:b/>
          <w:bCs/>
          <w:color w:val="2E7D32"/>
          <w:sz w:val="28"/>
          <w:szCs w:val="28"/>
        </w:rPr>
        <w:t xml:space="preserve">14.3 Marco Legislativo</w:t>
      </w:r>
    </w:p>
    <w:p>
      <w:pPr>
        <w:spacing w:after="160" w:before="0"/>
        <w:jc w:val="both"/>
      </w:pPr>
      <w:r>
        <w:rPr>
          <w:rFonts w:ascii="Arial" w:cs="Arial" w:eastAsia="Arial" w:hAnsi="Arial"/>
          <w:b w:val="false"/>
          <w:bCs w:val="false"/>
          <w:i w:val="false"/>
          <w:iCs w:val="false"/>
          <w:color w:val="212121"/>
          <w:sz w:val="22"/>
          <w:szCs w:val="22"/>
        </w:rPr>
        <w:t xml:space="preserve">Para asegurar permanencia institucional más allá de cualquier administración, PLANISV debe establecerse por ley:</w:t>
      </w:r>
    </w:p>
    <w:p>
      <w:pPr>
        <w:pStyle w:val="ListParagraph"/>
        <w:numPr>
          <w:ilvl w:val="0"/>
          <w:numId w:val="18"/>
        </w:numPr>
        <w:spacing w:after="100"/>
        <w:jc w:val="both"/>
      </w:pPr>
      <w:r>
        <w:rPr>
          <w:rFonts w:ascii="Arial" w:cs="Arial" w:eastAsia="Arial" w:hAnsi="Arial"/>
          <w:color w:val="212121"/>
          <w:sz w:val="22"/>
          <w:szCs w:val="22"/>
        </w:rPr>
        <w:t xml:space="preserve">Ley de Infraestructura de Suelo Vivo: Establece la Infraestructura de Suelo Vivo como categoría de activo nacional reconocida. Crea el Fondo Nacional de Suelo Vivo. Ordena el Tablero Nacional y el Informe Nacional anual.</w:t>
      </w:r>
    </w:p>
    <w:p>
      <w:pPr>
        <w:pStyle w:val="ListParagraph"/>
        <w:numPr>
          <w:ilvl w:val="0"/>
          <w:numId w:val="18"/>
        </w:numPr>
        <w:spacing w:after="100"/>
        <w:jc w:val="both"/>
      </w:pPr>
      <w:r>
        <w:rPr>
          <w:rFonts w:ascii="Arial" w:cs="Arial" w:eastAsia="Arial" w:hAnsi="Arial"/>
          <w:color w:val="212121"/>
          <w:sz w:val="22"/>
          <w:szCs w:val="22"/>
        </w:rPr>
        <w:t xml:space="preserve">Modificación de la Ley de Conservación de Suelos (Ley 22.428): Actualizar la ley de conservación de suelos existente (1981) para incluir salud biológica del suelo, secuestro de carbono y restauración impulsada por tecnología como objetivos de conservación.</w:t>
      </w:r>
    </w:p>
    <w:p>
      <w:pPr>
        <w:pStyle w:val="ListParagraph"/>
        <w:numPr>
          <w:ilvl w:val="0"/>
          <w:numId w:val="18"/>
        </w:numPr>
        <w:spacing w:after="100"/>
        <w:jc w:val="both"/>
      </w:pPr>
      <w:r>
        <w:rPr>
          <w:rFonts w:ascii="Arial" w:cs="Arial" w:eastAsia="Arial" w:hAnsi="Arial"/>
          <w:color w:val="212121"/>
          <w:sz w:val="22"/>
          <w:szCs w:val="22"/>
        </w:rPr>
        <w:t xml:space="preserve">Disposición de afectación de retenciones: Mecanismo legal para dirigir un porcentaje de los derechos de exportación agropecuarios al Fondo Nacional.</w:t>
      </w:r>
    </w:p>
    <w:p>
      <w:pPr>
        <w:pStyle w:val="ListParagraph"/>
        <w:numPr>
          <w:ilvl w:val="0"/>
          <w:numId w:val="18"/>
        </w:numPr>
        <w:spacing w:after="100"/>
        <w:jc w:val="both"/>
      </w:pPr>
      <w:r>
        <w:rPr>
          <w:rFonts w:ascii="Arial" w:cs="Arial" w:eastAsia="Arial" w:hAnsi="Arial"/>
          <w:color w:val="212121"/>
          <w:sz w:val="22"/>
          <w:szCs w:val="22"/>
        </w:rPr>
        <w:t xml:space="preserve">Marco regulatorio de créditos de carbono: Establecer estándares argentinos para créditos de carbono de suelo agrícola alineados con registros internacionales.</w:t>
      </w:r>
    </w:p>
    <w:p>
      <w:r>
        <w:br w:type="page"/>
      </w:r>
    </w:p>
    <w:p>
      <w:pPr>
        <w:pStyle w:val="Heading1"/>
        <w:spacing w:before="400" w:after="180"/>
      </w:pPr>
      <w:r>
        <w:rPr>
          <w:rFonts w:ascii="Arial" w:cs="Arial" w:eastAsia="Arial" w:hAnsi="Arial"/>
          <w:b/>
          <w:bCs/>
          <w:color w:val="0D47A1"/>
          <w:sz w:val="34"/>
          <w:szCs w:val="34"/>
        </w:rPr>
        <w:t xml:space="preserve">15. EL LLAMADO: CONSTRUIR LA INFRAESTRUCTURA QUE ALIMENTA AL MUNDO</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57F17" w:sz="12"/>
              <w:bottom w:val="none" w:sz="0"/>
              <w:right w:val="none" w:sz="0"/>
            </w:tcBorders>
            <w:tcMar>
              <w:top w:type="dxa" w:w="120"/>
              <w:left w:type="dxa" w:w="300"/>
              <w:bottom w:type="dxa" w:w="120"/>
              <w:right w:type="dxa" w:w="200"/>
            </w:tcMar>
          </w:tcPr>
          <w:p>
            <w:r>
              <w:rPr>
                <w:rFonts w:ascii="Arial" w:cs="Arial" w:eastAsia="Arial" w:hAnsi="Arial"/>
                <w:i/>
                <w:iCs/>
                <w:color w:val="4E342E"/>
                <w:sz w:val="24"/>
                <w:szCs w:val="24"/>
              </w:rPr>
              <w:t xml:space="preserve">La Argentina alimenta a 400 millones de personas a partir de un suelo en el que nunca invirtió sistemáticamente. Imaginen lo que sucede cuando empezamos.</w:t>
            </w:r>
          </w:p>
        </w:tc>
      </w:tr>
    </w:tbl>
    <w:p>
      <w:pPr>
        <w:spacing w:after="80"/>
      </w:pPr>
    </w:p>
    <w:p>
      <w:pPr>
        <w:spacing w:after="160" w:before="0"/>
        <w:jc w:val="both"/>
      </w:pPr>
      <w:r>
        <w:rPr>
          <w:rFonts w:ascii="Arial" w:cs="Arial" w:eastAsia="Arial" w:hAnsi="Arial"/>
          <w:b w:val="false"/>
          <w:bCs w:val="false"/>
          <w:i w:val="false"/>
          <w:iCs w:val="false"/>
          <w:color w:val="212121"/>
          <w:sz w:val="22"/>
          <w:szCs w:val="22"/>
        </w:rPr>
        <w:t xml:space="preserve">La Argentina está en un punto de inflexión definitorio. El suelo que genera el 60–70% de sus ingresos por exportaciones — que alimenta a su pueblo, ancla sus economías rurales y define su rol en el sistema alimentario global — se degrada mediblemente. El costo de la extracción continuada sin restauración no es hipotético: está cuantificado en este documento, y es abrumador.</w:t>
      </w:r>
    </w:p>
    <w:p>
      <w:pPr>
        <w:spacing w:after="160" w:before="0"/>
        <w:jc w:val="both"/>
      </w:pPr>
      <w:r>
        <w:rPr>
          <w:rFonts w:ascii="Arial" w:cs="Arial" w:eastAsia="Arial" w:hAnsi="Arial"/>
          <w:b w:val="false"/>
          <w:bCs w:val="false"/>
          <w:i w:val="false"/>
          <w:iCs w:val="false"/>
          <w:color w:val="212121"/>
          <w:sz w:val="22"/>
          <w:szCs w:val="22"/>
        </w:rPr>
        <w:t xml:space="preserve">Pero esta no es una historia de declinación. Es una oportunidad sin precedentes. Ninguna otra nación agrícola importante tiene un camino realista para convertirse en sumidero neto de carbono a través de la restauración del suelo. Ningún otro gran exportador está posicionado para capturar la prima emergente por producción regenerativa verificada por el gobierno. Ningún otro país puede desplegar un programa nacional de restauración del suelo a través de una red institucional existente (INTA) con la cobertura geográfica y la capacidad técnica que Argentina posee.</w:t>
      </w:r>
    </w:p>
    <w:p>
      <w:pPr>
        <w:spacing w:after="160" w:before="0"/>
        <w:jc w:val="both"/>
      </w:pPr>
      <w:r>
        <w:rPr>
          <w:rFonts w:ascii="Arial" w:cs="Arial" w:eastAsia="Arial" w:hAnsi="Arial"/>
          <w:b w:val="false"/>
          <w:bCs w:val="false"/>
          <w:i w:val="false"/>
          <w:iCs w:val="false"/>
          <w:color w:val="212121"/>
          <w:sz w:val="22"/>
          <w:szCs w:val="22"/>
        </w:rPr>
        <w:t xml:space="preserve">Las tecnologías existen. Los sistemas de inoculación biológica del suelo y los sistemas de optimización de física del agua están comercialmente probados, son escalables y desplegables. La ciencia está establecida. El modelo económico es autorreforzante.</w:t>
      </w:r>
    </w:p>
    <w:p>
      <w:pPr>
        <w:spacing w:after="160" w:before="0"/>
        <w:jc w:val="both"/>
      </w:pPr>
      <w:r>
        <w:rPr>
          <w:rFonts w:ascii="Arial" w:cs="Arial" w:eastAsia="Arial" w:hAnsi="Arial"/>
          <w:b w:val="false"/>
          <w:bCs w:val="false"/>
          <w:i w:val="false"/>
          <w:iCs w:val="false"/>
          <w:color w:val="212121"/>
          <w:sz w:val="22"/>
          <w:szCs w:val="22"/>
        </w:rPr>
        <w:t xml:space="preserve">Lo que falta es la decisión de tratar al suelo como lo que es: la infraestructura más importante que tiene la Argentina.</w:t>
      </w:r>
    </w:p>
    <w:p>
      <w:pPr>
        <w:spacing w:after="80"/>
      </w:pPr>
    </w:p>
    <w:p>
      <w:pPr>
        <w:pStyle w:val="Heading2"/>
        <w:spacing w:before="300" w:after="120"/>
      </w:pPr>
      <w:r>
        <w:rPr>
          <w:rFonts w:ascii="Arial" w:cs="Arial" w:eastAsia="Arial" w:hAnsi="Arial"/>
          <w:b/>
          <w:bCs/>
          <w:color w:val="2E7D32"/>
          <w:sz w:val="28"/>
          <w:szCs w:val="28"/>
        </w:rPr>
        <w:t xml:space="preserve">Próximos Pasos Inmediatos</w:t>
      </w:r>
    </w:p>
    <w:p>
      <w:pPr>
        <w:pStyle w:val="ListParagraph"/>
        <w:numPr>
          <w:ilvl w:val="0"/>
          <w:numId w:val="19"/>
        </w:numPr>
        <w:spacing w:after="100"/>
        <w:jc w:val="both"/>
      </w:pPr>
      <w:r>
        <w:rPr>
          <w:rFonts w:ascii="Arial" w:cs="Arial" w:eastAsia="Arial" w:hAnsi="Arial"/>
          <w:color w:val="212121"/>
          <w:sz w:val="22"/>
          <w:szCs w:val="22"/>
        </w:rPr>
        <w:t xml:space="preserve">Directiva presidencial o ministerial estableciendo PLANISV como programa estratégico nacional, con SAGyP como líder y INTA como columna vertebral operativa.</w:t>
      </w:r>
    </w:p>
    <w:p>
      <w:pPr>
        <w:pStyle w:val="ListParagraph"/>
        <w:numPr>
          <w:ilvl w:val="0"/>
          <w:numId w:val="19"/>
        </w:numPr>
        <w:spacing w:after="100"/>
        <w:jc w:val="both"/>
      </w:pPr>
      <w:r>
        <w:rPr>
          <w:rFonts w:ascii="Arial" w:cs="Arial" w:eastAsia="Arial" w:hAnsi="Arial"/>
          <w:color w:val="212121"/>
          <w:sz w:val="22"/>
          <w:szCs w:val="22"/>
        </w:rPr>
        <w:t xml:space="preserve">Conformar comité de coordinación interministerial PLANISV (SAGyP, Ambiente, Salud, Ciencia y Tecnología, Cancillería, Desarrollo Social).</w:t>
      </w:r>
    </w:p>
    <w:p>
      <w:pPr>
        <w:pStyle w:val="ListParagraph"/>
        <w:numPr>
          <w:ilvl w:val="0"/>
          <w:numId w:val="19"/>
        </w:numPr>
        <w:spacing w:after="100"/>
        <w:jc w:val="both"/>
      </w:pPr>
      <w:r>
        <w:rPr>
          <w:rFonts w:ascii="Arial" w:cs="Arial" w:eastAsia="Arial" w:hAnsi="Arial"/>
          <w:color w:val="212121"/>
          <w:sz w:val="22"/>
          <w:szCs w:val="22"/>
        </w:rPr>
        <w:t xml:space="preserve">INTA designa 50 Estaciones Experimentales para despliegue de Fase 1 Nivel 1 en 6 agro-regiones.</w:t>
      </w:r>
    </w:p>
    <w:p>
      <w:pPr>
        <w:pStyle w:val="ListParagraph"/>
        <w:numPr>
          <w:ilvl w:val="0"/>
          <w:numId w:val="19"/>
        </w:numPr>
        <w:spacing w:after="100"/>
        <w:jc w:val="both"/>
      </w:pPr>
      <w:r>
        <w:rPr>
          <w:rFonts w:ascii="Arial" w:cs="Arial" w:eastAsia="Arial" w:hAnsi="Arial"/>
          <w:color w:val="212121"/>
          <w:sz w:val="22"/>
          <w:szCs w:val="22"/>
        </w:rPr>
        <w:t xml:space="preserve">Publicar especificaciones técnicas de desempeño y convocatoria abierta para proveedores de tecnología certificados (certificación INTI).</w:t>
      </w:r>
    </w:p>
    <w:p>
      <w:pPr>
        <w:pStyle w:val="ListParagraph"/>
        <w:numPr>
          <w:ilvl w:val="0"/>
          <w:numId w:val="19"/>
        </w:numPr>
        <w:spacing w:after="100"/>
        <w:jc w:val="both"/>
      </w:pPr>
      <w:r>
        <w:rPr>
          <w:rFonts w:ascii="Arial" w:cs="Arial" w:eastAsia="Arial" w:hAnsi="Arial"/>
          <w:color w:val="212121"/>
          <w:sz w:val="22"/>
          <w:szCs w:val="22"/>
        </w:rPr>
        <w:t xml:space="preserve">Iniciar capitalización del Fondo Nacional de Suelo Vivo: propuesta de afectación de retenciones al Congreso; solicitudes de financiamiento internacional (GCF, BID, Banco Mundial).</w:t>
      </w:r>
    </w:p>
    <w:p>
      <w:pPr>
        <w:pStyle w:val="ListParagraph"/>
        <w:numPr>
          <w:ilvl w:val="0"/>
          <w:numId w:val="19"/>
        </w:numPr>
        <w:spacing w:after="100"/>
        <w:jc w:val="both"/>
      </w:pPr>
      <w:r>
        <w:rPr>
          <w:rFonts w:ascii="Arial" w:cs="Arial" w:eastAsia="Arial" w:hAnsi="Arial"/>
          <w:color w:val="212121"/>
          <w:sz w:val="22"/>
          <w:szCs w:val="22"/>
        </w:rPr>
        <w:t xml:space="preserve">Lanzar muestreo de línea base del Censo Nacional de Suelo Vivo dentro de los 90 días de la autorización del programa.</w:t>
      </w:r>
    </w:p>
    <w:p>
      <w:pPr>
        <w:pStyle w:val="ListParagraph"/>
        <w:numPr>
          <w:ilvl w:val="0"/>
          <w:numId w:val="19"/>
        </w:numPr>
        <w:spacing w:after="100"/>
        <w:jc w:val="both"/>
      </w:pPr>
      <w:r>
        <w:rPr>
          <w:rFonts w:ascii="Arial" w:cs="Arial" w:eastAsia="Arial" w:hAnsi="Arial"/>
          <w:color w:val="212121"/>
          <w:sz w:val="22"/>
          <w:szCs w:val="22"/>
        </w:rPr>
        <w:t xml:space="preserve">Establecer Comité Técnico Asesor de PLANISV: investigadores de INTA, docentes universitarios, líderes CREA, SENASA, representantes de productores.</w:t>
      </w:r>
    </w:p>
    <w:p>
      <w:pPr>
        <w:pStyle w:val="ListParagraph"/>
        <w:numPr>
          <w:ilvl w:val="0"/>
          <w:numId w:val="19"/>
        </w:numPr>
        <w:spacing w:after="100"/>
        <w:jc w:val="both"/>
      </w:pPr>
      <w:r>
        <w:rPr>
          <w:rFonts w:ascii="Arial" w:cs="Arial" w:eastAsia="Arial" w:hAnsi="Arial"/>
          <w:color w:val="212121"/>
          <w:sz w:val="22"/>
          <w:szCs w:val="22"/>
        </w:rPr>
        <w:t xml:space="preserve">Iniciar la redacción de la Ley de Infraestructura de Suelo Vivo para su presentación al Congreso.</w:t>
      </w:r>
    </w:p>
    <w:p>
      <w:pPr>
        <w:spacing w:after="300"/>
      </w:pPr>
    </w:p>
    <w:p>
      <w:pPr>
        <w:pBdr>
          <w:top w:val="single" w:color="0D47A1" w:sz="4" w:space="12"/>
        </w:pBdr>
        <w:spacing w:before="200"/>
        <w:jc w:val="center"/>
      </w:pPr>
      <w:r>
        <w:rPr>
          <w:rFonts w:ascii="Arial" w:cs="Arial" w:eastAsia="Arial" w:hAnsi="Arial"/>
          <w:b/>
          <w:bCs/>
          <w:color w:val="0D47A1"/>
          <w:sz w:val="26"/>
          <w:szCs w:val="26"/>
        </w:rPr>
        <w:t xml:space="preserve">LA DEUDA CON EL SUELO ES LA DEUDA REAL.</w:t>
      </w:r>
    </w:p>
    <w:p>
      <w:pPr>
        <w:spacing w:after="20"/>
      </w:pPr>
    </w:p>
    <w:p>
      <w:pPr>
        <w:jc w:val="center"/>
      </w:pPr>
      <w:r>
        <w:rPr>
          <w:rFonts w:ascii="Arial" w:cs="Arial" w:eastAsia="Arial" w:hAnsi="Arial"/>
          <w:b/>
          <w:bCs/>
          <w:color w:val="0D47A1"/>
          <w:sz w:val="24"/>
          <w:szCs w:val="24"/>
        </w:rPr>
        <w:t xml:space="preserve">ES HORA DE CONSTRUIR.</w:t>
      </w:r>
    </w:p>
    <w:p>
      <w:pPr>
        <w:spacing w:after="40"/>
      </w:pPr>
    </w:p>
    <w:p>
      <w:pPr>
        <w:jc w:val="center"/>
      </w:pPr>
      <w:r>
        <w:rPr>
          <w:rFonts w:ascii="Arial" w:cs="Arial" w:eastAsia="Arial" w:hAnsi="Arial"/>
          <w:i/>
          <w:iCs/>
          <w:color w:val="616161"/>
          <w:sz w:val="20"/>
          <w:szCs w:val="20"/>
        </w:rPr>
        <w:t xml:space="preserve">— Fin del Documento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1" w:space="6"/>
      </w:pBdr>
      <w:jc w:val="center"/>
    </w:pPr>
    <w:r>
      <w:rPr>
        <w:rFonts w:ascii="Arial" w:cs="Arial" w:eastAsia="Arial" w:hAnsi="Arial"/>
        <w:color w:val="616161"/>
        <w:sz w:val="16"/>
        <w:szCs w:val="16"/>
      </w:rPr>
      <w:t xml:space="preserve">CONFIDENCIAL  —  PLANISV  —  Página </w:t>
    </w:r>
    <w:r>
      <w:rPr>
        <w:rFonts w:ascii="Arial" w:cs="Arial" w:eastAsia="Arial" w:hAnsi="Arial"/>
        <w:color w:val="61616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jc w:val="left"/>
    </w:pPr>
    <w:r>
      <w:rPr>
        <w:rFonts w:ascii="Arial" w:cs="Arial" w:eastAsia="Arial" w:hAnsi="Arial"/>
        <w:b/>
        <w:bCs/>
        <w:color w:val="0D47A1"/>
        <w:sz w:val="16"/>
        <w:szCs w:val="16"/>
      </w:rPr>
      <w:t xml:space="preserve">PLAN NACIONAL DE INFRAESTRUCTURA DE SUELO VIVO</w:t>
    </w:r>
    <w:r>
      <w:rPr>
        <w:rFonts w:ascii="Arial" w:cs="Arial" w:eastAsia="Arial" w:hAnsi="Arial"/>
        <w:i/>
        <w:iCs/>
        <w:color w:val="616161"/>
        <w:sz w:val="16"/>
        <w:szCs w:val="16"/>
      </w:rPr>
      <w:t xml:space="preserve">	PLANISV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2"/>
    <w:lvlOverride w:ilvl="0">
      <w:startOverride w:val="1"/>
    </w:lvlOverride>
  </w:num>
  <w:num w:numId="3">
    <w:abstractNumId w:val="33"/>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34"/>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35"/>
    <w:lvlOverride w:ilvl="0">
      <w:startOverride w:val="1"/>
    </w:lvlOverride>
  </w:num>
  <w:num w:numId="14">
    <w:abstractNumId w:val="36"/>
    <w:lvlOverride w:ilvl="0">
      <w:startOverride w:val="1"/>
    </w:lvlOverride>
  </w:num>
  <w:num w:numId="15">
    <w:abstractNumId w:val="37"/>
    <w:lvlOverride w:ilvl="0">
      <w:startOverride w:val="1"/>
    </w:lvlOverride>
  </w:num>
  <w:num w:numId="16">
    <w:abstractNumId w:val="38"/>
    <w:lvlOverride w:ilvl="0">
      <w:startOverride w:val="1"/>
    </w:lvlOverride>
  </w:num>
  <w:num w:numId="17">
    <w:abstractNumId w:val="11"/>
    <w:lvlOverride w:ilvl="0">
      <w:startOverride w:val="1"/>
    </w:lvlOverride>
  </w:num>
  <w:num w:numId="18">
    <w:abstractNumId w:val="39"/>
    <w:lvlOverride w:ilvl="0">
      <w:startOverride w:val="1"/>
    </w:lvlOverride>
  </w:num>
  <w:num w:numId="19">
    <w:abstractNumId w:val="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0D47A1"/>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2E7D32"/>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2026-03-13T14:46:53.958Z</dcterms:created>
  <dcterms:modified xsi:type="dcterms:W3CDTF">2026-03-13T14:46:53.959Z</dcterms:modified>
</cp:coreProperties>
</file>

<file path=docProps/custom.xml><?xml version="1.0" encoding="utf-8"?>
<Properties xmlns="http://schemas.openxmlformats.org/officeDocument/2006/custom-properties" xmlns:vt="http://schemas.openxmlformats.org/officeDocument/2006/docPropsVTypes"/>
</file>