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Zonal waves, also called planetary waves, that can develop in the extratropical latitudes of the Southern Hemisphere (SH), have received some attention by the scientific community because of its role in modulating weather systems and regional climate (xxREF). They are typically characterized by applying Fourier decomposition to hemispheric anomalies of sea-level pressure or geopotential heights. On the other hand,</w:t>
      </w:r>
      <w:r>
        <w:t xml:space="preserve"> </w:t>
      </w:r>
      <w:r>
        <w:t xml:space="preserve">“</w:t>
      </w:r>
      <w:r>
        <w:t xml:space="preserve">stationary waves</w:t>
      </w:r>
      <w:r>
        <w:t xml:space="preserve">”</w:t>
      </w:r>
      <w:r>
        <w:t xml:space="preserve"> </w:t>
      </w:r>
      <w:r>
        <w:t xml:space="preserve">or</w:t>
      </w:r>
      <w:r>
        <w:t xml:space="preserve"> </w:t>
      </w:r>
      <w:r>
        <w:t xml:space="preserve">“</w:t>
      </w:r>
      <w:r>
        <w:t xml:space="preserve">quasi-stationary waves</w:t>
      </w:r>
      <w:r>
        <w:t xml:space="preserve">”</w:t>
      </w:r>
      <w:r>
        <w:t xml:space="preserve"> </w:t>
      </w:r>
      <w:r>
        <w:t xml:space="preserve">are terms generally reserved in the literature to the zonal asymmetries of the time mean field (</w:t>
      </w:r>
      <m:oMath>
        <m:sSup>
          <m:e>
            <m:bar>
              <m:barPr>
                <m:pos m:val="top"/>
              </m:barPr>
              <m:e>
                <m:r>
                  <m:t>ϕ</m:t>
                </m:r>
              </m:e>
            </m:bar>
          </m:e>
          <m:sup>
            <m:r>
              <m:t>*</m:t>
            </m:r>
          </m:sup>
        </m:sSup>
      </m:oMath>
      <w:r>
        <w:t xml:space="preserve">). These terms are sometimes used interchangeably in the SH circulation related studies</w:t>
      </w:r>
      <w:r>
        <w:t xml:space="preserve"> </w:t>
      </w:r>
      <w:r>
        <w:t xml:space="preserve">(e.g. Rao, Fernandez, and Franchito 2004; Raphael 2004; Kravchenko et al. 2012; Irving and Simmonds 2015; Turner et al. 2017; Lastovicka, Krizan, and Kozubek 2018)</w:t>
      </w:r>
      <w:r>
        <w:t xml:space="preserve">. This leads to both inter and intra-studies inconsistencies.</w:t>
      </w:r>
    </w:p>
    <w:p>
      <w:pPr>
        <w:pStyle w:val="BodyText"/>
      </w:pPr>
      <w:r>
        <w:t xml:space="preserve">As examples of the former,</w:t>
      </w:r>
      <w:r>
        <w:t xml:space="preserve"> </w:t>
      </w:r>
      <w:r>
        <w:t xml:space="preserve">Quintanar and Mechoso (1995)</w:t>
      </w:r>
      <w:r>
        <w:t xml:space="preserve"> </w:t>
      </w:r>
      <w:r>
        <w:t xml:space="preserve">define</w:t>
      </w:r>
      <w:r>
        <w:t xml:space="preserve"> </w:t>
      </w:r>
      <w:r>
        <w:t xml:space="preserve">“</w:t>
      </w:r>
      <w:r>
        <w:t xml:space="preserve">quasi-stationary waves (QS)</w:t>
      </w:r>
      <w:r>
        <w:t xml:space="preserve">”</w:t>
      </w:r>
      <w:r>
        <w:t xml:space="preserve"> </w:t>
      </w:r>
      <w:r>
        <w:t xml:space="preserve">as the zonally asymmetric component of the climatological mean field.</w:t>
      </w:r>
      <w:r>
        <w:t xml:space="preserve"> </w:t>
      </w:r>
      <w:r>
        <w:t xml:space="preserve">Raphael (2004)</w:t>
      </w:r>
      <w:r>
        <w:t xml:space="preserve">, conversely, use the term</w:t>
      </w:r>
      <w:r>
        <w:t xml:space="preserve"> </w:t>
      </w:r>
      <w:r>
        <w:t xml:space="preserve">“</w:t>
      </w:r>
      <w:r>
        <w:t xml:space="preserve">zonal wave (ZW)</w:t>
      </w:r>
      <w:r>
        <w:t xml:space="preserve">”</w:t>
      </w:r>
      <w:r>
        <w:t xml:space="preserve"> </w:t>
      </w:r>
      <w:r>
        <w:t xml:space="preserve">when describing her index of planetary waves with wavenumber 3 in phase with the climatological mean wave 3.</w:t>
      </w:r>
      <w:r>
        <w:t xml:space="preserve"> </w:t>
      </w:r>
      <w:r>
        <w:t xml:space="preserve">Irving and Simmonds (2015)</w:t>
      </w:r>
      <w:r>
        <w:t xml:space="preserve"> </w:t>
      </w:r>
      <w:r>
        <w:t xml:space="preserve">compare</w:t>
      </w:r>
      <w:r>
        <w:t xml:space="preserve"> </w:t>
      </w:r>
      <w:r>
        <w:t xml:space="preserve">Raphael (2004)</w:t>
      </w:r>
      <w:r>
        <w:t xml:space="preserve">’s QS index with their own index computed as the integrated southern hemisphere zonal</w:t>
      </w:r>
      <w:r>
        <w:t xml:space="preserve"> </w:t>
      </w:r>
      <w:r>
        <w:t xml:space="preserve">“</w:t>
      </w:r>
      <w:r>
        <w:t xml:space="preserve">waviness</w:t>
      </w:r>
      <w:r>
        <w:t xml:space="preserve">”</w:t>
      </w:r>
      <w:r>
        <w:t xml:space="preserve"> </w:t>
      </w:r>
      <w:r>
        <w:t xml:space="preserve">irrespective of phase.</w:t>
      </w:r>
    </w:p>
    <w:p>
      <w:pPr>
        <w:pStyle w:val="BodyText"/>
      </w:pPr>
      <w:r>
        <w:t xml:space="preserve">As for intra-studies inconsistencies,</w:t>
      </w:r>
      <w:r>
        <w:t xml:space="preserve"> </w:t>
      </w:r>
      <w:r>
        <w:t xml:space="preserve">Rao, Fernandez, and Franchito (2004)</w:t>
      </w:r>
      <w:r>
        <w:t xml:space="preserve"> </w:t>
      </w:r>
      <w:r>
        <w:t xml:space="preserve">follow the nomenclature of</w:t>
      </w:r>
      <w:r>
        <w:t xml:space="preserve"> </w:t>
      </w:r>
      <w:r>
        <w:t xml:space="preserve">Quintanar and Mechoso (1995)</w:t>
      </w:r>
      <w:r>
        <w:t xml:space="preserve"> </w:t>
      </w:r>
      <w:r>
        <w:t xml:space="preserve">for QS, but they analyze the mean amplitude of ZW instead of the amplitude of QS.</w:t>
      </w:r>
      <w:r>
        <w:t xml:space="preserve"> </w:t>
      </w:r>
      <w:r>
        <w:t xml:space="preserve">Kravchenko et al. (2012)</w:t>
      </w:r>
      <w:r>
        <w:t xml:space="preserve"> </w:t>
      </w:r>
      <w:r>
        <w:t xml:space="preserve">analyze temperature ZW amplitude as a predictor of total ozone, but call it</w:t>
      </w:r>
      <w:r>
        <w:t xml:space="preserve"> </w:t>
      </w:r>
      <w:r>
        <w:t xml:space="preserve">“</w:t>
      </w:r>
      <w:r>
        <w:t xml:space="preserve">quasi-stationary amplitude</w:t>
      </w:r>
      <w:r>
        <w:t xml:space="preserve">”</w:t>
      </w:r>
      <w:r>
        <w:t xml:space="preserve">.</w:t>
      </w:r>
      <w:r>
        <w:t xml:space="preserve"> </w:t>
      </w:r>
      <w:r>
        <w:t xml:space="preserve">Turner et al. (2017)</w:t>
      </w:r>
      <w:r>
        <w:t xml:space="preserve"> </w:t>
      </w:r>
      <w:r>
        <w:t xml:space="preserve">use</w:t>
      </w:r>
      <w:r>
        <w:t xml:space="preserve"> </w:t>
      </w:r>
      <w:r>
        <w:t xml:space="preserve">“</w:t>
      </w:r>
      <w:r>
        <w:t xml:space="preserve">planetary wave k</w:t>
      </w:r>
      <w:r>
        <w:t xml:space="preserve">”</w:t>
      </w:r>
      <w:r>
        <w:t xml:space="preserve">,</w:t>
      </w:r>
      <w:r>
        <w:t xml:space="preserve"> </w:t>
      </w:r>
      <w:r>
        <w:t xml:space="preserve">“</w:t>
      </w:r>
      <w:r>
        <w:t xml:space="preserve">quasi-stationary wave k</w:t>
      </w:r>
      <w:r>
        <w:t xml:space="preserve">”</w:t>
      </w:r>
      <w:r>
        <w:t xml:space="preserve"> </w:t>
      </w:r>
      <w:r>
        <w:t xml:space="preserve">and</w:t>
      </w:r>
      <w:r>
        <w:t xml:space="preserve"> </w:t>
      </w:r>
      <w:r>
        <w:t xml:space="preserve">“</w:t>
      </w:r>
      <w:r>
        <w:t xml:space="preserve">wave number k</w:t>
      </w:r>
      <w:r>
        <w:t xml:space="preserve">”</w:t>
      </w:r>
      <w:r>
        <w:t xml:space="preserve"> </w:t>
      </w:r>
      <w:r>
        <w:t xml:space="preserve">as synonymous in their analysis of QS associated with different wavenumbers k. Furthermore,</w:t>
      </w:r>
      <w:r>
        <w:t xml:space="preserve"> </w:t>
      </w:r>
      <w:r>
        <w:t xml:space="preserve">Lastovicka, Krizan, and Kozubek (2018)</w:t>
      </w:r>
      <w:r>
        <w:t xml:space="preserve"> </w:t>
      </w:r>
      <w:r>
        <w:t xml:space="preserve">study QS and ZW but they use the term</w:t>
      </w:r>
      <w:r>
        <w:t xml:space="preserve"> </w:t>
      </w:r>
      <w:r>
        <w:t xml:space="preserve">“</w:t>
      </w:r>
      <w:r>
        <w:t xml:space="preserve">stationary planetary wave (SPW)</w:t>
      </w:r>
      <w:r>
        <w:t xml:space="preserve">”</w:t>
      </w:r>
      <w:r>
        <w:t xml:space="preserve"> </w:t>
      </w:r>
      <w:r>
        <w:t xml:space="preserve">to refer to both.</w:t>
      </w:r>
    </w:p>
    <w:p>
      <w:pPr>
        <w:pStyle w:val="BodyText"/>
      </w:pPr>
      <w:r>
        <w:t xml:space="preserve">As the name suggests, it is recognized that QS are not completely stationary. They are the result of the superposition of many individual ZW, hence there can be variability of their individual phases. However, there are not recent studies assessing how</w:t>
      </w:r>
      <w:r>
        <w:t xml:space="preserve"> </w:t>
      </w:r>
      <w:r>
        <w:t xml:space="preserve">“</w:t>
      </w:r>
      <w:r>
        <w:t xml:space="preserve">stationary</w:t>
      </w:r>
      <w:r>
        <w:t xml:space="preserve">”</w:t>
      </w:r>
      <w:r>
        <w:t xml:space="preserve"> </w:t>
      </w:r>
      <w:r>
        <w:t xml:space="preserve">or</w:t>
      </w:r>
      <w:r>
        <w:t xml:space="preserve"> </w:t>
      </w:r>
      <w:r>
        <w:t xml:space="preserve">“</w:t>
      </w:r>
      <w:r>
        <w:t xml:space="preserve">quasi-stationary</w:t>
      </w:r>
      <w:r>
        <w:t xml:space="preserve">”</w:t>
      </w:r>
      <w:r>
        <w:t xml:space="preserve"> </w:t>
      </w:r>
      <w:r>
        <w:t xml:space="preserve">ZW are in the SH.</w:t>
      </w:r>
    </w:p>
    <w:p>
      <w:pPr>
        <w:pStyle w:val="BodyText"/>
      </w:pPr>
      <w:r>
        <w:t xml:space="preserve">In this study we show that the degree of stationarity of quasi-stationary waves is related to the distinction between QS and ZW. We propose using the ratio between the amplitude of QS and the mean amplitude of ZW as a measure of QS stationarity. By this measure, we show that planetary waves with wavenumbers 2 and 3 are significantly less stationary in the southern hemisphere than in the northern hemisphere.</w:t>
      </w:r>
    </w:p>
    <w:p>
      <w:pPr>
        <w:pStyle w:val="Heading1"/>
      </w:pPr>
      <w:bookmarkStart w:id="21" w:name="methods"/>
      <w:r>
        <w:t xml:space="preserve">Methods</w:t>
      </w:r>
      <w:bookmarkEnd w:id="21"/>
    </w:p>
    <w:p>
      <w:pPr>
        <w:pStyle w:val="Heading2"/>
      </w:pPr>
      <w:bookmarkStart w:id="22" w:name="data"/>
      <w:r>
        <w:t xml:space="preserve">Data</w:t>
      </w:r>
      <w:bookmarkEnd w:id="22"/>
    </w:p>
    <w:p>
      <w:pPr>
        <w:pStyle w:val="FirstParagraph"/>
      </w:pPr>
      <w:r>
        <w:t xml:space="preserve">We will use monthly geopotential fields from the NCEP/NCAR Reanalysis</w:t>
      </w:r>
      <w:r>
        <w:t xml:space="preserve"> </w:t>
      </w:r>
      <w:r>
        <w:t xml:space="preserve">(Kalnay et al. 1996)</w:t>
      </w:r>
      <w:r>
        <w:t xml:space="preserve"> </w:t>
      </w:r>
      <w:r>
        <w:t xml:space="preserve">for the period 1980 to 2017.</w:t>
      </w:r>
    </w:p>
    <w:p>
      <w:pPr>
        <w:pStyle w:val="Heading2"/>
      </w:pPr>
      <w:bookmarkStart w:id="23" w:name="zonal-waves-and-quasi-stationary-waves"/>
      <w:r>
        <w:t xml:space="preserve">Zonal waves and quasi-stationary waves</w:t>
      </w:r>
      <w:bookmarkEnd w:id="23"/>
    </w:p>
    <w:p>
      <w:pPr>
        <w:pStyle w:val="FirstParagraph"/>
      </w:pPr>
      <w:r>
        <w:t xml:space="preserve">In this study we define</w:t>
      </w:r>
      <w:r>
        <w:t xml:space="preserve"> </w:t>
      </w:r>
      <w:r>
        <w:rPr>
          <w:i/>
        </w:rPr>
        <w:t xml:space="preserve">planetary waves</w:t>
      </w:r>
      <w:r>
        <w:t xml:space="preserve"> </w:t>
      </w:r>
      <w:r>
        <w:t xml:space="preserve">as waves that extend along a full latitude circle. Planetary waves of the</w:t>
      </w:r>
      <w:r>
        <w:t xml:space="preserve"> </w:t>
      </w:r>
      <w:r>
        <w:t xml:space="preserve">“</w:t>
      </w:r>
      <w:r>
        <w:t xml:space="preserve">instantaneous</w:t>
      </w:r>
      <w:r>
        <w:t xml:space="preserve">”</w:t>
      </w:r>
      <w:r>
        <w:t xml:space="preserve"> </w:t>
      </w:r>
      <w:r>
        <w:t xml:space="preserve">fields are called in this study,</w:t>
      </w:r>
      <w:r>
        <w:t xml:space="preserve"> </w:t>
      </w:r>
      <w:r>
        <w:rPr>
          <w:i/>
        </w:rPr>
        <w:t xml:space="preserve">zonal waves</w:t>
      </w:r>
      <w:r>
        <w:t xml:space="preserve"> </w:t>
      </w:r>
      <w:r>
        <w:t xml:space="preserve">(ZW), and the ones of the field mean will be called</w:t>
      </w:r>
      <w:r>
        <w:t xml:space="preserve"> </w:t>
      </w:r>
      <w:r>
        <w:rPr>
          <w:i/>
        </w:rPr>
        <w:t xml:space="preserve">quasi-stationary waves</w:t>
      </w:r>
      <w:r>
        <w:t xml:space="preserve"> </w:t>
      </w:r>
      <w:r>
        <w:t xml:space="preserve">(QS). They are characterized by their wavenumber, amplitude and phase such that</w:t>
      </w:r>
    </w:p>
    <w:p>
      <w:pPr>
        <w:pStyle w:val="BodyText"/>
      </w:pPr>
      <w:r>
        <w:t xml:space="preserve">where</w:t>
      </w:r>
      <w:r>
        <w:t xml:space="preserve"> </w:t>
      </w:r>
      <m:oMath>
        <m:r>
          <m:rPr>
            <m:sty m:val="p"/>
          </m:rPr>
          <m:t>k</m:t>
        </m:r>
      </m:oMath>
      <w:r>
        <w:t xml:space="preserve"> </w:t>
      </w:r>
      <w:r>
        <w:t xml:space="preserve">is the wavenumber,</w:t>
      </w:r>
      <w:r>
        <w:t xml:space="preserve"> </w:t>
      </w:r>
      <m:oMath>
        <m:r>
          <m:t>λ</m:t>
        </m:r>
      </m:oMath>
      <w:r>
        <w:t xml:space="preserve"> </w:t>
      </w:r>
      <w:r>
        <w:t xml:space="preserve">the 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the amplitude and phase of each wave, respectively. Note that</w:t>
      </w:r>
      <w:r>
        <w:t xml:space="preserve"> </w:t>
      </w:r>
      <m:oMath>
        <m:r>
          <m:rPr>
            <m:sty m:val="p"/>
          </m:rPr>
          <m:t>Z</m:t>
        </m:r>
        <m:r>
          <m:rPr>
            <m:sty m:val="p"/>
          </m:rPr>
          <m:t>W</m:t>
        </m:r>
        <m:r>
          <m:rPr>
            <m:sty m:val="p"/>
          </m:rPr>
          <m:t>k</m:t>
        </m:r>
        <m:r>
          <m:t>(</m:t>
        </m:r>
        <m:r>
          <m:t>t</m:t>
        </m:r>
        <m:r>
          <m:t>)</m:t>
        </m:r>
      </m:oMath>
      <w:r>
        <w:t xml:space="preserve"> </w:t>
      </w:r>
      <w:r>
        <w:t xml:space="preserve">is, by construction, explicitly dependent on time, while</w:t>
      </w:r>
      <w:r>
        <w:t xml:space="preserve"> </w:t>
      </w:r>
      <m:oMath>
        <m:r>
          <m:rPr>
            <m:sty m:val="p"/>
          </m:rPr>
          <m:t>Q</m:t>
        </m:r>
        <m:r>
          <m:rPr>
            <m:sty m:val="p"/>
          </m:rPr>
          <m:t>S</m:t>
        </m:r>
        <m:r>
          <m:rPr>
            <m:sty m:val="p"/>
          </m:rPr>
          <m:t>k</m:t>
        </m:r>
      </m:oMath>
      <w:r>
        <w:t xml:space="preserve"> </w:t>
      </w:r>
      <w:r>
        <w:t xml:space="preserve">is not. Furthermore, from the properties of wave superposition it can be seen that, in general,</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 that</w:t>
      </w:r>
      <w:r>
        <w:t xml:space="preserve"> </w:t>
      </w:r>
      <m:oMath>
        <m:sSub>
          <m:e>
            <m:r>
              <m:t>A</m:t>
            </m:r>
          </m:e>
          <m:sub>
            <m:r>
              <m:rPr>
                <m:sty m:val="p"/>
              </m:rPr>
              <m:t>Q</m:t>
            </m:r>
            <m:r>
              <m:rPr>
                <m:sty m:val="p"/>
              </m:rPr>
              <m:t>S</m:t>
            </m:r>
            <m:r>
              <m:rPr>
                <m:sty m:val="p"/>
              </m:rPr>
              <m:t>k</m:t>
            </m:r>
          </m:sub>
        </m:sSub>
      </m:oMath>
      <w:r>
        <w:t xml:space="preserve"> </w:t>
      </w:r>
      <w:r>
        <w:t xml:space="preserve">will always be less or equal than</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While these definitions depend on which are the</w:t>
      </w:r>
      <w:r>
        <w:t xml:space="preserve"> </w:t>
      </w:r>
      <w:r>
        <w:t xml:space="preserve">“</w:t>
      </w:r>
      <w:r>
        <w:t xml:space="preserve">instantaneous field</w:t>
      </w:r>
      <w:r>
        <w:t xml:space="preserve">”</w:t>
      </w:r>
      <w:r>
        <w:t xml:space="preserve"> </w:t>
      </w:r>
      <w:r>
        <w:t xml:space="preserve">in question (monthly, daily, sub daily, etc…) and the averaging time scale, they illustrate that ZW are properties of the</w:t>
      </w:r>
      <w:r>
        <w:t xml:space="preserve"> </w:t>
      </w:r>
      <w:r>
        <w:rPr>
          <w:i/>
        </w:rPr>
        <w:t xml:space="preserve">elements</w:t>
      </w:r>
      <w:r>
        <w:t xml:space="preserve"> </w:t>
      </w:r>
      <w:r>
        <w:t xml:space="preserve">of the set, while QS are properties of the set as a whole. This is an important distinction with theoretical and methodological implications that is not always differentiated in the literature.</w:t>
      </w:r>
    </w:p>
    <w:p>
      <w:pPr>
        <w:pStyle w:val="Heading1"/>
      </w:pPr>
      <w:bookmarkStart w:id="24" w:name="results"/>
      <w:r>
        <w:t xml:space="preserve">Results</w:t>
      </w:r>
      <w:bookmarkEnd w:id="24"/>
    </w:p>
    <w:p>
      <w:pPr>
        <w:pStyle w:val="Heading2"/>
      </w:pPr>
      <w:bookmarkStart w:id="25" w:name="amplitude"/>
      <w:r>
        <w:t xml:space="preserve">Amplitude</w:t>
      </w:r>
      <w:bookmarkEnd w:id="25"/>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60</w:t>
      </w:r>
      <w:r>
        <w:t xml:space="preserve">S and 60</w:t>
      </w:r>
      <w:r>
        <w:t xml:space="preserve">N using monthly fields from the NCEP/NCAR reanalysis</w:t>
      </w:r>
      <w:r>
        <w:t xml:space="preserve"> </w:t>
      </w:r>
      <w:r>
        <w:t xml:space="preserve">(Kalnay et al. 1996)</w:t>
      </w:r>
      <w:r>
        <w:t xml:space="preserve"> </w:t>
      </w:r>
      <w:r>
        <w:t xml:space="preserve">between 1980 and 2017. The left column (</w:t>
      </w:r>
      <m:oMath>
        <m:sSub>
          <m:e>
            <m:r>
              <m:t>A</m:t>
            </m:r>
          </m:e>
          <m:sub>
            <m:r>
              <m:rPr>
                <m:sty m:val="p"/>
              </m:rPr>
              <m:t>Q</m:t>
            </m:r>
            <m:r>
              <m:rPr>
                <m:sty m:val="p"/>
              </m:rPr>
              <m:t>S</m:t>
            </m:r>
          </m:sub>
        </m:sSub>
      </m:oMath>
      <w:r>
        <w:t xml:space="preserve">) is computed by taking the amplitude of the averaged geopotential field for each month, level and wavenumber. The right column (</w:t>
      </w:r>
      <m:oMath>
        <m:bar>
          <m:barPr>
            <m:pos m:val="top"/>
          </m:barPr>
          <m:e>
            <m:sSub>
              <m:e>
                <m:r>
                  <m:t>A</m:t>
                </m:r>
              </m:e>
              <m:sub>
                <m:r>
                  <m:rPr>
                    <m:sty m:val="p"/>
                  </m:rPr>
                  <m:t>Z</m:t>
                </m:r>
                <m:r>
                  <m:rPr>
                    <m:sty m:val="p"/>
                  </m:rPr>
                  <m:t>W</m:t>
                </m:r>
              </m:sub>
            </m:sSub>
          </m:e>
        </m:bar>
      </m:oMath>
      <w:r>
        <w:t xml:space="preserve">) is computed by taking the average amplitude of the 49 individual ZW.</w:t>
      </w:r>
    </w:p>
    <w:p>
      <w:pPr>
        <w:pStyle w:val="BodyText"/>
      </w:pPr>
      <w:r>
        <w:t xml:space="preserve">Figure</w:t>
      </w:r>
      <w:r>
        <w:t xml:space="preserve"> </w:t>
      </w:r>
      <w:r>
        <w:t xml:space="preserve"> </w:t>
      </w:r>
      <w:r>
        <w:t xml:space="preserve">(60</w:t>
      </w:r>
      <w:r>
        <w:t xml:space="preserve">S) shows that for planetary wave 1,</w:t>
      </w:r>
      <w:r>
        <w:t xml:space="preserve"> </w:t>
      </w:r>
      <m:oMath>
        <m:sSub>
          <m:e>
            <m:r>
              <m:t>A</m:t>
            </m:r>
          </m:e>
          <m:sub>
            <m:r>
              <m:rPr>
                <m:sty m:val="p"/>
              </m:rPr>
              <m:t>Q</m:t>
            </m:r>
            <m:r>
              <m:rPr>
                <m:sty m:val="p"/>
              </m:rPr>
              <m:t>S</m:t>
            </m:r>
            <m:r>
              <m:rPr>
                <m:sty m:val="p"/>
              </m:rPr>
              <m:t>1</m:t>
            </m:r>
          </m:sub>
        </m:sSub>
      </m:oMath>
      <w:r>
        <w:t xml:space="preserve"> </w:t>
      </w:r>
      <w:r>
        <w:t xml:space="preserve">and</w:t>
      </w:r>
      <w:r>
        <w:t xml:space="preserve"> </w:t>
      </w:r>
      <m:oMath>
        <m:bar>
          <m:barPr>
            <m:pos m:val="top"/>
          </m:barPr>
          <m:e>
            <m:sSub>
              <m:e>
                <m:r>
                  <m:t>A</m:t>
                </m:r>
              </m:e>
              <m:sub>
                <m:r>
                  <m:rPr>
                    <m:sty m:val="p"/>
                  </m:rPr>
                  <m:t>Z</m:t>
                </m:r>
                <m:r>
                  <m:rPr>
                    <m:sty m:val="p"/>
                  </m:rPr>
                  <m:t>W</m:t>
                </m:r>
                <m:r>
                  <m:rPr>
                    <m:sty m:val="p"/>
                  </m:rPr>
                  <m:t>1</m:t>
                </m:r>
              </m:sub>
            </m:sSub>
          </m:e>
        </m:bar>
      </m:oMath>
      <w:r>
        <w:t xml:space="preserve"> </w:t>
      </w:r>
      <w:r>
        <w:t xml:space="preserve">have similar vertical structures, seasonal cycles and even magnitude. On the other hand,</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much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but they have an overall similar structure of one relative maximum in February-March in the middle troposphere and another in July-August that extends to the lower stratosphere. But the details are different, particularly there is a local</w:t>
      </w:r>
      <w:r>
        <w:t xml:space="preserve"> </w:t>
      </w:r>
      <m:oMath>
        <m:sSub>
          <m:e>
            <m:r>
              <m:t>A</m:t>
            </m:r>
          </m:e>
          <m:sub>
            <m:r>
              <m:rPr>
                <m:sty m:val="p"/>
              </m:rPr>
              <m:t>Q</m:t>
            </m:r>
            <m:r>
              <m:rPr>
                <m:sty m:val="p"/>
              </m:rPr>
              <m:t>S</m:t>
            </m:r>
            <m:r>
              <m:rPr>
                <m:sty m:val="p"/>
              </m:rPr>
              <m:t>3</m:t>
            </m:r>
          </m:sub>
        </m:sSub>
      </m:oMath>
      <w:r>
        <w:t xml:space="preserve"> </w:t>
      </w:r>
      <w:r>
        <w:t xml:space="preserve">minimum in November that is not present in</w:t>
      </w:r>
      <w:r>
        <w:t xml:space="preserve"> </w:t>
      </w:r>
      <m:oMath>
        <m:bar>
          <m:barPr>
            <m:pos m:val="top"/>
          </m:barPr>
          <m:e>
            <m:sSub>
              <m:e>
                <m:r>
                  <m:t>A</m:t>
                </m:r>
              </m:e>
              <m:sub>
                <m:r>
                  <m:rPr>
                    <m:sty m:val="p"/>
                  </m:rPr>
                  <m:t>Z</m:t>
                </m:r>
                <m:r>
                  <m:rPr>
                    <m:sty m:val="p"/>
                  </m:rPr>
                  <m:t>W</m:t>
                </m:r>
                <m:r>
                  <m:rPr>
                    <m:sty m:val="p"/>
                  </m:rPr>
                  <m:t>3</m:t>
                </m:r>
              </m:sub>
            </m:sSub>
          </m:e>
        </m:bar>
      </m:oMath>
      <w:r>
        <w:t xml:space="preserve">. The relative individual contribution of each wavenumber is also different.</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is of higher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of similar magnitude in the troposphere. Conversely,</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sSub>
          <m:e>
            <m:r>
              <m:t>A</m:t>
            </m:r>
          </m:e>
          <m:sub>
            <m:r>
              <m:rPr>
                <m:sty m:val="p"/>
              </m:rPr>
              <m:t>Q</m:t>
            </m:r>
            <m:r>
              <m:rPr>
                <m:sty m:val="p"/>
              </m:rPr>
              <m:t>S</m:t>
            </m:r>
            <m:r>
              <m:rPr>
                <m:sty m:val="p"/>
              </m:rPr>
              <m:t>3</m:t>
            </m:r>
          </m:sub>
        </m:sSub>
      </m:oMath>
      <w:r>
        <w:t xml:space="preserve"> </w:t>
      </w:r>
      <w:r>
        <w:t xml:space="preserve">throughout the year and in almost every level with the exception of the aforementioned November minimum.</w:t>
      </w:r>
    </w:p>
    <w:p>
      <w:pPr>
        <w:pStyle w:val="BodyText"/>
      </w:pPr>
      <w:r>
        <w:t xml:space="preserve">In contrast to Figure</w:t>
      </w:r>
      <w:r>
        <w:t xml:space="preserve"> </w:t>
      </w:r>
      <w:r>
        <w:t xml:space="preserve">, Figure</w:t>
      </w:r>
      <w:r>
        <w:t xml:space="preserve"> </w:t>
      </w:r>
      <w:r>
        <w:t xml:space="preserve"> </w:t>
      </w:r>
      <w:r>
        <w:t xml:space="preserve">shows that at 60</w:t>
      </w:r>
      <w:r>
        <w:t xml:space="preserv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very similar for the three wavenumbers. In all cases they have a similar seasonal cycle with similar vertical extent. This shows that the difference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location-dependent.</w:t>
      </w:r>
    </w:p>
    <w:p>
      <w:pPr>
        <w:pStyle w:val="Heading2"/>
      </w:pPr>
      <w:bookmarkStart w:id="28" w:name="stationarity-index"/>
      <w:r>
        <w:t xml:space="preserve">Stationarity Index</w:t>
      </w:r>
      <w:bookmarkEnd w:id="28"/>
    </w:p>
    <w:p>
      <w:pPr>
        <w:pStyle w:val="FirstParagraph"/>
      </w:pPr>
      <w:r>
        <w:t xml:space="preserve">Loon and Jenne (1972)</w:t>
      </w:r>
      <w:r>
        <w:t xml:space="preserve"> </w:t>
      </w:r>
      <w:r>
        <w:t xml:space="preserve">recognized the distinction between</w:t>
      </w:r>
      <w:r>
        <w:t xml:space="preserve"> </w:t>
      </w:r>
      <m:oMath>
        <m:bar>
          <m:barPr>
            <m:pos m:val="top"/>
          </m:barPr>
          <m:e>
            <m:sSub>
              <m:e>
                <m:r>
                  <m:t>A</m:t>
                </m:r>
              </m:e>
              <m:sub>
                <m:r>
                  <m:rPr>
                    <m:sty m:val="p"/>
                  </m:rPr>
                  <m:t>Z</m:t>
                </m:r>
                <m:r>
                  <m:rPr>
                    <m:sty m:val="p"/>
                  </m:rPr>
                  <m:t>W</m:t>
                </m:r>
              </m:sub>
            </m:sSub>
          </m:e>
        </m:bar>
      </m:oMath>
      <w:r>
        <w:t xml:space="preserve"> </w:t>
      </w:r>
      <w:r>
        <w:t xml:space="preserve">and</w:t>
      </w:r>
      <w:r>
        <w:t xml:space="preserve"> </w:t>
      </w:r>
      <m:oMath>
        <m:sSub>
          <m:e>
            <m:r>
              <m:t>A</m:t>
            </m:r>
          </m:e>
          <m:sub>
            <m:r>
              <m:rPr>
                <m:sty m:val="p"/>
              </m:rPr>
              <m:t>Q</m:t>
            </m:r>
            <m:r>
              <m:rPr>
                <m:sty m:val="p"/>
              </m:rPr>
              <m:t>S</m:t>
            </m:r>
          </m:sub>
        </m:sSub>
      </m:oMath>
      <w:r>
        <w:t xml:space="preserve"> </w:t>
      </w:r>
      <w:r>
        <w:t xml:space="preserve">and, deduced that</w:t>
      </w:r>
      <w:r>
        <w:t xml:space="preserve"> </w:t>
      </w:r>
      <w:r>
        <w:t xml:space="preserve">“</w:t>
      </w:r>
      <w:r>
        <w:t xml:space="preserve">the daily phases of waves 2 and 4-6 at 50</w:t>
      </w:r>
      <w:r>
        <w:t xml:space="preserve">S must therefore be random since the waves almost cancel themselves when added, whereas 1 and 3 must recur consistently in certain longitudes since they are significantly large in the climatological mean</w:t>
      </w:r>
      <w:r>
        <w:t xml:space="preserve">”</w:t>
      </w:r>
      <w:r>
        <w:t xml:space="preserve">. This observation motivates that stationary conditions in the circulation of the SH could be measured using the quotient between the two quantities. As an analogy with the constancy of the wind</w:t>
      </w:r>
      <w:r>
        <w:t xml:space="preserve"> </w:t>
      </w:r>
      <w:r>
        <w:t xml:space="preserve">(Singer 1967)</w:t>
      </w:r>
      <w:r>
        <w:t xml:space="preserve">, the stationarity of the QS can be estimated as</w:t>
      </w:r>
    </w:p>
    <w:p>
      <w:pPr>
        <w:pStyle w:val="BodyText"/>
      </w:pPr>
      <w:r>
        <w:t xml:space="preserve">It can be shown that</w:t>
      </w:r>
      <w:r>
        <w:t xml:space="preserve"> </w:t>
      </w:r>
      <m:oMath>
        <m:groupChr>
          <m:groupChrPr>
            <m:chr m:val="̂"/>
            <m:pos m:val="top"/>
            <m:vertJc m:val="bot"/>
          </m:groupChrPr>
          <m:e>
            <m:r>
              <m:t>S</m:t>
            </m:r>
          </m:e>
        </m:groupChr>
        <m:r>
          <m:t>=</m:t>
        </m:r>
        <m:r>
          <m:t>1</m:t>
        </m:r>
      </m:oMath>
      <w:r>
        <w:t xml:space="preserve"> </w:t>
      </w:r>
      <w:r>
        <w:t xml:space="preserve">for completely stationary waves. On the other hand, it can be demonstrated that the expected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Thus, for completely non stationary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w:t>
      </w:r>
    </w:p>
    <w:p>
      <w:pPr>
        <w:pStyle w:val="BodyText"/>
      </w:pPr>
      <m:oMath>
        <m:groupChr>
          <m:groupChrPr>
            <m:chr m:val="̂"/>
            <m:pos m:val="top"/>
            <m:vertJc m:val="bot"/>
          </m:groupChrPr>
          <m:e>
            <m:r>
              <m:t>S</m:t>
            </m:r>
          </m:e>
        </m:groupChr>
      </m:oMath>
      <w:r>
        <w:t xml:space="preserve"> </w:t>
      </w:r>
      <w:r>
        <w:t xml:space="preserve">can equivalently be mathematically defined as</w:t>
      </w:r>
    </w:p>
    <w:p>
      <w:pPr>
        <w:pStyle w:val="BodyText"/>
      </w:pPr>
      <w:r>
        <w:t xml:space="preserve">The numerator is the sum of the projections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Equation</w:t>
      </w:r>
      <w:r>
        <w:t xml:space="preserve"> </w:t>
      </w:r>
      <w:r>
        <w:t xml:space="preserve"> </w:t>
      </w:r>
      <w:r>
        <w:t xml:space="preserve">has some advantages over Equation</w:t>
      </w:r>
      <w:r>
        <w:t xml:space="preserve"> </w:t>
      </w:r>
      <w:r>
        <w:t xml:space="preserve">. First, it makes is clear that stationarity is a mixture of a phase effect and an amplitude effect. Secondly, one can, in principle, replace</w:t>
      </w:r>
      <w:r>
        <w:t xml:space="preserve"> </w:t>
      </w:r>
      <m:oMath>
        <m:sSub>
          <m:e>
            <m:r>
              <m:t>α</m:t>
            </m:r>
          </m:e>
          <m:sub>
            <m:r>
              <m:t>q</m:t>
            </m:r>
            <m:r>
              <m:t>s</m:t>
            </m:r>
          </m:sub>
        </m:sSub>
      </m:oMath>
      <w:r>
        <w:t xml:space="preserve"> </w:t>
      </w:r>
      <w:r>
        <w:t xml:space="preserve">with any direction of interest, allowing to evaluate</w:t>
      </w:r>
      <w:r>
        <w:t xml:space="preserve"> </w:t>
      </w:r>
      <m:oMath>
        <m:groupChr>
          <m:groupChrPr>
            <m:chr m:val="̂"/>
            <m:pos m:val="top"/>
            <m:vertJc m:val="bot"/>
          </m:groupChrPr>
          <m:e>
            <m:r>
              <m:t>S</m:t>
            </m:r>
          </m:e>
        </m:groupChr>
        <m:r>
          <m:t>(</m:t>
        </m:r>
        <m:r>
          <m:t>α</m:t>
        </m:r>
        <m:r>
          <m:t>)</m:t>
        </m:r>
      </m:oMath>
      <w:r>
        <w:t xml:space="preserve">. This can also be useful for removing variability due to the seasonal cycle. The position of the monthly QS3 has a shift of about 15</w:t>
      </w:r>
      <w:r>
        <w:t xml:space="preserve">between January and July</w:t>
      </w:r>
      <w:r>
        <w:t xml:space="preserve"> </w:t>
      </w:r>
      <w:r>
        <w:t xml:space="preserve">(Loon and Jenne 1972)</w:t>
      </w:r>
      <w:r>
        <w:t xml:space="preserve">, so by replacing</w:t>
      </w:r>
      <w:r>
        <w:t xml:space="preserve"> </w:t>
      </w:r>
      <m:oMath>
        <m:sSub>
          <m:e>
            <m:r>
              <m:t>α</m:t>
            </m:r>
          </m:e>
          <m:sub>
            <m:r>
              <m:t>q</m:t>
            </m:r>
            <m:r>
              <m:t>s</m:t>
            </m:r>
          </m:sub>
        </m:sSub>
      </m:oMath>
      <w:r>
        <w:t xml:space="preserve"> </w:t>
      </w:r>
      <w:r>
        <w:t xml:space="preserve">with</w:t>
      </w:r>
      <w:r>
        <w:t xml:space="preserve"> </w:t>
      </w:r>
      <m:oMath>
        <m:sSub>
          <m:e>
            <m:r>
              <m:t>α</m:t>
            </m:r>
          </m:e>
          <m:sub>
            <m:r>
              <m:t>q</m:t>
            </m:r>
            <m:r>
              <m:t>s</m:t>
            </m:r>
          </m:sub>
        </m:sSub>
        <m:r>
          <m:t>(</m:t>
        </m:r>
        <m:r>
          <m:t>m</m:t>
        </m:r>
        <m:r>
          <m:t>o</m:t>
        </m:r>
        <m:r>
          <m:t>n</m:t>
        </m:r>
        <m:r>
          <m:t>t</m:t>
        </m:r>
        <m:r>
          <m:t>h</m:t>
        </m:r>
        <m:r>
          <m:t>)</m:t>
        </m:r>
      </m:oMath>
      <w:r>
        <w:t xml:space="preserve"> </w:t>
      </w:r>
      <w:r>
        <w:t xml:space="preserve">(one for each month) one can evaluate stationarity with respect to the seasonal changing position of the mean wave. Finally, it is possible to transform the sums into running sums with window</w:t>
      </w:r>
      <w:r>
        <w:t xml:space="preserve"> </w:t>
      </w:r>
      <m:oMath>
        <m:r>
          <m:t>w</m:t>
        </m:r>
      </m:oMath>
      <w:r>
        <w:t xml:space="preserve"> </w:t>
      </w:r>
      <w:r>
        <w:t xml:space="preserve">and obtain</w:t>
      </w:r>
      <w:r>
        <w:t xml:space="preserve"> </w:t>
      </w:r>
      <m:oMath>
        <m:groupChr>
          <m:groupChrPr>
            <m:chr m:val="̂"/>
            <m:pos m:val="top"/>
            <m:vertJc m:val="bot"/>
          </m:groupChrPr>
          <m:e>
            <m:r>
              <m:t>S</m:t>
            </m:r>
          </m:e>
        </m:groupChr>
        <m:r>
          <m:t>(</m:t>
        </m:r>
        <m:r>
          <m:t>w</m:t>
        </m:r>
        <m:r>
          <m:t>,</m:t>
        </m:r>
        <m:r>
          <m:t>t</m:t>
        </m:r>
        <m:r>
          <m:t>)</m:t>
        </m:r>
      </m:oMath>
      <w:r>
        <w:t xml:space="preserve"> </w:t>
      </w:r>
      <w:r>
        <w:t xml:space="preserve">and analyse variations of stationarity with time.</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 to our knowledge this is the first time it has been applied to the study of atmospheric waves. However, its statistical properties are not well studied. One problem with</w:t>
      </w:r>
      <w:r>
        <w:t xml:space="preserve"> </w:t>
      </w:r>
      <m:oMath>
        <m:groupChr>
          <m:groupChrPr>
            <m:chr m:val="̂"/>
            <m:pos m:val="top"/>
            <m:vertJc m:val="bot"/>
          </m:groupChrPr>
          <m:e>
            <m:r>
              <m:t>S</m:t>
            </m:r>
          </m:e>
        </m:groupChr>
      </m:oMath>
      <w:r>
        <w:t xml:space="preserve"> </w:t>
      </w:r>
      <w:r>
        <w:t xml:space="preserve">is that, as seen above, its estimation from a finite sample has a positive bias, but its convergence properties are not explored.</w:t>
      </w:r>
    </w:p>
    <w:p>
      <w:pPr>
        <w:pStyle w:val="CaptionedFigure"/>
      </w:pPr>
      <w:r>
        <w:drawing>
          <wp:inline>
            <wp:extent cx="4620126" cy="3696101"/>
            <wp:effectExtent b="0" l="0" r="0" t="0"/>
            <wp:docPr descr="Seasonal cycle of stationarity at 60S and 6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60</w:t>
      </w:r>
      <w:r>
        <w:t xml:space="preserve">S and 60</w:t>
      </w:r>
      <w:r>
        <w:t xml:space="preserve">N computed using Equation</w:t>
      </w:r>
      <w:r>
        <w:t xml:space="preserve"> </w:t>
      </w:r>
    </w:p>
    <w:p>
      <w:pPr>
        <w:pStyle w:val="BodyText"/>
      </w:pPr>
      <w:r>
        <w:t xml:space="preserve">Figure</w:t>
      </w:r>
      <w:r>
        <w:t xml:space="preserve"> </w:t>
      </w:r>
      <w:r>
        <w:t xml:space="preserve"> </w:t>
      </w:r>
      <w:r>
        <w:t xml:space="preserve">shows</w:t>
      </w:r>
      <w:r>
        <w:t xml:space="preserve"> </w:t>
      </w:r>
      <m:oMath>
        <m:groupChr>
          <m:groupChrPr>
            <m:chr m:val="̂"/>
            <m:pos m:val="top"/>
            <m:vertJc m:val="bot"/>
          </m:groupChrPr>
          <m:e>
            <m:r>
              <m:t>S</m:t>
            </m:r>
          </m:e>
        </m:groupChr>
      </m:oMath>
      <w:r>
        <w:t xml:space="preserve"> </w:t>
      </w:r>
      <w:r>
        <w:t xml:space="preserve">for QS 1 to 3 computed using Equation</w:t>
      </w:r>
      <w:r>
        <w:t xml:space="preserve"> </w:t>
      </w:r>
      <w:r>
        <w:t xml:space="preserve"> </w:t>
      </w:r>
      <w:r>
        <w:t xml:space="preserve">at 60</w:t>
      </w:r>
      <w:r>
        <w:t xml:space="preserve">S and 60</w:t>
      </w:r>
      <w:r>
        <w:t xml:space="preserve">N. …..</w:t>
      </w:r>
    </w:p>
    <w:p>
      <w:pPr>
        <w:pStyle w:val="Heading2"/>
      </w:pPr>
      <w:bookmarkStart w:id="30" w:name="considerations-about-phase"/>
      <w:r>
        <w:t xml:space="preserve">Considerations about phase</w:t>
      </w:r>
      <w:bookmarkEnd w:id="30"/>
    </w:p>
    <w:p>
      <w:pPr>
        <w:pStyle w:val="FirstParagraph"/>
      </w:pPr>
    </w:p>
    <w:p>
      <w:pPr>
        <w:pStyle w:val="BodyText"/>
      </w:pPr>
      <w:r>
        <w:t xml:space="preserve">For defining local impacts, the phase of planetary waves is as important as their amplitude if not more. One way of dealing with the phase of ZW is to fix it.</w:t>
      </w:r>
      <w:r>
        <w:t xml:space="preserve"> </w:t>
      </w:r>
      <w:r>
        <w:t xml:space="preserve">Yuan and Li (2008)</w:t>
      </w:r>
      <w:r>
        <w:t xml:space="preserve"> </w:t>
      </w:r>
      <w:r>
        <w:t xml:space="preserve">use Principal Component Analysis on the meridional wind field to obtain a spatial pattern of the leading mode that is very similar to the QS3. The timeseries associated to this mode is, then, an indication of the intensity of the ZW3 that is similar to the QS3. A more direct approach is the index created by</w:t>
      </w:r>
      <w:r>
        <w:t xml:space="preserve"> </w:t>
      </w:r>
      <w:r>
        <w:t xml:space="preserve">Raphael (2004)</w:t>
      </w:r>
      <w:r>
        <w:t xml:space="preserve">. Since it is based on the geopotential height anomalies at the maximums of the QS3, it is sensitive to ZW3 patterns with phase close to the stationary phase. An almost mathematically equivalent approach (with correlation = 0.98) is to compute the projection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w:t>
      </w:r>
      <w:r>
        <w:t xml:space="preserve">(i.e. the expression inside the sum of the numerator in Equation</w:t>
      </w:r>
      <w:r>
        <w:t xml:space="preserve"> </w:t>
      </w:r>
      <w:r>
        <w:t xml:space="preserve">). This methodology has fewer constrains in that the phase of interest can be changed depending on the application.</w:t>
      </w:r>
    </w:p>
    <w:p>
      <w:pPr>
        <w:pStyle w:val="Heading1"/>
      </w:pPr>
      <w:bookmarkStart w:id="31" w:name="conclusions"/>
      <w:r>
        <w:t xml:space="preserve">Conclusions</w:t>
      </w:r>
      <w:bookmarkEnd w:id="31"/>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in light of the discussion in Section</w:t>
      </w:r>
      <w:r>
        <w:t xml:space="preserve"> </w:t>
      </w:r>
      <w:r>
        <w:t xml:space="preserve">, this limitation becomes a feature, not a bug.</w:t>
      </w:r>
    </w:p>
    <w:p>
      <w:pPr>
        <w:pStyle w:val="BodyText"/>
      </w:pPr>
      <w:r>
        <w:t xml:space="preserve">Although having a consistent nomenclature across papers is desirable, we believe that this problems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bookmarkStart w:id="56" w:name="refs"/>
    <w:bookmarkStart w:id="33"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32">
        <w:r>
          <w:rPr>
            <w:rStyle w:val="Hyperlink"/>
          </w:rPr>
          <w:t xml:space="preserve">https://doi.org/10.1175/JCLI-D-15-0287.1</w:t>
        </w:r>
      </w:hyperlink>
      <w:r>
        <w:t xml:space="preserve">.</w:t>
      </w:r>
    </w:p>
    <w:bookmarkEnd w:id="33"/>
    <w:bookmarkStart w:id="35"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34">
        <w:r>
          <w:rPr>
            <w:rStyle w:val="Hyperlink"/>
          </w:rPr>
          <w:t xml:space="preserve">https://doi.org/10.1175/1520-0477(1996)077&lt;0437:TNYRP&gt;2.0.CO;2</w:t>
        </w:r>
      </w:hyperlink>
      <w:r>
        <w:t xml:space="preserve">.</w:t>
      </w:r>
    </w:p>
    <w:bookmarkEnd w:id="35"/>
    <w:bookmarkStart w:id="37" w:name="ref-Kravchenko2012"/>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w:t>
      </w:r>
      <w:r>
        <w:t xml:space="preserve"> </w:t>
      </w:r>
      <w:hyperlink r:id="rId36">
        <w:r>
          <w:rPr>
            <w:rStyle w:val="Hyperlink"/>
          </w:rPr>
          <w:t xml:space="preserve">https://doi.org/10.5194/acp-12-2865-2012</w:t>
        </w:r>
      </w:hyperlink>
      <w:r>
        <w:t xml:space="preserve">.</w:t>
      </w:r>
    </w:p>
    <w:bookmarkEnd w:id="37"/>
    <w:bookmarkStart w:id="39" w:name="ref-Lastovicka2018"/>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w:t>
      </w:r>
      <w:r>
        <w:t xml:space="preserve"> </w:t>
      </w:r>
      <w:hyperlink r:id="rId38">
        <w:r>
          <w:rPr>
            <w:rStyle w:val="Hyperlink"/>
          </w:rPr>
          <w:t xml:space="preserve">https://doi.org/10.5194/angeo-36-181-2018</w:t>
        </w:r>
      </w:hyperlink>
      <w:r>
        <w:t xml:space="preserve">.</w:t>
      </w:r>
    </w:p>
    <w:bookmarkEnd w:id="39"/>
    <w:bookmarkStart w:id="40"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0"/>
    <w:bookmarkStart w:id="42"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1">
        <w:r>
          <w:rPr>
            <w:rStyle w:val="Hyperlink"/>
          </w:rPr>
          <w:t xml:space="preserve">https://doi.org/10.1002/0470016957</w:t>
        </w:r>
      </w:hyperlink>
      <w:r>
        <w:t xml:space="preserve">.</w:t>
      </w:r>
    </w:p>
    <w:bookmarkEnd w:id="42"/>
    <w:bookmarkStart w:id="44"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3">
        <w:r>
          <w:rPr>
            <w:rStyle w:val="Hyperlink"/>
          </w:rPr>
          <w:t xml:space="preserve">https://doi.org/10.1175/1520-0442(1995)008&lt;2659:QSWITS&gt;2.0.CO;2</w:t>
        </w:r>
      </w:hyperlink>
      <w:r>
        <w:t xml:space="preserve">.</w:t>
      </w:r>
    </w:p>
    <w:bookmarkEnd w:id="44"/>
    <w:bookmarkStart w:id="45"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45"/>
    <w:bookmarkStart w:id="47"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46">
        <w:r>
          <w:rPr>
            <w:rStyle w:val="Hyperlink"/>
          </w:rPr>
          <w:t xml:space="preserve">https://doi.org/10.1029/2004GL020365</w:t>
        </w:r>
      </w:hyperlink>
      <w:r>
        <w:t xml:space="preserve">.</w:t>
      </w:r>
    </w:p>
    <w:bookmarkEnd w:id="47"/>
    <w:bookmarkStart w:id="49"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48">
        <w:r>
          <w:rPr>
            <w:rStyle w:val="Hyperlink"/>
          </w:rPr>
          <w:t xml:space="preserve">https://doi.org/10.1175/1520-0450(1967)006&lt;1033:sotw&gt;2.0.co;2</w:t>
        </w:r>
      </w:hyperlink>
      <w:r>
        <w:t xml:space="preserve">.</w:t>
      </w:r>
    </w:p>
    <w:bookmarkEnd w:id="49"/>
    <w:bookmarkStart w:id="51"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0">
        <w:r>
          <w:rPr>
            <w:rStyle w:val="Hyperlink"/>
          </w:rPr>
          <w:t xml:space="preserve">https://doi.org/10.1029/2012JD017587,2012</w:t>
        </w:r>
      </w:hyperlink>
      <w:r>
        <w:t xml:space="preserve">.</w:t>
      </w:r>
    </w:p>
    <w:bookmarkEnd w:id="51"/>
    <w:bookmarkStart w:id="53"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52">
        <w:r>
          <w:rPr>
            <w:rStyle w:val="Hyperlink"/>
          </w:rPr>
          <w:t xml:space="preserve">https://doi.org/10.1002/joc.4848</w:t>
        </w:r>
      </w:hyperlink>
      <w:r>
        <w:t xml:space="preserve">.</w:t>
      </w:r>
    </w:p>
    <w:bookmarkEnd w:id="53"/>
    <w:bookmarkStart w:id="55" w:name="ref-Yuan2008"/>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w:t>
      </w:r>
      <w:r>
        <w:t xml:space="preserve"> </w:t>
      </w:r>
      <w:hyperlink r:id="rId54">
        <w:r>
          <w:rPr>
            <w:rStyle w:val="Hyperlink"/>
          </w:rPr>
          <w:t xml:space="preserve">https://doi.org/10.1029/2006JC004067</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41" Target="https://doi.org/10.1002/0470016957" TargetMode="External" /><Relationship Type="http://schemas.openxmlformats.org/officeDocument/2006/relationships/hyperlink" Id="rId52" Target="https://doi.org/10.1002/joc.4848" TargetMode="External" /><Relationship Type="http://schemas.openxmlformats.org/officeDocument/2006/relationships/hyperlink" Id="rId46" Target="https://doi.org/10.1029/2004GL020365" TargetMode="External" /><Relationship Type="http://schemas.openxmlformats.org/officeDocument/2006/relationships/hyperlink" Id="rId54" Target="https://doi.org/10.1029/2006JC004067" TargetMode="External" /><Relationship Type="http://schemas.openxmlformats.org/officeDocument/2006/relationships/hyperlink" Id="rId50" Target="https://doi.org/10.1029/2012JD017587,2012" TargetMode="External" /><Relationship Type="http://schemas.openxmlformats.org/officeDocument/2006/relationships/hyperlink" Id="rId43" Target="https://doi.org/10.1175/1520-0442(1995)008&lt;2659:QSWITS&gt;2.0.CO;2" TargetMode="External" /><Relationship Type="http://schemas.openxmlformats.org/officeDocument/2006/relationships/hyperlink" Id="rId48" Target="https://doi.org/10.1175/1520-0450(1967)006&lt;1033:sotw&gt;2.0.co;2" TargetMode="External" /><Relationship Type="http://schemas.openxmlformats.org/officeDocument/2006/relationships/hyperlink" Id="rId34" Target="https://doi.org/10.1175/1520-0477(1996)077&lt;0437:TNYRP&gt;2.0.CO;2" TargetMode="External" /><Relationship Type="http://schemas.openxmlformats.org/officeDocument/2006/relationships/hyperlink" Id="rId32" Target="https://doi.org/10.1175/JCLI-D-15-0287.1" TargetMode="External" /><Relationship Type="http://schemas.openxmlformats.org/officeDocument/2006/relationships/hyperlink" Id="rId36" Target="https://doi.org/10.5194/acp-12-2865-2012" TargetMode="External" /><Relationship Type="http://schemas.openxmlformats.org/officeDocument/2006/relationships/hyperlink" Id="rId38"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2/0470016957" TargetMode="External" /><Relationship Type="http://schemas.openxmlformats.org/officeDocument/2006/relationships/hyperlink" Id="rId52" Target="https://doi.org/10.1002/joc.4848" TargetMode="External" /><Relationship Type="http://schemas.openxmlformats.org/officeDocument/2006/relationships/hyperlink" Id="rId46" Target="https://doi.org/10.1029/2004GL020365" TargetMode="External" /><Relationship Type="http://schemas.openxmlformats.org/officeDocument/2006/relationships/hyperlink" Id="rId54" Target="https://doi.org/10.1029/2006JC004067" TargetMode="External" /><Relationship Type="http://schemas.openxmlformats.org/officeDocument/2006/relationships/hyperlink" Id="rId50" Target="https://doi.org/10.1029/2012JD017587,2012" TargetMode="External" /><Relationship Type="http://schemas.openxmlformats.org/officeDocument/2006/relationships/hyperlink" Id="rId43" Target="https://doi.org/10.1175/1520-0442(1995)008&lt;2659:QSWITS&gt;2.0.CO;2" TargetMode="External" /><Relationship Type="http://schemas.openxmlformats.org/officeDocument/2006/relationships/hyperlink" Id="rId48" Target="https://doi.org/10.1175/1520-0450(1967)006&lt;1033:sotw&gt;2.0.co;2" TargetMode="External" /><Relationship Type="http://schemas.openxmlformats.org/officeDocument/2006/relationships/hyperlink" Id="rId34" Target="https://doi.org/10.1175/1520-0477(1996)077&lt;0437:TNYRP&gt;2.0.CO;2" TargetMode="External" /><Relationship Type="http://schemas.openxmlformats.org/officeDocument/2006/relationships/hyperlink" Id="rId32" Target="https://doi.org/10.1175/JCLI-D-15-0287.1" TargetMode="External" /><Relationship Type="http://schemas.openxmlformats.org/officeDocument/2006/relationships/hyperlink" Id="rId36" Target="https://doi.org/10.5194/acp-12-2865-2012" TargetMode="External" /><Relationship Type="http://schemas.openxmlformats.org/officeDocument/2006/relationships/hyperlink" Id="rId38"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2019-01-02T21:58:32Z</dcterms:created>
  <dcterms:modified xsi:type="dcterms:W3CDTF">2019-01-02T21:58:32Z</dcterms:modified>
</cp:coreProperties>
</file>