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65.pdf" ContentType="application/pdf"/>
  <Override PartName="/word/media/rId23.pdf" ContentType="application/pdf"/>
  <Override PartName="/word/media/rId36.pdf" ContentType="application/pdf"/>
  <Override PartName="/word/media/rId43.pdf" ContentType="application/pdf"/>
  <Override PartName="/word/media/rId39.pdf" ContentType="application/pdf"/>
  <Override PartName="/word/media/rId32.pdf" ContentType="application/pdf"/>
  <Override PartName="/word/media/rId49.pdf" ContentType="application/pdf"/>
  <Override PartName="/word/media/rId54.pdf" ContentType="application/pdf"/>
  <Override PartName="/word/media/rId69.pdf" ContentType="application/pdf"/>
  <Override PartName="/word/media/rId86.pdf" ContentType="application/pdf"/>
  <Override PartName="/word/media/rId72.pdf" ContentType="application/pdf"/>
  <Override PartName="/word/media/rId58.pdf" ContentType="application/pdf"/>
  <Override PartName="/word/media/rId83.pdf" ContentType="application/pdf"/>
  <Override PartName="/word/media/rId62.pdf" ContentType="application/pdf"/>
  <Override PartName="/word/media/rId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Date"/>
      </w:pPr>
      <w:r>
        <w:t xml:space="preserve">05</w:t>
      </w:r>
      <w:r>
        <w:t xml:space="preserve"> </w:t>
      </w:r>
      <w:r>
        <w:t xml:space="preserve">April,</w:t>
      </w:r>
      <w:r>
        <w:t xml:space="preserve"> </w:t>
      </w:r>
      <w:r>
        <w:t xml:space="preserve">2022</w:t>
      </w:r>
    </w:p>
    <w:p>
      <w:pPr>
        <w:pStyle w:val="Abstract"/>
      </w:pPr>
      <w:r>
        <w:t xml:space="preserve">abstract</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(SH) is strongly zonally symmetric, but its zonal departures are highly relevant for regional impacts</w:t>
      </w:r>
      <w:r>
        <w:t xml:space="preserve"> </w:t>
      </w:r>
      <w:r>
        <w:t xml:space="preserve">(e.g. Hoskins and Hodges 2005)</w:t>
      </w:r>
      <w:r>
        <w:t xml:space="preserve">.</w:t>
      </w:r>
      <w:r>
        <w:t xml:space="preserve"> </w:t>
      </w:r>
      <w:r>
        <w:t xml:space="preserve">They strongly modulate weather systems and regional climate through promoting longitudinally different latitudinal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Zonally asymmetric circulation is typically described by the amplitude and phase of zonal waves obtained by Fourier decomposition of geopotential heights or sea-level pressures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500-hPa pattern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at extratropical and subpolar latitudes, wave-like patterns with dominant wavenumbers 3-4, also exerting distinctive regional impacts.</w:t>
      </w:r>
      <w:r>
        <w:t xml:space="preserve"> </w:t>
      </w:r>
      <w:r>
        <w:t xml:space="preserve">M. N. Raphael (2007)</w:t>
      </w:r>
      <w:r>
        <w:t xml:space="preserve"> </w:t>
      </w:r>
      <w:r>
        <w:t xml:space="preserve">shows that variability in the planetary wave 3 projected onto its climatological location is associated with anomalies in the Antarctic sea-ice concentration.</w:t>
      </w:r>
    </w:p>
    <w:p>
      <w:pPr>
        <w:pStyle w:val="BodyText"/>
      </w:pPr>
      <w:r>
        <w:t xml:space="preserve">The 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latter makes it possible to represent planetary waves with different amplitude at different longitudes, but it removes all information about phase and wave number.</w:t>
      </w:r>
      <w:r>
        <w:t xml:space="preserve"> </w:t>
      </w:r>
      <w:r>
        <w:t xml:space="preserve">With this approach,</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 used approach to characterize the SH tropospheric circulation anomalies, is by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More recently,</w:t>
      </w:r>
      <w:r>
        <w:t xml:space="preserve"> </w:t>
      </w:r>
      <w:r>
        <w:t xml:space="preserve">Irving and Simmonds (2016)</w:t>
      </w:r>
      <w:r>
        <w:t xml:space="preserve"> </w:t>
      </w:r>
      <w:r>
        <w:t xml:space="preserve">proposed a novel methodology for objectively identifying the PSA pattern using Fourier decomposition.</w:t>
      </w:r>
    </w:p>
    <w:p>
      <w:pPr>
        <w:pStyle w:val="BodyText"/>
      </w:pPr>
      <w:r>
        <w:t xml:space="preserve">Patterns resulting from EOF analyses are more flexible than Fourier decomposition derived modes in the sense that they can capture oscillation patterns that cannot be characterised by purely sinusoidal waves with constant amplitude.</w:t>
      </w:r>
      <w:r>
        <w:t xml:space="preserve"> </w:t>
      </w:r>
      <w:r>
        <w:t xml:space="preserve">Nonetheless, they are restricted to standing oscillation modes and could not represent properly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to describe circulation anomalies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It is commonly easy the computation of these kind of indices, but they could be unable to capture non-stationary patterns.</w:t>
      </w:r>
    </w:p>
    <w:p>
      <w:pPr>
        <w:pStyle w:val="BodyText"/>
      </w:pPr>
      <w:r>
        <w:t xml:space="preserve">An alternative methodology that has been proposed to study travelling and standing waves is complex Empirical Orthogonal Functions</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connection to teleconnection indices.</w:t>
      </w:r>
      <w:r>
        <w:t xml:space="preserve"> </w:t>
      </w:r>
      <w:r>
        <w:t xml:space="preserve">Similarly,</w:t>
      </w:r>
      <w:r>
        <w:t xml:space="preserve"> </w:t>
      </w:r>
      <w:r>
        <w:t xml:space="preserve">Gelbrecht, Boers, and Jürgen Kurths (2018)</w:t>
      </w:r>
      <w:r>
        <w:t xml:space="preserve"> </w:t>
      </w:r>
      <w:r>
        <w:t xml:space="preserve">used cEOF applied to daily precipitation from reanalysis to study the propagating characteristics of the South American Monsoon.</w:t>
      </w:r>
      <w:r>
        <w:t xml:space="preserve"> </w:t>
      </w:r>
      <w:r>
        <w:t xml:space="preserve">To our knowledge, complex EOF has not been applied in the spatial domain to capture the phase-varying nature of planetary waves.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The general goal of this study is to improve the description and understanding of the zonally asymmetric extratropical SH circulation using cEOF, which allow to describe phase varying planetary waves with variable amplitudes along a latitude circle.</w:t>
      </w:r>
      <w:r>
        <w:t xml:space="preserve"> </w:t>
      </w:r>
      <w:r>
        <w:t xml:space="preserve">In addition, it is proposed to expand the knowledge of the simultaneous behaviour of SH asymmetric circulation in the troposphere and the stratosphere.</w:t>
      </w:r>
    </w:p>
    <w:p>
      <w:pPr>
        <w:pStyle w:val="BodyText"/>
      </w:pPr>
      <w:r>
        <w:t xml:space="preserve">We restrict this paper to the spring September-October-November (SON) trimester. This season experiences a maximum in tropical teleconnections</w:t>
      </w:r>
      <w:r>
        <w:t xml:space="preserve"> </w:t>
      </w:r>
      <w:r>
        <w:t xml:space="preserve">(Cazes-Boezio, Robertson, and Mechoso 2003)</w:t>
      </w:r>
      <w:r>
        <w:t xml:space="preserve"> </w:t>
      </w:r>
      <w:r>
        <w:t xml:space="preserve">and stratosphere-troposphere interactions</w:t>
      </w:r>
      <w:r>
        <w:t xml:space="preserve"> </w:t>
      </w:r>
      <w:r>
        <w:t xml:space="preserve">(Lim, Hendon, and Thompson 2018)</w:t>
      </w:r>
      <w:r>
        <w:t xml:space="preserve">.</w:t>
      </w:r>
    </w:p>
    <w:p>
      <w:pPr>
        <w:pStyle w:val="BodyText"/>
      </w:pPr>
      <w:r>
        <w:t xml:space="preserve">In Section </w:t>
      </w:r>
      <w:r>
        <w:t xml:space="preserve">2</w:t>
      </w:r>
      <w:r>
        <w:t xml:space="preserve"> </w:t>
      </w:r>
      <w:r>
        <w:t xml:space="preserve">we describe the methods.</w:t>
      </w:r>
      <w:r>
        <w:t xml:space="preserve"> </w:t>
      </w:r>
      <w:r>
        <w:t xml:space="preserve">In Section </w:t>
      </w:r>
      <w:r>
        <w:t xml:space="preserve">??</w:t>
      </w:r>
      <w:r>
        <w:t xml:space="preserve"> </w:t>
      </w:r>
      <w:r>
        <w:t xml:space="preserve">we analyse the spatial patterns of each complex EOF.</w:t>
      </w:r>
      <w:r>
        <w:t xml:space="preserve"> </w:t>
      </w:r>
      <w:r>
        <w:t xml:space="preserve">In Section </w:t>
      </w:r>
      <w:r>
        <w:t xml:space="preserve">??</w:t>
      </w:r>
      <w:r>
        <w:t xml:space="preserve"> </w:t>
      </w:r>
      <w:r>
        <w:t xml:space="preserve">we study the spatial regressions with geopotential height, temperature and ozone anomalies.</w:t>
      </w:r>
      <w:r>
        <w:t xml:space="preserve"> </w:t>
      </w:r>
      <w:r>
        <w:t xml:space="preserve">In Section </w:t>
      </w:r>
      <w:r>
        <w:t xml:space="preserve">3.3</w:t>
      </w:r>
      <w:r>
        <w:t xml:space="preserve"> </w:t>
      </w:r>
      <w:r>
        <w:t xml:space="preserve">and</w:t>
      </w:r>
      <w:r>
        <w:t xml:space="preserve"> </w:t>
      </w:r>
      <w:r>
        <w:t xml:space="preserve">3.4</w:t>
      </w:r>
      <w:r>
        <w:t xml:space="preserve"> </w:t>
      </w:r>
      <w:r>
        <w:t xml:space="preserve">we analyse the relationship between cEOF2 the PSA and SAM modes.</w:t>
      </w:r>
      <w:r>
        <w:t xml:space="preserve"> </w:t>
      </w:r>
      <w:r>
        <w:t xml:space="preserve">In Section </w:t>
      </w:r>
      <w:r>
        <w:t xml:space="preserve">??</w:t>
      </w:r>
      <w:r>
        <w:t xml:space="preserve"> </w:t>
      </w:r>
      <w:r>
        <w:t xml:space="preserve">we study tropical forcings that explain the variability of each cEOF.</w:t>
      </w:r>
      <w:r>
        <w:t xml:space="preserve"> </w:t>
      </w:r>
      <w:r>
        <w:t xml:space="preserve">Finally, in Section</w:t>
      </w:r>
      <w:r>
        <w:t xml:space="preserve"> </w:t>
      </w:r>
      <w:r>
        <w:t xml:space="preserve">??</w:t>
      </w:r>
      <w:r>
        <w:t xml:space="preserve"> </w:t>
      </w:r>
      <w:r>
        <w:t xml:space="preserve">we show the relationship between these modes of variability and precipitation and surface temperature anomalies in South America and Oceania.</w:t>
      </w:r>
    </w:p>
    <w:bookmarkEnd w:id="20"/>
    <w:bookmarkStart w:id="28"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ozone column (TOC) at 2.5</w:t>
      </w:r>
      <w:r>
        <w:t xml:space="preserve">longitude by 2.5</w:t>
      </w:r>
      <w:r>
        <w:t xml:space="preserve">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w:t>
      </w:r>
      <w:r>
        <w:t xml:space="preserve">and 2.5</w:t>
      </w:r>
      <w:r>
        <w:t xml:space="preserve">resolution in latitude and longitude respectively.</w:t>
      </w:r>
      <w:r>
        <w:t xml:space="preserve"> </w:t>
      </w:r>
      <w:r>
        <w:t xml:space="preserve">The rainfall gridded dataset is based on information from different sources such as rain gauge observations, satellite inferred estimations and the NCEP-NCAR reanalysis, and it is available since 1979 to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For the analysis of wave 1, we computed its amplitude and phase by averaging (area-weighted) the data for each variable and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(2022)</w:t>
      </w:r>
      <w:r>
        <w:t xml:space="preserve">.</w:t>
      </w:r>
      <w:r>
        <w:t xml:space="preserve"> </w:t>
      </w:r>
      <w:r>
        <w:t xml:space="preserve">Seasonal indices of the Pacific South American patterns (PSA1 and PSA2) were calculated, in agreement with</w:t>
      </w:r>
      <w:r>
        <w:t xml:space="preserve"> </w:t>
      </w:r>
      <w:r>
        <w:t xml:space="preserve">Mo and Paegle (2001)</w:t>
      </w:r>
      <w:r>
        <w:t xml:space="preserve">, as the third and fourth leading EOF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6"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four leading EOFs of SON zonal anomalies of geopotential height at 50 hPa south of 20S for the 1979 – 2019 period (arbitrary units)." title="" id="24" name="Picture"/>
            <a:graphic>
              <a:graphicData uri="http://schemas.openxmlformats.org/drawingml/2006/picture">
                <pic:pic>
                  <pic:nvPicPr>
                    <pic:cNvPr descr="../figures/eof-naive-1.pdf" id="25"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four leading EOFs of SON zonal anomalies of geopotential height at 50 hPa south of 20</w:t>
      </w:r>
      <w:r>
        <w:t xml:space="preserve">S for the 1979 – 2019 period (arbitrary units).</w:t>
      </w:r>
    </w:p>
    <w:p>
      <w:pPr>
        <w:pStyle w:val="BodyText"/>
      </w:pPr>
      <w:r>
        <w:t xml:space="preserve">In the standard EOF analysis, zonal waves may appear as pairs of (possibly degenerated) EOFs representing similar patterns but shifted in phase</w:t>
      </w:r>
      <w:r>
        <w:t xml:space="preserve"> </w:t>
      </w:r>
      <w:r>
        <w:t xml:space="preserve">(Horel 1984)</w:t>
      </w:r>
      <w:r>
        <w:t xml:space="preserve">.</w:t>
      </w:r>
      <w:r>
        <w:t xml:space="preserve"> </w:t>
      </w:r>
      <w:r>
        <w:t xml:space="preserve">Figure</w:t>
      </w:r>
      <w:r>
        <w:t xml:space="preserve"> </w:t>
      </w:r>
      <w:r>
        <w:t xml:space="preserve">2.1</w:t>
      </w:r>
      <w:r>
        <w:t xml:space="preserve"> </w:t>
      </w:r>
      <w:r>
        <w:t xml:space="preserve">shows the four leading EOFs of SON geopotential height zonal anomalies at 50 hPa south of 20</w:t>
      </w:r>
      <w:r>
        <w:t xml:space="preserve">S.</w:t>
      </w:r>
      <w:r>
        <w:t xml:space="preserve"> </w:t>
      </w:r>
      <w:r>
        <w:t xml:space="preserve">It is clear that the first two EOFs represent a single phase-varying zonal wave 1 pattern and the last two represent a similarly phase-varying pattern with shorter wavenumber and four centres of action shifted by 1/4 wavelength.</w:t>
      </w:r>
      <w:r>
        <w:t xml:space="preserve"> </w:t>
      </w:r>
      <w:r>
        <w:t xml:space="preserve">A similar EOF structure can be seen in 200 hPa (not shown).</w:t>
      </w:r>
      <w:r>
        <w:t xml:space="preserve"> </w:t>
      </w:r>
      <w:r>
        <w:t xml:space="preserve">Since each pair of EOFs seems to represent the same phase-varying structure, it would be desirable to combine them into a single pattern described by amplitude and phase.</w:t>
      </w:r>
    </w:p>
    <w:p>
      <w:pPr>
        <w:pStyle w:val="BodyText"/>
      </w:pPr>
      <w:r>
        <w:t xml:space="preserve">Complex Empirical Orthogonal Functions (cEOF) are a useful method for characterising zonal waves, associated with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That representation is a complex field in which the real part is the original data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at each latitude circle and at each considered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the two phases of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2.1: Coefficient of determination (</w:t>
      </w:r>
      <m:oMath>
        <m:sSup>
          <m:e>
            <m:r>
              <m:t>R</m:t>
            </m:r>
          </m:e>
          <m:sup>
            <m:r>
              <m:t>2</m:t>
            </m:r>
          </m:sup>
        </m:sSup>
      </m:oMath>
      <w:r>
        <w:t xml:space="preserve">) between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separately at 50 and 200 hPa.</w:t>
      </w:r>
      <w:r>
        <w:t xml:space="preserve"> </w:t>
      </w:r>
      <w:r>
        <w:t xml:space="preserve">Table</w:t>
      </w:r>
      <w:r>
        <w:t xml:space="preserve"> </w:t>
      </w:r>
      <w:r>
        <w:t xml:space="preserve">2.1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cOEFs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The phase of cEOFs is defined up to an additive constant.</w:t>
      </w:r>
      <w:r>
        <w:t xml:space="preserve"> </w:t>
      </w:r>
      <w:r>
        <w:t xml:space="preserve">For real EOFs, this constant can be either 0 or</w:t>
      </w:r>
      <w:r>
        <w:t xml:space="preserve"> </w:t>
      </w:r>
      <m:oMath>
        <m:r>
          <m:t>π</m:t>
        </m:r>
      </m:oMath>
      <w:r>
        <w:t xml:space="preserve">, corresponding to a change in sign.</w:t>
      </w:r>
      <w:r>
        <w:t xml:space="preserve"> </w:t>
      </w:r>
      <w:r>
        <w:t xml:space="preserve">For cEOFs, it can be any real number between 0 and</w:t>
      </w:r>
      <w:r>
        <w:t xml:space="preserve"> </w:t>
      </w:r>
      <m:oMath>
        <m:r>
          <m:t>2</m:t>
        </m:r>
        <m:r>
          <m:t>π</m:t>
        </m:r>
      </m:oMath>
      <w:r>
        <w:t xml:space="preserve"> </w:t>
      </w:r>
      <w:r>
        <w:t xml:space="preserve">(Horel 1984)</w:t>
      </w:r>
      <w:r>
        <w:t xml:space="preserve">, corresponding to rotations in the complex plane.</w:t>
      </w:r>
      <w:r>
        <w:t xml:space="preserve"> </w:t>
      </w:r>
      <w:r>
        <w:t xml:space="preserve">Since any choice is arbitrary and equally valid, we chose the phase of each cEOF so that the real or imaginary parts are aligned with meaningful phases in our analysis.</w:t>
      </w:r>
      <w:r>
        <w:t xml:space="preserve"> </w:t>
      </w:r>
      <w:r>
        <w:t xml:space="preserve">This procedure does not create spurious correlations, it only takes an existing relationship and aligns it with a specific phase.</w:t>
      </w:r>
    </w:p>
    <w:p>
      <w:pPr>
        <w:pStyle w:val="BodyText"/>
      </w:pPr>
      <w:r>
        <w:t xml:space="preserve">Preliminary analysis showed that the first cEOF was closely related to the zonal wave 1 of Total Ozone Column and the second cEOF was closely related to ENSO.</w:t>
      </w:r>
      <w:r>
        <w:t xml:space="preserve"> </w:t>
      </w:r>
      <w:r>
        <w:t xml:space="preserve">Therefore, to aid in the interpretation we chose the phase of cEOF1 so that the time series corresponding to the real part has the maximum correlation with the zonal wave 1 of Total Ozone Column between 75°S and 45°S.</w:t>
      </w:r>
      <w:r>
        <w:t xml:space="preserve"> </w:t>
      </w:r>
      <w:r>
        <w:t xml:space="preserve">Similarly, we chose the phase of cEOF2 so that the coefficient of determination between the Oceanic Niño Index</w:t>
      </w:r>
      <w:r>
        <w:t xml:space="preserve"> </w:t>
      </w:r>
      <w:r>
        <w:t xml:space="preserve">(Bamston, Chelliah, and Goldenberg 1997)</w:t>
      </w:r>
      <w:r>
        <w:t xml:space="preserve"> </w:t>
      </w:r>
      <w:r>
        <w:t xml:space="preserve">and the real part is minimized, which also nearly maximizes the correlation with the imaginary part.</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with the imaginary and real parts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Im</m:t>
          </m:r>
          <m:d>
            <m:dPr>
              <m:begChr m:val="("/>
              <m:endChr m:val=")"/>
              <m:sepChr m:val=""/>
              <m:grow/>
            </m:dPr>
            <m:e>
              <m:r>
                <m:rPr>
                  <m:sty m:val="p"/>
                </m:rPr>
                <m:t>c</m:t>
              </m:r>
              <m:r>
                <m:rPr>
                  <m:sty m:val="p"/>
                </m:rPr>
                <m:t>E</m:t>
              </m:r>
              <m:r>
                <m:rPr>
                  <m:sty m:val="p"/>
                </m:rPr>
                <m:t>O</m:t>
              </m:r>
              <m:r>
                <m:rPr>
                  <m:sty m:val="p"/>
                </m:rPr>
                <m:t>F</m:t>
              </m:r>
            </m:e>
          </m:d>
          <m:r>
            <m:rPr>
              <m:sty m:val="p"/>
            </m:rPr>
            <m:t>+</m:t>
          </m:r>
          <m:r>
            <m:t>β</m:t>
          </m:r>
          <m:d>
            <m:dPr>
              <m:begChr m:val="("/>
              <m:endChr m:val=")"/>
              <m:sepChr m:val=""/>
              <m:grow/>
            </m:dPr>
            <m:e>
              <m:r>
                <m:t>λ</m:t>
              </m:r>
              <m:r>
                <m:rPr>
                  <m:sty m:val="p"/>
                </m:rPr>
                <m:t>,</m:t>
              </m:r>
              <m:r>
                <m:t>ϕ</m:t>
              </m:r>
            </m:e>
          </m:d>
          <m:r>
            <m:rPr>
              <m:sty m:val="p"/>
            </m:rPr>
            <m:t>R</m:t>
          </m:r>
          <m:r>
            <m:rPr>
              <m:sty m:val="p"/>
            </m:rPr>
            <m:t>e</m:t>
          </m:r>
          <m:d>
            <m:dPr>
              <m:begChr m:val="("/>
              <m:endChr m:val=")"/>
              <m:sepChr m:val=""/>
              <m:grow/>
            </m:dPr>
            <m:e>
              <m:r>
                <m:rPr>
                  <m:sty m:val="p"/>
                </m:rPr>
                <m:t>c</m:t>
              </m:r>
              <m:r>
                <m:rPr>
                  <m:sty m:val="p"/>
                </m:rPr>
                <m:t>E</m:t>
              </m:r>
              <m:r>
                <m:rPr>
                  <m:sty m:val="p"/>
                </m:rPr>
                <m:t>O</m:t>
              </m:r>
              <m:r>
                <m:rPr>
                  <m:sty m:val="p"/>
                </m:rPr>
                <m:t>F</m:t>
              </m:r>
            </m:e>
          </m:d>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6"/>
    <w:bookmarkStart w:id="27"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(IOD)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7"/>
    <w:bookmarkEnd w:id="28"/>
    <w:bookmarkStart w:id="76" w:name="results"/>
    <w:p>
      <w:pPr>
        <w:pStyle w:val="Heading1"/>
      </w:pPr>
      <w:r>
        <w:rPr>
          <w:rStyle w:val="SectionNumber"/>
        </w:rPr>
        <w:t xml:space="preserve">3</w:t>
      </w:r>
      <w:r>
        <w:tab/>
      </w:r>
      <w:r>
        <w:t xml:space="preserve">Results</w:t>
      </w:r>
    </w:p>
    <w:bookmarkStart w:id="35"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real (imaginary) part. Arbitrary units. In parenthesis, the proportion of variance (with respect to the zonal mean) explained." title="" id="30" name="Picture"/>
            <a:graphic>
              <a:graphicData uri="http://schemas.openxmlformats.org/drawingml/2006/picture">
                <pic:pic>
                  <pic:nvPicPr>
                    <pic:cNvPr descr="../figures/ceofs-1-1.pdf" id="31" name="Picture"/>
                    <pic:cNvPicPr>
                      <a:picLocks noChangeArrowheads="1" noChangeAspect="1"/>
                    </pic:cNvPicPr>
                  </pic:nvPicPr>
                  <pic:blipFill>
                    <a:blip r:embed="rId29"/>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real (imaginary) part. Arbitrary units. In parenthesis, the proportion of variance (with respect to the zonal mean) explained.</w:t>
      </w:r>
    </w:p>
    <w:p>
      <w:pPr>
        <w:pStyle w:val="CaptionedFigure"/>
      </w:pPr>
      <w:r>
        <w:drawing>
          <wp:inline>
            <wp:extent cx="5334000" cy="2667000"/>
            <wp:effectExtent b="0" l="0" r="0" t="0"/>
            <wp:docPr descr="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 title="" id="33" name="Picture"/>
            <a:graphic>
              <a:graphicData uri="http://schemas.openxmlformats.org/drawingml/2006/picture">
                <pic:pic>
                  <pic:nvPicPr>
                    <pic:cNvPr descr="../figures/extended-series-1.pdf"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3.1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standard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This modulated amplitude is more evident at 200 hPa.</w:t>
      </w:r>
      <w:r>
        <w:t xml:space="preserve"> </w:t>
      </w:r>
      <w:r>
        <w:t xml:space="preserve">There is no apparent phase shift with height but the amplitude of the pattern is greatly reduced in the stratosphere, suggesting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3.2</w:t>
      </w:r>
      <w:r>
        <w:t xml:space="preserve">).</w:t>
      </w:r>
      <w:r>
        <w:t xml:space="preserve"> </w:t>
      </w:r>
      <w:r>
        <w:t xml:space="preserve">Because the geopotential fields that enter into the cEOFs algorithm are anomalies with respect to the zonal mean instead of the time mean, the cEOFs time series have non zero temporal mean.</w:t>
      </w:r>
      <w:r>
        <w:t xml:space="preserve"> </w:t>
      </w:r>
      <w:r>
        <w:t xml:space="preserve">However, cEOF2 temporal mean is almost zero, which indicates that only cEOF1 includes variability that significantly projects onto the mean zonally anomalous field.</w:t>
      </w:r>
    </w:p>
    <w:p>
      <w:pPr>
        <w:pStyle w:val="BodyText"/>
      </w:pPr>
      <w:r>
        <w:t xml:space="preserve">A significant upward trend in the real component of cEOF1 is evident (Fig. </w:t>
      </w:r>
      <w:r>
        <w:t xml:space="preserve">3.2</w:t>
      </w:r>
      <w:r>
        <w:t xml:space="preserve">a.1, p-value = 0.0037) while there is no significant trend in any of the complex components of cEOF2.</w:t>
      </w:r>
      <w:r>
        <w:t xml:space="preserve"> </w:t>
      </w:r>
      <w:r>
        <w:t xml:space="preserve">The positive trend in the Real cEOF1 translates into a positive trend in cEOF1 magnitude, but not systematic change in phase (not shown).</w:t>
      </w:r>
      <w:r>
        <w:t xml:space="preserve"> </w:t>
      </w:r>
      <w:r>
        <w:t xml:space="preserve">This long-term change indicates an increase in the magnitude of the high latitude zonal wave 1.</w:t>
      </w:r>
      <w:r>
        <w:t xml:space="preserve"> </w:t>
      </w:r>
      <w:r>
        <w:t xml:space="preserve">In agreement,</w:t>
      </w:r>
      <w:r>
        <w:t xml:space="preserve"> </w:t>
      </w:r>
      <w:r>
        <w:t xml:space="preserve">M. Raphael (2003)</w:t>
      </w:r>
      <w:r>
        <w:t xml:space="preserve"> </w:t>
      </w:r>
      <w:r>
        <w:t xml:space="preserve">detected a step change after around 1975 in the temporal evolution of leading EOF computed from August-September-October 500 hPa zonal geopotential height anomalies, which is similar to the cEOF1.</w:t>
      </w:r>
    </w:p>
    <w:bookmarkEnd w:id="35"/>
    <w:bookmarkStart w:id="53" w:name="regressions"/>
    <w:p>
      <w:pPr>
        <w:pStyle w:val="Heading2"/>
      </w:pPr>
      <w:r>
        <w:rPr>
          <w:rStyle w:val="SectionNumber"/>
        </w:rPr>
        <w:t xml:space="preserve">3.2</w:t>
      </w:r>
      <w:r>
        <w:tab/>
      </w:r>
      <w:r>
        <w:t xml:space="preserve">cEOFs Regression maps</w:t>
      </w:r>
    </w:p>
    <w:bookmarkStart w:id="42" w:name="geopotential"/>
    <w:p>
      <w:pPr>
        <w:pStyle w:val="Heading3"/>
      </w:pPr>
      <w:r>
        <w:rPr>
          <w:rStyle w:val="SectionNumber"/>
        </w:rPr>
        <w:t xml:space="preserve">3.2.1</w:t>
      </w:r>
      <w:r>
        <w:tab/>
      </w:r>
      <w:r>
        <w:t xml:space="preserve">Geopotential</w:t>
      </w:r>
    </w:p>
    <w:p>
      <w:pPr>
        <w:pStyle w:val="FirstParagraph"/>
      </w:pPr>
      <w:r>
        <w:t xml:space="preserve">In the previous section, cEOFs were applied to zonal anomalies, that is anomalies derived by removing the zonally mean values in order to isolate the main characteristics of the main zonal waves characterizing the circulation in the SH.</w:t>
      </w:r>
      <w:r>
        <w:t xml:space="preserve"> </w:t>
      </w:r>
      <w:r>
        <w:t xml:space="preserve">In this section, regression fields were computed using the full fields of the variables in order to describe the influence of the cEOFs on the temporal anomalies.</w:t>
      </w:r>
    </w:p>
    <w:p>
      <w:pPr>
        <w:pStyle w:val="CaptionedFigure"/>
      </w:pPr>
      <w:r>
        <w:drawing>
          <wp:inline>
            <wp:extent cx="3009900" cy="3619500"/>
            <wp:effectExtent b="0" l="0" r="0" t="0"/>
            <wp:docPr descr="Figure 3.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37" name="Picture"/>
            <a:graphic>
              <a:graphicData uri="http://schemas.openxmlformats.org/drawingml/2006/picture">
                <pic:pic>
                  <pic:nvPicPr>
                    <pic:cNvPr descr="../figures/eof1-regr-gh-1.pdf" id="38" name="Picture"/>
                    <pic:cNvPicPr>
                      <a:picLocks noChangeArrowheads="1" noChangeAspect="1"/>
                    </pic:cNvPicPr>
                  </pic:nvPicPr>
                  <pic:blipFill>
                    <a:blip r:embed="rId36"/>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the Real cEOF1 is associated with a monopole centred over the Ross Sea.</w:t>
      </w:r>
      <w:r>
        <w:t xml:space="preserve"> </w:t>
      </w:r>
      <w:r>
        <w:t xml:space="preserve">The Imaginary cEOF1 is associated with a clear wave 1 pattern with maximum over the coast of East Antarctica.</w:t>
      </w:r>
    </w:p>
    <w:p>
      <w:pPr>
        <w:pStyle w:val="BodyText"/>
      </w:pPr>
      <w:r>
        <w:t xml:space="preserve">At 200 hPa (Figure </w:t>
      </w:r>
      <w:r>
        <w:t xml:space="preserve">3.3</w:t>
      </w:r>
      <w:r>
        <w:t xml:space="preserve"> </w:t>
      </w:r>
      <w:r>
        <w:t xml:space="preserve">row b) the Real cEOF1 shows a single area of positive anomalies spanning West Antarctica surrounded by opposite anomalies in lower latitudes with is centre shifted slightly eastward compared with the upper level anomalies.</w:t>
      </w:r>
      <w:r>
        <w:t xml:space="preserve"> </w:t>
      </w:r>
      <w:r>
        <w:t xml:space="preserve">The Imaginary cEOF1 shows a much more zonally symmetrical pattern resembling the negative SAM phase</w:t>
      </w:r>
      <w:r>
        <w:t xml:space="preserve"> </w:t>
      </w:r>
      <w:r>
        <w:t xml:space="preserve">(e.g. Fogt and Marshall 2020)</w:t>
      </w:r>
      <w:r>
        <w:t xml:space="preserve">.</w:t>
      </w:r>
      <w:r>
        <w:t xml:space="preserve"> </w:t>
      </w:r>
      <w:r>
        <w:t xml:space="preserve">Both components of cEOF1 could be associated to zonal anomalies in the upper troposphere jet stream intensity.</w:t>
      </w:r>
    </w:p>
    <w:p>
      <w:pPr>
        <w:pStyle w:val="BodyText"/>
      </w:pPr>
      <w:r>
        <w:t xml:space="preserve">Therefore, the magnitude and phase of the cEOF1 are associated with the magnitude and phase of a zonal wave only in the stratosphere.</w:t>
      </w:r>
      <w:r>
        <w:t xml:space="preserve"> </w:t>
      </w:r>
      <w:r>
        <w:t xml:space="preserve">While in the troposphere, they are associated with slightly off-centre monopoles.</w:t>
      </w:r>
    </w:p>
    <w:p>
      <w:pPr>
        <w:pStyle w:val="CaptionedFigure"/>
      </w:pPr>
      <w:r>
        <w:drawing>
          <wp:inline>
            <wp:extent cx="3009900" cy="3911600"/>
            <wp:effectExtent b="0" l="0" r="0" t="0"/>
            <wp:docPr descr="Figure 3.4: Same as Figure 3.3 but for cEOF2." title="" id="40" name="Picture"/>
            <a:graphic>
              <a:graphicData uri="http://schemas.openxmlformats.org/drawingml/2006/picture">
                <pic:pic>
                  <pic:nvPicPr>
                    <pic:cNvPr descr="../figures/eof2-regr-gh-1.pdf" id="41" name="Picture"/>
                    <pic:cNvPicPr>
                      <a:picLocks noChangeArrowheads="1" noChangeAspect="1"/>
                    </pic:cNvPicPr>
                  </pic:nvPicPr>
                  <pic:blipFill>
                    <a:blip r:embed="rId39"/>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cEOF2.</w:t>
      </w:r>
    </w:p>
    <w:p>
      <w:pPr>
        <w:pStyle w:val="BodyText"/>
      </w:pPr>
      <w:r>
        <w:t xml:space="preserve">Figure </w:t>
      </w:r>
      <w:r>
        <w:t xml:space="preserve">3.4</w:t>
      </w:r>
      <w:r>
        <w:t xml:space="preserve"> </w:t>
      </w:r>
      <w:r>
        <w:t xml:space="preserve">shows the regression maps of geopotential height anomalies upon the cEOF2.</w:t>
      </w:r>
      <w:r>
        <w:t xml:space="preserve"> </w:t>
      </w:r>
      <w:r>
        <w:t xml:space="preserve">Wave trains similar to those identified for cEOF2 patterns (Fig </w:t>
      </w:r>
      <w:r>
        <w:t xml:space="preserve">3.1</w:t>
      </w:r>
      <w:r>
        <w:t xml:space="preserve">) can be distinguished.</w:t>
      </w:r>
      <w:r>
        <w:t xml:space="preserve"> </w:t>
      </w:r>
      <w:r>
        <w:t xml:space="preserve">Regressed anomalies associated with the Real cEOF2 are 90º out of phase with those associated with the Imaginary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Real cEOF2 regression map could be identified with PSA2, while the Imaginary cEOF2 resembles PSA1.</w:t>
      </w:r>
    </w:p>
    <w:bookmarkEnd w:id="42"/>
    <w:bookmarkStart w:id="52" w:name="temp-ozone"/>
    <w:p>
      <w:pPr>
        <w:pStyle w:val="Heading3"/>
      </w:pPr>
      <w:r>
        <w:rPr>
          <w:rStyle w:val="SectionNumber"/>
        </w:rPr>
        <w:t xml:space="preserve">3.2.2</w:t>
      </w:r>
      <w:r>
        <w:tab/>
      </w:r>
      <w:r>
        <w:t xml:space="preserve">Temperature and Ozone</w:t>
      </w:r>
    </w:p>
    <w:p>
      <w:pPr>
        <w:pStyle w:val="CaptionedFigure"/>
      </w:pPr>
      <w:r>
        <w:drawing>
          <wp:inline>
            <wp:extent cx="3009900" cy="3911600"/>
            <wp:effectExtent b="0" l="0" r="0" t="0"/>
            <wp:docPr descr="Figure 3.5: Same as Figure 3.3 but for air temperature (K)." title="" id="44" name="Picture"/>
            <a:graphic>
              <a:graphicData uri="http://schemas.openxmlformats.org/drawingml/2006/picture">
                <pic:pic>
                  <pic:nvPicPr>
                    <pic:cNvPr descr="../figures/eof1-regr-t-1.pdf" id="45" name="Picture"/>
                    <pic:cNvPicPr>
                      <a:picLocks noChangeArrowheads="1" noChangeAspect="1"/>
                    </pic:cNvPicPr>
                  </pic:nvPicPr>
                  <pic:blipFill>
                    <a:blip r:embed="rId43"/>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3.5: Same as Figure </w:t>
      </w:r>
      <w:r>
        <w:t xml:space="preserve">3.3</w:t>
      </w:r>
      <w:r>
        <w:t xml:space="preserve"> </w:t>
      </w:r>
      <w:r>
        <w:t xml:space="preserve">but for air temperature (K).</w:t>
      </w:r>
    </w:p>
    <w:p>
      <w:pPr>
        <w:pStyle w:val="CaptionedFigure"/>
      </w:pPr>
      <w:r>
        <w:drawing>
          <wp:inline>
            <wp:extent cx="3009900" cy="2286000"/>
            <wp:effectExtent b="0" l="0" r="0" t="0"/>
            <wp:docPr descr="Figure 3.6: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 title="" id="47" name="Picture"/>
            <a:graphic>
              <a:graphicData uri="http://schemas.openxmlformats.org/drawingml/2006/picture">
                <pic:pic>
                  <pic:nvPicPr>
                    <pic:cNvPr descr="../figures/t-vertical-1.pdf" id="48" name="Picture"/>
                    <pic:cNvPicPr>
                      <a:picLocks noChangeArrowheads="1" noChangeAspect="1"/>
                    </pic:cNvPicPr>
                  </pic:nvPicPr>
                  <pic:blipFill>
                    <a:blip r:embed="rId46"/>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3.6: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w:t>
      </w:r>
    </w:p>
    <w:p>
      <w:pPr>
        <w:pStyle w:val="BodyText"/>
      </w:pPr>
      <w:r>
        <w:t xml:space="preserve">The influence of cEOFs variability on air temperature was also evaluated.</w:t>
      </w:r>
      <w:r>
        <w:t xml:space="preserve"> </w:t>
      </w:r>
      <w:r>
        <w:t xml:space="preserve">Figure </w:t>
      </w:r>
      <w:r>
        <w:t xml:space="preserve">3.5</w:t>
      </w:r>
      <w:r>
        <w:t xml:space="preserve"> </w:t>
      </w:r>
      <w:r>
        <w:t xml:space="preserve">shows regression maps of air temperature anomalies at 50 hPa and 200 hPa upon cEOF1.</w:t>
      </w:r>
      <w:r>
        <w:t xml:space="preserve"> </w:t>
      </w:r>
      <w:r>
        <w:t xml:space="preserve">In both levels, the Real cEOF1 is associated with a positive monopole over the South Pole with its centre moved slightly towards 150ºE (Fig. </w:t>
      </w:r>
      <w:r>
        <w:t xml:space="preserve">3.5</w:t>
      </w:r>
      <w:r>
        <w:t xml:space="preserve"> </w:t>
      </w:r>
      <w:r>
        <w:t xml:space="preserve">column 1).</w:t>
      </w:r>
      <w:r>
        <w:t xml:space="preserve"> </w:t>
      </w:r>
      <w:r>
        <w:t xml:space="preserve">On the other hand, the regression maps on the Imaginary cEOF1 show a more clear wave 1 pattern with its maximum around 60ºE.</w:t>
      </w:r>
      <w:r>
        <w:t xml:space="preserve"> </w:t>
      </w:r>
      <w:r>
        <w:t xml:space="preserve">The distribution of temperature regression coefficients at 50 hPa and at 200 hPa mirror the geopotential height regression maps at 50 hPa (Fig. </w:t>
      </w:r>
      <w:r>
        <w:t xml:space="preserve">3.3</w:t>
      </w:r>
      <w:r>
        <w:t xml:space="preserve">).</w:t>
      </w:r>
    </w:p>
    <w:p>
      <w:pPr>
        <w:pStyle w:val="BodyText"/>
      </w:pPr>
      <w:r>
        <w:t xml:space="preserve">Figure </w:t>
      </w:r>
      <w:r>
        <w:t xml:space="preserve">3.6</w:t>
      </w:r>
      <w:r>
        <w:t xml:space="preserve"> </w:t>
      </w:r>
      <w:r>
        <w:t xml:space="preserve">shows the vertical distribution of the regression coefficients on cEOF1 from zonal anomalies averaged between 75°S and 45°S of air temperature and of ozone mixing ratio.</w:t>
      </w:r>
      <w:r>
        <w:t xml:space="preserve"> </w:t>
      </w:r>
      <w:r>
        <w:t xml:space="preserve">Temperature zonal anomalies associated with cEOF1 show a clear wave 1 pattern for both real and imaginary components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match with the minimum temperature anomalies above 10 hPa and with the maximum temperature anomalies below 10 hPa (Fig. </w:t>
      </w:r>
      <w:r>
        <w:t xml:space="preserve">3.6</w:t>
      </w:r>
      <w:r>
        <w:t xml:space="preserve">).</w:t>
      </w:r>
      <w:r>
        <w:t xml:space="preserve"> </w:t>
      </w:r>
      <w:r>
        <w:t xml:space="preserve">Therefore, the ozone zonal wave 1 is anticorrelated with the temperature zonal wave 1 in the upper stratosphere, and directly correlated in the upper stratosphere.</w:t>
      </w:r>
      <w:r>
        <w:t xml:space="preserve"> </w:t>
      </w:r>
      <w:r>
        <w:t xml:space="preserve">This change in phase is observed in ozone anomalies forced by planetary waves that reach the stratosphere</w:t>
      </w:r>
      <w:r>
        <w:t xml:space="preserve"> </w:t>
      </w:r>
      <w:r>
        <w:t xml:space="preserve">(Hartmann and Garcia 1979; Wirth 1993; Smith 1995)</w:t>
      </w:r>
      <w:r>
        <w:t xml:space="preserve">.</w:t>
      </w:r>
      <w:r>
        <w:t xml:space="preserve"> </w:t>
      </w:r>
      <w:r>
        <w:t xml:space="preserve">In the photochemically-dominated upper stratosphere, cold temperatures inhibit the destruction of ozone, explaining the opposite behaviour for both variables.</w:t>
      </w:r>
      <w:r>
        <w:t xml:space="preserve"> </w:t>
      </w:r>
      <w:r>
        <w:t xml:space="preserve">On the other hand, in the advectively-dominated lower stratosphere, ozone anomalies are 90º out of phase with horizontal and vertical transport, which are in addition 90º out of phase with temperature anomalies, resulting in same sign anomalies for the response of both variables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3.7: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 title="" id="50" name="Picture"/>
            <a:graphic>
              <a:graphicData uri="http://schemas.openxmlformats.org/drawingml/2006/picture">
                <pic:pic>
                  <pic:nvPicPr>
                    <pic:cNvPr descr="../figures/o3-regr-1.pdf" id="51" name="Picture"/>
                    <pic:cNvPicPr>
                      <a:picLocks noChangeArrowheads="1" noChangeAspect="1"/>
                    </pic:cNvPicPr>
                  </pic:nvPicPr>
                  <pic:blipFill>
                    <a:blip r:embed="rId49"/>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3.7: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TOC anomalies upon cEOF1 (Fig. </w:t>
      </w:r>
      <w:r>
        <w:t xml:space="preserve">3.7</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Real cEOF1 regression field (Figure </w:t>
      </w:r>
      <w:r>
        <w:t xml:space="preserve">3.7</w:t>
      </w:r>
      <w:r>
        <w:t xml:space="preserve">a) coincides with the climatological position of the ozone hole, while it is 90° out of phase for the Imaginary cEOF1.</w:t>
      </w:r>
      <w:r>
        <w:t xml:space="preserve"> </w:t>
      </w:r>
      <w:r>
        <w:t xml:space="preserve">The temporal correlation between the amplitudes of TOC planetary wave 1 and cEOF1 is 0.79 (CI: 0.63 – 0.88), while the correlation between their phases is -0.85 (CI: -0.92 – -0.74).</w:t>
      </w:r>
      <w:r>
        <w:t xml:space="preserve"> </w:t>
      </w:r>
      <w:r>
        <w:t xml:space="preserve">Consequently, cEOF1 is strongly related with the SH ozone variability.</w:t>
      </w:r>
    </w:p>
    <w:bookmarkEnd w:id="52"/>
    <w:bookmarkEnd w:id="53"/>
    <w:bookmarkStart w:id="57" w:name="psa"/>
    <w:p>
      <w:pPr>
        <w:pStyle w:val="Heading2"/>
      </w:pPr>
      <w:r>
        <w:rPr>
          <w:rStyle w:val="SectionNumber"/>
        </w:rPr>
        <w:t xml:space="preserve">3.3</w:t>
      </w:r>
      <w:r>
        <w:tab/>
      </w:r>
      <w:r>
        <w:t xml:space="preserve">PSA</w:t>
      </w:r>
    </w:p>
    <w:p>
      <w:pPr>
        <w:pStyle w:val="FirstParagraph"/>
      </w:pPr>
      <w:r>
        <w:t xml:space="preserve">Table 3.1: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regression maps (Fig. </w:t>
      </w:r>
      <w:r>
        <w:t xml:space="preserve">3.4</w:t>
      </w:r>
      <w:r>
        <w:t xml:space="preserve">) and documented PSAs we study the relationship between these modes.</w:t>
      </w:r>
      <w:r>
        <w:t xml:space="preserve"> </w:t>
      </w:r>
      <w:r>
        <w:t xml:space="preserve">Table </w:t>
      </w:r>
      <w:r>
        <w:t xml:space="preserve">3.1</w:t>
      </w:r>
      <w:r>
        <w:t xml:space="preserve"> </w:t>
      </w:r>
      <w:r>
        <w:t xml:space="preserve">shows the correlations between the two PSA indices and the time series for Real and Imaginary phases of cEOF2.</w:t>
      </w:r>
      <w:r>
        <w:t xml:space="preserve"> </w:t>
      </w:r>
      <w:r>
        <w:t xml:space="preserve">As anticipated by Figure </w:t>
      </w:r>
      <w:r>
        <w:t xml:space="preserve">3.4</w:t>
      </w:r>
      <w:r>
        <w:t xml:space="preserve">, there is a strong positive correlation between PSA1 and Imaginary cEOF2, and also between PSA2 and Real cEOF2.</w:t>
      </w:r>
      <w:r>
        <w:t xml:space="preserve"> </w:t>
      </w:r>
      <w:r>
        <w:t xml:space="preserve">On the other hand, there is no significant relationship between PSA1 and Real cEOF2, and between PSA2 and Imaginary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The same phase election for cEOF2 that maximises the relationship between ENSO and Imaginary cEOF2, also maximises the association between cEOF2 components and PSA modes (not shown).</w:t>
      </w:r>
    </w:p>
    <w:p>
      <w:pPr>
        <w:pStyle w:val="CaptionedFigure"/>
      </w:pPr>
      <w:r>
        <w:drawing>
          <wp:inline>
            <wp:extent cx="2413000" cy="2286000"/>
            <wp:effectExtent b="0" l="0" r="0" t="0"/>
            <wp:docPr descr="Figure 3.8: Histogram of phase distribution of cEOF2 phase for the 1979 – 2019 period. Bins are centred at 90º, 0º, -90º, -180º with a binwidth of 90º. The small vertical lines near the horizontal axis mark the observations." title="" id="55" name="Picture"/>
            <a:graphic>
              <a:graphicData uri="http://schemas.openxmlformats.org/drawingml/2006/picture">
                <pic:pic>
                  <pic:nvPicPr>
                    <pic:cNvPr descr="../figures/phase-histogram-1.pdf" id="56" name="Picture"/>
                    <pic:cNvPicPr>
                      <a:picLocks noChangeArrowheads="1" noChangeAspect="1"/>
                    </pic:cNvPicPr>
                  </pic:nvPicPr>
                  <pic:blipFill>
                    <a:blip r:embed="rId54"/>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3.8: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3.8</w:t>
      </w:r>
      <w:r>
        <w:t xml:space="preserve"> </w:t>
      </w:r>
      <w:r>
        <w:t xml:space="preserve">shows an histogram that counts the number of SON seasons in which the cEOF2 phase was close to each of the four particular phases (positive/negative of real/imaginary component), with the observations for each season marked as rugs on the horizontal axis.</w:t>
      </w:r>
      <w:r>
        <w:t xml:space="preserve"> </w:t>
      </w:r>
      <w:r>
        <w:t xml:space="preserve">In 62% of seasons cEOF2 has a phase similar to either the negative or positive imaginary phase, making the imaginary phase the most common phase.</w:t>
      </w:r>
      <w:r>
        <w:t xml:space="preserve"> </w:t>
      </w:r>
      <w:r>
        <w:t xml:space="preserve">This is also, by construction, the phase that is most correlated with ENSO.</w:t>
      </w:r>
      <w:r>
        <w:t xml:space="preserve"> </w:t>
      </w:r>
      <w:r>
        <w:t xml:space="preserve">Therefore, the Imaginary cEOF2 explains more variance than the Real cEOF2 and conventional EOF analysis will tend to separate the two.</w:t>
      </w:r>
    </w:p>
    <w:p>
      <w:pPr>
        <w:pStyle w:val="BodyText"/>
      </w:pPr>
      <w:r>
        <w:t xml:space="preserve">This phase preferences is in agreement with</w:t>
      </w:r>
      <w:r>
        <w:t xml:space="preserve"> </w:t>
      </w:r>
      <w:r>
        <w:t xml:space="preserve">Irving and Simmonds (2016)</w:t>
      </w:r>
      <w:r>
        <w:t xml:space="preserve">, who found a bimodal distribution to PSA-like variability (compare our Figure </w:t>
      </w:r>
      <w:r>
        <w:t xml:space="preserve">3.8</w:t>
      </w:r>
      <w:r>
        <w:t xml:space="preserve"> </w:t>
      </w:r>
      <w:r>
        <w:t xml:space="preserve">with their Figure 6).</w:t>
      </w:r>
    </w:p>
    <w:bookmarkEnd w:id="57"/>
    <w:bookmarkStart w:id="61" w:name="sam"/>
    <w:p>
      <w:pPr>
        <w:pStyle w:val="Heading2"/>
      </w:pPr>
      <w:r>
        <w:rPr>
          <w:rStyle w:val="SectionNumber"/>
        </w:rPr>
        <w:t xml:space="preserve">3.4</w:t>
      </w:r>
      <w:r>
        <w:tab/>
      </w:r>
      <w:r>
        <w:t xml:space="preserve">SAM</w:t>
      </w:r>
    </w:p>
    <w:p>
      <w:pPr>
        <w:pStyle w:val="CaptionedFigure"/>
      </w:pPr>
      <w:r>
        <w:drawing>
          <wp:inline>
            <wp:extent cx="3009900" cy="3657600"/>
            <wp:effectExtent b="0" l="0" r="0" t="0"/>
            <wp:docPr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59" name="Picture"/>
            <a:graphic>
              <a:graphicData uri="http://schemas.openxmlformats.org/drawingml/2006/picture">
                <pic:pic>
                  <pic:nvPicPr>
                    <pic:cNvPr descr="../figures/sam-eof-vertical-1.pdf" id="60" name="Picture"/>
                    <pic:cNvPicPr>
                      <a:picLocks noChangeArrowheads="1" noChangeAspect="1"/>
                    </pic:cNvPicPr>
                  </pic:nvPicPr>
                  <pic:blipFill>
                    <a:blip r:embed="rId58"/>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3.9: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Section </w:t>
      </w:r>
      <w:r>
        <w:t xml:space="preserve">??</w:t>
      </w:r>
      <w:r>
        <w:t xml:space="preserve">.</w:t>
      </w:r>
      <w:r>
        <w:t xml:space="preserve"> </w:t>
      </w:r>
      <w:r>
        <w:t xml:space="preserve">To that end, we computed the coefficient of determination between the cEOFs time series and the three SAM indices (SAM, A-SAM and S-SAM) defined by</w:t>
      </w:r>
      <w:r>
        <w:t xml:space="preserve"> </w:t>
      </w:r>
      <w:r>
        <w:t xml:space="preserve">Campitelli, Díaz, and Vera (2022)</w:t>
      </w:r>
      <w:r>
        <w:t xml:space="preserve"> </w:t>
      </w:r>
      <w:r>
        <w:t xml:space="preserve">at each vertical level (Fig. </w:t>
      </w:r>
      <w:r>
        <w:t xml:space="preserve">3.9</w:t>
      </w:r>
      <w:r>
        <w:t xml:space="preserve">).</w:t>
      </w:r>
      <w:r>
        <w:t xml:space="preserve"> </w:t>
      </w:r>
      <w:r>
        <w:t xml:space="preserve">The SAM index is statistically significant correlated with the Real cEOF1 in all levels, and with the Imaginary cEOF1 and Imaginary cEOF2 in the troposphere.</w:t>
      </w:r>
      <w:r>
        <w:t xml:space="preserve"> </w:t>
      </w:r>
      <w:r>
        <w:t xml:space="preserve">On the other hand, correlations between SAM and the Real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Real or Imaginary cEOF1.</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maps of geopotential height in Figure </w:t>
      </w:r>
      <w:r>
        <w:t xml:space="preserve">3.3</w:t>
      </w:r>
      <w:r>
        <w:t xml:space="preserve"> </w:t>
      </w:r>
      <w:r>
        <w:t xml:space="preserve">and their comparison with those obtained for SAM, A-SAM and S-SAM by</w:t>
      </w:r>
      <w:r>
        <w:t xml:space="preserve"> </w:t>
      </w:r>
      <w:r>
        <w:t xml:space="preserve">Campitelli, Díaz, and Vera (2022)</w:t>
      </w:r>
      <w:r>
        <w:t xml:space="preserve">.</w:t>
      </w:r>
    </w:p>
    <w:p>
      <w:pPr>
        <w:pStyle w:val="BodyText"/>
      </w:pPr>
      <w:r>
        <w:t xml:space="preserve">In the case of Imaginary cEOF2, the correlation between SAM and Imaginary cEOF2 for the troposphere is associated to the asymmetric variability of the SAM.</w:t>
      </w:r>
      <w:r>
        <w:t xml:space="preserve"> </w:t>
      </w:r>
      <w:r>
        <w:t xml:space="preserve">Indeed, the Imaginary cEOF2 shares up to 92% variance with the A-SAM and only 12% at most with the S-SAM (Figure </w:t>
      </w:r>
      <w:r>
        <w:t xml:space="preserve">3.9</w:t>
      </w:r>
      <w:r>
        <w:t xml:space="preserve">.b2).</w:t>
      </w:r>
      <w:r>
        <w:t xml:space="preserve"> </w:t>
      </w:r>
      <w:r>
        <w:t xml:space="preserve">Such extremely high correlation between A-SAM and Imaginary cEOF2 suggests that the methodology proposed in this work is able to characterise the zonally asymmetric component of the SAM described previously by</w:t>
      </w:r>
      <w:r>
        <w:t xml:space="preserve"> </w:t>
      </w:r>
      <w:r>
        <w:t xml:space="preserve">Campitelli, Díaz, and Vera (2022)</w:t>
      </w:r>
      <w:r>
        <w:t xml:space="preserve">.</w:t>
      </w:r>
    </w:p>
    <w:bookmarkEnd w:id="61"/>
    <w:bookmarkStart w:id="68" w:name="tropical"/>
    <w:p>
      <w:pPr>
        <w:pStyle w:val="Heading2"/>
      </w:pPr>
      <w:r>
        <w:rPr>
          <w:rStyle w:val="SectionNumber"/>
        </w:rPr>
        <w:t xml:space="preserve">3.5</w:t>
      </w:r>
      <w:r>
        <w:tab/>
      </w:r>
      <w:r>
        <w:t xml:space="preserve">Tropical sources of cEOFs variabitliy</w:t>
      </w:r>
    </w:p>
    <w:p>
      <w:pPr>
        <w:pStyle w:val="CaptionedFigure"/>
      </w:pPr>
      <w:r>
        <w:drawing>
          <wp:inline>
            <wp:extent cx="5334000" cy="4265083"/>
            <wp:effectExtent b="0" l="0" r="0" t="0"/>
            <wp:docPr descr="Figure 3.10: Regression of SST (K, left column )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3" name="Picture"/>
            <a:graphic>
              <a:graphicData uri="http://schemas.openxmlformats.org/drawingml/2006/picture">
                <pic:pic>
                  <pic:nvPicPr>
                    <pic:cNvPr descr="../figures/sst-psi-2-1.pdf" id="64" name="Picture"/>
                    <pic:cNvPicPr>
                      <a:picLocks noChangeArrowheads="1" noChangeAspect="1"/>
                    </pic:cNvPicPr>
                  </pic:nvPicPr>
                  <pic:blipFill>
                    <a:blip r:embed="rId6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3.10: Regression of SST (K, left column )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are also assessed, to explore plausible forcings for the described cEOFs patterns.</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w:t>
      </w:r>
      <w:r>
        <w:t xml:space="preserve"> </w:t>
      </w:r>
      <w:r>
        <w:t xml:space="preserve">Besides the regression maps for the Real and Imaginary components, we include the corresponding regressions for two intermediate directions (corresponding to 45° and 135°).</w:t>
      </w:r>
    </w:p>
    <w:p>
      <w:pPr>
        <w:pStyle w:val="BodyText"/>
      </w:pPr>
      <w:r>
        <w:t xml:space="preserve">Furthermore, the Imaginary cEOF2 (second row) is associated with strong positive SST anomalies on the Central Pacific and negative anomalies over an area across northern Australia, New Zealand the South Pacific Convergence Zone (SPCZ) (Figure </w:t>
      </w:r>
      <w:r>
        <w:t xml:space="preserve">3.10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Imaginary cEOF2 time series.</w:t>
      </w:r>
      <w:r>
        <w:t xml:space="preserve"> </w:t>
      </w:r>
      <w:r>
        <w:t xml:space="preserve">Besides the Pacific ENSO-like pattern, there are positive anomalies in the western Indian Ocean and negative values in the eastern Indian Ocean, resembling a positive IOD</w:t>
      </w:r>
      <w:r>
        <w:t xml:space="preserve"> </w:t>
      </w:r>
      <w:r>
        <w:t xml:space="preserve">(Saji et al. 1999)</w:t>
      </w:r>
      <w:r>
        <w:t xml:space="preserve">.</w:t>
      </w:r>
      <w:r>
        <w:t xml:space="preserve"> </w:t>
      </w:r>
      <w:r>
        <w:t xml:space="preserve">Consistently, the correlation between the Imaginary cEOF2 and the DMI is 0.62 (CI: 0.38 – 0.78).</w:t>
      </w:r>
    </w:p>
    <w:p>
      <w:pPr>
        <w:pStyle w:val="BodyText"/>
      </w:pPr>
      <w:r>
        <w:t xml:space="preserve">The Imaginary cEOF2 is associated with strong wave-like streamfunction anomalies emanating from the tropics (Figure </w:t>
      </w:r>
      <w:r>
        <w:t xml:space="preserve">3.10</w:t>
      </w:r>
      <w:r>
        <w:t xml:space="preserve">.b2), both from the Central Pacific sector and the Indian Ocean.</w:t>
      </w:r>
      <w:r>
        <w:t xml:space="preserve"> </w:t>
      </w:r>
      <w:r>
        <w:t xml:space="preserve">These atmospheric response is consistent with the effect of ENSO and the IOD on the extratropics: the SST anomalies initiate anomalous tropical convection that excites Rossby waves that propagate meridionally towards higher latitudes</w:t>
      </w:r>
      <w:r>
        <w:t xml:space="preserve"> </w:t>
      </w:r>
      <w:r>
        <w:t xml:space="preserve">(Mo 2000; Cai et al. 2011; Nuncio and Yuan 2015)</w:t>
      </w:r>
      <w:r>
        <w:t xml:space="preserve">.</w:t>
      </w:r>
    </w:p>
    <w:p>
      <w:pPr>
        <w:pStyle w:val="BodyText"/>
      </w:pPr>
      <w:r>
        <w:t xml:space="preserve">The cEOF2 is not associated with the same tropical SSTs for all their phases.</w:t>
      </w:r>
      <w:r>
        <w:t xml:space="preserve"> </w:t>
      </w:r>
      <w:r>
        <w:t xml:space="preserve">Figure </w:t>
      </w:r>
      <w:r>
        <w:t xml:space="preserve">3.10</w:t>
      </w:r>
      <w:r>
        <w:t xml:space="preserve">.d1 and d2 show that the Real cEOF2 is not associated either with any significant SST nor streamfunction anomalies in the tropics.</w:t>
      </w:r>
      <w:r>
        <w:t xml:space="preserve"> </w:t>
      </w:r>
      <w:r>
        <w:t xml:space="preserve">As a result, the correlation between the Real cEOF2 and ENSO is also not significant (0 (CI: -0.3 – 0.3)).</w:t>
      </w:r>
      <w:r>
        <w:t xml:space="preserve"> </w:t>
      </w:r>
      <w:r>
        <w:t xml:space="preserve">Meanwhile, Rows a and c in Fig. </w:t>
      </w:r>
      <w:r>
        <w:t xml:space="preserve">3.10</w:t>
      </w:r>
      <w:r>
        <w:t xml:space="preserve"> </w:t>
      </w:r>
      <w:r>
        <w:t xml:space="preserve">show that the intermediate phases are still associated with significant SST anomalies over the Pacific Ocean, but with with slightly different location.</w:t>
      </w:r>
      <w:r>
        <w:t xml:space="preserve"> </w:t>
      </w:r>
      <w:r>
        <w:t xml:space="preserve">The 135º phase is associated with SST in the central Pacific (Fig. </w:t>
      </w:r>
      <w:r>
        <w:t xml:space="preserve">3.10</w:t>
      </w:r>
      <w:r>
        <w:t xml:space="preserve">a.1), while the 45º phase is associated with SST in the eastern Pacific (Fig. </w:t>
      </w:r>
      <w:r>
        <w:t xml:space="preserve">3.10</w:t>
      </w:r>
      <w:r>
        <w:t xml:space="preserve">c.1), which correspond roughly to the Central Pacific and Eastern Pacific</w:t>
      </w:r>
      <w:r>
        <w:t xml:space="preserve"> </w:t>
      </w:r>
      <w:r>
        <w:t xml:space="preserve">“</w:t>
      </w:r>
      <w:r>
        <w:t xml:space="preserve">flavours</w:t>
      </w:r>
      <w:r>
        <w:t xml:space="preserve">”</w:t>
      </w:r>
      <w:r>
        <w:t xml:space="preserve"> </w:t>
      </w:r>
      <w:r>
        <w:t xml:space="preserve">of ENSO, respectively</w:t>
      </w:r>
      <w:r>
        <w:t xml:space="preserve"> </w:t>
      </w:r>
      <w:r>
        <w:t xml:space="preserve">(Kao and Yu 2009)</w:t>
      </w:r>
      <w:r>
        <w:t xml:space="preserve">.</w:t>
      </w:r>
      <w:r>
        <w:t xml:space="preserve"> </w:t>
      </w:r>
      <w:r>
        <w:t xml:space="preserve">Both of these phases could be also associated to wave trains generated in the region surrounding Australia and propagates toward the extra-tropics.</w:t>
      </w:r>
    </w:p>
    <w:p>
      <w:pPr>
        <w:pStyle w:val="CaptionedFigure"/>
      </w:pPr>
      <w:r>
        <w:drawing>
          <wp:inline>
            <wp:extent cx="3009900" cy="2743200"/>
            <wp:effectExtent b="0" l="0" r="0" t="0"/>
            <wp:docPr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6" name="Picture"/>
            <a:graphic>
              <a:graphicData uri="http://schemas.openxmlformats.org/drawingml/2006/picture">
                <pic:pic>
                  <pic:nvPicPr>
                    <pic:cNvPr descr="../figures/enso-phase-1.pdf" id="67" name="Picture"/>
                    <pic:cNvPicPr>
                      <a:picLocks noChangeArrowheads="1" noChangeAspect="1"/>
                    </pic:cNvPicPr>
                  </pic:nvPicPr>
                  <pic:blipFill>
                    <a:blip r:embed="rId65"/>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better explore the relationship between tropical forcing and phases of the cEOF2, Figure </w:t>
      </w:r>
      <w:r>
        <w:t xml:space="preserve">3.11</w:t>
      </w:r>
      <w:r>
        <w:t xml:space="preserve"> </w:t>
      </w:r>
      <w:r>
        <w:t xml:space="preserve">shows the ONI index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 corresponding with positive (negative) Imaginary component.</w:t>
      </w:r>
      <w:r>
        <w:t xml:space="preserve"> </w:t>
      </w:r>
      <w:r>
        <w:t xml:space="preserve">In the neutral ENSO seasons, the cEOF2 phase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index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seem to have an effect in defining the phase of the cEOF2, the relationship between the magnitude of cEOF2 and ONI remains uncertain.</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3.8</w:t>
      </w:r>
      <w:r>
        <w:t xml:space="preserve">.</w:t>
      </w:r>
    </w:p>
    <w:p>
      <w:pPr>
        <w:pStyle w:val="BodyText"/>
      </w:pPr>
      <w:r>
        <w:t xml:space="preserve">Unlike the cEOF2 case, there are no significant SST regressed anomalies associated with either the Real or Imaginary cEOF1 (Sup. Figure </w:t>
      </w:r>
      <w:r>
        <w:t xml:space="preserve">6.1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the variability of cEOF1 is driven primary by the internal variability of the extra-tropics.</w:t>
      </w:r>
    </w:p>
    <w:bookmarkEnd w:id="68"/>
    <w:bookmarkStart w:id="75" w:name="precipitation"/>
    <w:p>
      <w:pPr>
        <w:pStyle w:val="Heading2"/>
      </w:pPr>
      <w:r>
        <w:rPr>
          <w:rStyle w:val="SectionNumber"/>
        </w:rPr>
        <w:t xml:space="preserve">3.6</w:t>
      </w:r>
      <w:r>
        <w:tab/>
      </w:r>
      <w:r>
        <w:t xml:space="preserve">cEOFs surface impacts</w:t>
      </w:r>
    </w:p>
    <w:p>
      <w:pPr>
        <w:pStyle w:val="CaptionedFigure"/>
      </w:pPr>
      <w:r>
        <w:drawing>
          <wp:inline>
            <wp:extent cx="5334000" cy="2661385"/>
            <wp:effectExtent b="0" l="0" r="0" t="0"/>
            <wp:docPr descr="Figure 3.12: Explained variance (r^2 as percentage) of 2-metre temperature (row a) and precipitation (row b) anomalies by the regression upon cEOF1 (column 1) and cEOF2 (column 2)." title="" id="70" name="Picture"/>
            <a:graphic>
              <a:graphicData uri="http://schemas.openxmlformats.org/drawingml/2006/picture">
                <pic:pic>
                  <pic:nvPicPr>
                    <pic:cNvPr descr="../figures/pp-t2m-r2-1.pdf" id="71" name="Picture"/>
                    <pic:cNvPicPr>
                      <a:picLocks noChangeArrowheads="1" noChangeAspect="1"/>
                    </pic:cNvPicPr>
                  </pic:nvPicPr>
                  <pic:blipFill>
                    <a:blip r:embed="rId69"/>
                    <a:stretch>
                      <a:fillRect/>
                    </a:stretch>
                  </pic:blipFill>
                  <pic:spPr bwMode="auto">
                    <a:xfrm>
                      <a:off x="0" y="0"/>
                      <a:ext cx="5334000" cy="2661385"/>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The influence of cEOFs variability in and 2-metre temperature and temperature in the Southern Hemisphere is also explored.</w:t>
      </w:r>
      <w:r>
        <w:t xml:space="preserve"> </w:t>
      </w:r>
      <w:r>
        <w:t xml:space="preserve">Figure </w:t>
      </w:r>
      <w:r>
        <w:t xml:space="preserve">3.12</w:t>
      </w:r>
      <w:r>
        <w:t xml:space="preserve"> </w:t>
      </w:r>
      <w:r>
        <w:t xml:space="preserve">shows the 2-meter temperature or precipitation anomalies explained variance by the multiple linear model of both Real and Imaginary cEOF1 components (column 1), and both Real and Imaginary cEOF2 components (column 2).</w:t>
      </w:r>
      <w:r>
        <w:t xml:space="preserve"> </w:t>
      </w:r>
      <w:r>
        <w:t xml:space="preserve">The variance explained by cEOF1 for precipitation anomalies is extremely low and also for most of the temperature anomalies, except for the eastern western of Antarctica (Fig. </w:t>
      </w:r>
      <w:r>
        <w:t xml:space="preserve"> </w:t>
      </w:r>
      <w:r>
        <w:t xml:space="preserve">3.12</w:t>
      </w:r>
      <w:r>
        <w:t xml:space="preserve">a.1).</w:t>
      </w:r>
    </w:p>
    <w:p>
      <w:pPr>
        <w:pStyle w:val="BodyText"/>
      </w:pPr>
      <w:r>
        <w:t xml:space="preserve">On the other hand, the cEOF2 explained variance is greater than 50% in some regions for both variables (Fig. </w:t>
      </w:r>
      <w:r>
        <w:t xml:space="preserve">3.12</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p>
    <w:p>
      <w:pPr>
        <w:pStyle w:val="BodyText"/>
      </w:pPr>
      <w:r>
        <w:t xml:space="preserve">Figure </w:t>
      </w:r>
      <w:r>
        <w:t xml:space="preserve">3.13</w:t>
      </w:r>
      <w:r>
        <w:t xml:space="preserve"> </w:t>
      </w:r>
      <w:r>
        <w:t xml:space="preserve">shows regression maps of 2-metre temperature (column 1) and precipitation (column 2) anomalies upon different phases of standardised cEOF2.</w:t>
      </w:r>
    </w:p>
    <w:p>
      <w:pPr>
        <w:pStyle w:val="CaptionedFigure"/>
      </w:pPr>
      <w:r>
        <w:drawing>
          <wp:inline>
            <wp:extent cx="5334000" cy="4446871"/>
            <wp:effectExtent b="0" l="0" r="0" t="0"/>
            <wp:docPr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3" name="Picture"/>
            <a:graphic>
              <a:graphicData uri="http://schemas.openxmlformats.org/drawingml/2006/picture">
                <pic:pic>
                  <pic:nvPicPr>
                    <pic:cNvPr descr="../figures/pp-temp-2-1.pdf" id="74" name="Picture"/>
                    <pic:cNvPicPr>
                      <a:picLocks noChangeArrowheads="1" noChangeAspect="1"/>
                    </pic:cNvPicPr>
                  </pic:nvPicPr>
                  <pic:blipFill>
                    <a:blip r:embed="rId72"/>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Imaginary cEOF (Fig. </w:t>
      </w:r>
      <w:r>
        <w:t xml:space="preserve">3.13</w:t>
      </w:r>
      <w:r>
        <w:t xml:space="preserve">.b1) show positive values in the tropical Pacific, consistent with SSTs anomalies associated with the same phase (Fig. </w:t>
      </w:r>
      <w:r>
        <w:t xml:space="preserve">3.10</w:t>
      </w:r>
      <w:r>
        <w:t xml:space="preserve">.b1).</w:t>
      </w:r>
    </w:p>
    <w:p>
      <w:pPr>
        <w:pStyle w:val="BodyText"/>
      </w:pP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 </w:t>
      </w:r>
      <w:r>
        <w:t xml:space="preserve">3.13</w:t>
      </w:r>
      <w:r>
        <w:t xml:space="preserve">b.1) is associated with positive temperatures in southern Australia and negative temperature in southern South America and the Antarctic Peninsula, that are a result of the wave train described before.</w:t>
      </w:r>
    </w:p>
    <w:p>
      <w:pPr>
        <w:pStyle w:val="BodyText"/>
      </w:pPr>
      <w:r>
        <w:t xml:space="preserve">The temperatures anomalies associated with the Real cEOF2 (Fig. </w:t>
      </w:r>
      <w:r>
        <w:t xml:space="preserve">3.13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Imaginary cEOF2 are strong, with positive anomalies in the central Pacific and western Indian, and negative anomalies in the eastern Pacific (Fig. </w:t>
      </w:r>
      <w:r>
        <w:t xml:space="preserve">3.13</w:t>
      </w:r>
      <w:r>
        <w:t xml:space="preserve">b.2).</w:t>
      </w:r>
      <w:r>
        <w:t xml:space="preserve"> </w:t>
      </w:r>
      <w:r>
        <w:t xml:space="preserve">This field is consistent with the SST regression map (Fig. </w:t>
      </w:r>
      <w:r>
        <w:t xml:space="preserve">3.13</w:t>
      </w:r>
      <w:r>
        <w:t xml:space="preserve">b.1) as the positive SST anomalies enhance tropical convection and the negative SST anomalies inhibits it.</w:t>
      </w:r>
    </w:p>
    <w:p>
      <w:pPr>
        <w:pStyle w:val="BodyText"/>
      </w:pPr>
      <w:r>
        <w:t xml:space="preserve">In the extra-tropics, the positive Imaginary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phase (an intermediate between positive Imaginary and negative Real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Imaginary cEOF2 has positive correlations with precipitation in South Eastern South America (SESA) and central Chile, and negative correlations in eastern Brazil. 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 Campitelli, Díaz, and Vera 2022)</w:t>
      </w:r>
      <w:r>
        <w:t xml:space="preserve">.</w:t>
      </w:r>
    </w:p>
    <w:p>
      <w:pPr>
        <w:pStyle w:val="BodyText"/>
      </w:pPr>
      <w:r>
        <w:t xml:space="preserve">This result is not surprising considering the close relationship of the Imaginary cEOF2 with both ONI and A-SAM index, which was shown previously.</w:t>
      </w:r>
      <w:r>
        <w:br/>
      </w:r>
      <w:r>
        <w:t xml:space="preserve">Furthermore, it consolidates the identification of the cEOF2 with the PSA pattern. Resembling the relationship between ONI and the phase of cEOF2 (Fig.  </w:t>
      </w:r>
      <w:r>
        <w:t xml:space="preserve">3.11</w:t>
      </w:r>
      <w:r>
        <w:t xml:space="preserve">), there is a cEOF2 phase dependence of the precipitation anomalies in SESA (not shown).</w:t>
      </w:r>
    </w:p>
    <w:p>
      <w:pPr>
        <w:pStyle w:val="BodyText"/>
      </w:pPr>
      <w:r>
        <w:t xml:space="preserve">The correlation coefficients between precipitation anomalies and the Real cEOF2 (Fig. </w:t>
      </w:r>
      <w:r>
        <w:t xml:space="preserve">3.13</w:t>
      </w:r>
      <w:r>
        <w:t xml:space="preserve">d.2) are weaker than for Imaginary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5"/>
    <w:bookmarkEnd w:id="76"/>
    <w:bookmarkStart w:id="77" w:name="discussion"/>
    <w:p>
      <w:pPr>
        <w:pStyle w:val="Heading1"/>
      </w:pPr>
      <w:r>
        <w:rPr>
          <w:rStyle w:val="SectionNumber"/>
        </w:rPr>
        <w:t xml:space="preserve">4</w:t>
      </w:r>
      <w:r>
        <w:tab/>
      </w:r>
      <w:r>
        <w:t xml:space="preserve">Discussion</w:t>
      </w:r>
    </w:p>
    <w:p>
      <w:pPr>
        <w:pStyle w:val="FirstParagraph"/>
      </w:pPr>
      <w:r>
        <w:t xml:space="preserve">In previous sections, it has been shown that variability patterns that arise from cEOF methodology allow to describe the zonally asymmetric springtime extratropical SH circulation, reproducing previous features such as the variability related to PSAs or A-SAM.</w:t>
      </w:r>
      <w:r>
        <w:t xml:space="preserve"> </w:t>
      </w:r>
      <w:r>
        <w:t xml:space="preserve">However, it could be questioned what is the advantage of using the methodology proposed here.</w:t>
      </w:r>
      <w:r>
        <w:t xml:space="preserve"> </w:t>
      </w:r>
      <w:r>
        <w:t xml:space="preserve">Firstly, the spatial fields obtained from both components of cEOF2, that resembles PSA patterns, are in quadrature by construction.</w:t>
      </w:r>
      <w:r>
        <w:t xml:space="preserve"> </w:t>
      </w:r>
      <w:r>
        <w:t xml:space="preserve">Thus, it is possible to derive a joint PSA index from the amplitude and phase obtained when applying cEOF methodology.</w:t>
      </w:r>
      <w:r>
        <w:t xml:space="preserve"> </w:t>
      </w:r>
      <w:r>
        <w:t xml:space="preserve">Secondly, because of how these components are constructed, they are not forced to be orthogonal to the SAM as in the standard EOF methodology.</w:t>
      </w:r>
      <w:r>
        <w:t xml:space="preserve"> </w:t>
      </w:r>
      <w:r>
        <w:t xml:space="preserve">This allows us to show that Imaginary cEOF2, that resembles PSA1 variability, is closely related to the SAM in the troposphere.</w:t>
      </w:r>
      <w:r>
        <w:t xml:space="preserve"> </w:t>
      </w:r>
      <w:r>
        <w:t xml:space="preserve">Moreover, the high correlation of this component to the the zonally asymmetric portion of the SAM allow to speculate that the A-SAM might actually be a statistical contamination of the PSA mode.</w:t>
      </w:r>
    </w:p>
    <w:p>
      <w:pPr>
        <w:pStyle w:val="BodyText"/>
      </w:pPr>
      <w:r>
        <w:t xml:space="preserve">Irving and Simmonds (2016)</w:t>
      </w:r>
      <w:r>
        <w:t xml:space="preserve"> </w:t>
      </w:r>
      <w:r>
        <w:t xml:space="preserve">argued that there is some disagreement in the literature of whether the phase of the PSA pattern is affected by the location of tropical SST anomalies.</w:t>
      </w:r>
      <w:r>
        <w:t xml:space="preserve"> </w:t>
      </w:r>
      <w:r>
        <w:t xml:space="preserve">With the methodology used in this study, we were able to show not only that the cEOF2 tends to be in the positive or negative imaginary phase (~PSA1) when the ENSO region is warm or cold, respectively, but that central Pacific SST anomalies tend to align the cEOF towards the negative real phase and eastern Pacific SST anomalies tend to align it towards positive real phase.</w:t>
      </w:r>
      <w:r>
        <w:t xml:space="preserve"> </w:t>
      </w:r>
      <w:r>
        <w:t xml:space="preserve">When ENSO is neutral, the cEOF2 is still as active, but with no preferred phase.</w:t>
      </w:r>
      <w:r>
        <w:t xml:space="preserve"> </w:t>
      </w:r>
      <w:r>
        <w:t xml:space="preserve">This mirrors the results of</w:t>
      </w:r>
      <w:r>
        <w:t xml:space="preserve"> </w:t>
      </w:r>
      <w:r>
        <w:t xml:space="preserve">Cai and Watterson (2002)</w:t>
      </w:r>
      <w:r>
        <w:t xml:space="preserve">, who showed that the CSIRO Model can create PSA-like variability even in the absence of ENSO forcing (i.e. with a climatological run), but that the variability of one of the PSA modes was enhanced when adding the ENSO signal.</w:t>
      </w:r>
    </w:p>
    <w:p>
      <w:pPr>
        <w:pStyle w:val="BodyText"/>
      </w:pPr>
      <w:r>
        <w:t xml:space="preserve">The sensitivity of the phase of the PSAs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Some results of our work contrast with those obtained by</w:t>
      </w:r>
      <w:r>
        <w:t xml:space="preserve"> </w:t>
      </w:r>
      <w:r>
        <w:t xml:space="preserve">Irving and Simmonds (2016)</w:t>
      </w:r>
      <w:r>
        <w:t xml:space="preserve"> </w:t>
      </w:r>
      <w:r>
        <w:t xml:space="preserve">when analysing the PSA.</w:t>
      </w:r>
      <w:r>
        <w:t xml:space="preserve"> </w:t>
      </w:r>
      <w:r>
        <w:t xml:space="preserve">They did not find neither a strong association between PSA-like variability and ENSO, nor a relationship between this variability and Australian precipitation.</w:t>
      </w:r>
      <w:r>
        <w:t xml:space="preserve"> </w:t>
      </w:r>
      <w:r>
        <w:t xml:space="preserve">Part of the disagreement could be due to the fact that we focus only on SON, which is the season when the teleconnection pattern is strongest, instead of the whole year.</w:t>
      </w:r>
      <w:r>
        <w:t xml:space="preserve"> </w:t>
      </w:r>
      <w:r>
        <w:t xml:space="preserve">Moreover,</w:t>
      </w:r>
      <w:r>
        <w:t xml:space="preserve"> </w:t>
      </w:r>
      <w:r>
        <w:t xml:space="preserve">Irving and Simmonds (2016)</w:t>
      </w:r>
      <w:r>
        <w:t xml:space="preserve"> </w:t>
      </w:r>
      <w:r>
        <w:t xml:space="preserve">use of ERA5 forectasted precipitation instead of the more observationally constrained CMAP dataset might also be an issue.</w:t>
      </w:r>
      <w:r>
        <w:t xml:space="preserve"> </w:t>
      </w:r>
      <w:r>
        <w:t xml:space="preserve">Additionally, the disagreement could be related to the fact that</w:t>
      </w:r>
      <w:r>
        <w:t xml:space="preserve"> </w:t>
      </w:r>
      <w:r>
        <w:t xml:space="preserve">Irving and Simmonds (2016)</w:t>
      </w:r>
      <w:r>
        <w:t xml:space="preserve"> </w:t>
      </w:r>
      <w:r>
        <w:t xml:space="preserve">show weak relationship between ENSO and their PSA pattern, which explains partly the relationship between Australian rainfall and PSA-like variability.</w:t>
      </w:r>
    </w:p>
    <w:bookmarkEnd w:id="77"/>
    <w:bookmarkStart w:id="82" w:name="conclusion"/>
    <w:p>
      <w:pPr>
        <w:pStyle w:val="Heading1"/>
      </w:pPr>
      <w:r>
        <w:rPr>
          <w:rStyle w:val="SectionNumber"/>
        </w:rPr>
        <w:t xml:space="preserve">5</w:t>
      </w:r>
      <w:r>
        <w:tab/>
      </w:r>
      <w:r>
        <w:t xml:space="preserve">Conclusion</w:t>
      </w:r>
    </w:p>
    <w:p>
      <w:pPr>
        <w:pStyle w:val="FirstParagraph"/>
      </w:pPr>
      <w:r>
        <w:t xml:space="preserve">In this study we assessed the Austral Spring Extratropical Southern Hemisphere zonally asymmetric circulation.</w:t>
      </w:r>
      <w:r>
        <w:t xml:space="preserve"> </w:t>
      </w:r>
      <w:r>
        <w:t xml:space="preserve">For this purpose, two complex indices were derived using Complex Empirical Orthogonal Functions.</w:t>
      </w:r>
      <w:r>
        <w:t xml:space="preserve"> </w:t>
      </w:r>
      <w:r>
        <w:t xml:space="preserve">This allowed us to characterise both the amplitude and phase of planetary waves that are not perfectly organised as sinusoidal waves with constant amplitude at each latitude circle.</w:t>
      </w:r>
    </w:p>
    <w:p>
      <w:pPr>
        <w:pStyle w:val="BodyText"/>
      </w:pPr>
      <w:r>
        <w:t xml:space="preserve">The cEOF1 represents the variability of the zonal wave 1 in the stratosphere, but represents a more zonally symmetric monopole in the troposphere.</w:t>
      </w:r>
      <w:r>
        <w:t xml:space="preserve"> </w:t>
      </w:r>
      <w:r>
        <w:t xml:space="preserve">There is a statistically positive trend in the magnitude of this cEOF, which is consistent with previous studies that showed secular changes in springtime wave-1-like patterns</w:t>
      </w:r>
      <w:r>
        <w:t xml:space="preserve"> </w:t>
      </w:r>
      <w:r>
        <w:t xml:space="preserve">(e.g. M. Raphael 2003)</w:t>
      </w:r>
      <w:r>
        <w:t xml:space="preserve">.</w:t>
      </w:r>
      <w:r>
        <w:t xml:space="preserve"> </w:t>
      </w:r>
      <w:r>
        <w:t xml:space="preserve">This mode is closely related to stratospheric variability such as anomalies in Total Ozone Column.</w:t>
      </w:r>
      <w:r>
        <w:t xml:space="preserve"> </w:t>
      </w:r>
      <w:r>
        <w:t xml:space="preserve">Otherwise, this complex EOF is not related with SST variability and continental precipitation in the Southern Hemisphere.</w:t>
      </w:r>
    </w:p>
    <w:p>
      <w:pPr>
        <w:pStyle w:val="BodyText"/>
      </w:pPr>
      <w:r>
        <w:t xml:space="preserve">The cEOF2 represents a wave-3 pattern with maximum magnitude in the Pacific sector, that is an alternative representation of the PSA1 and PSA2 patterns</w:t>
      </w:r>
      <w:r>
        <w:t xml:space="preserve"> </w:t>
      </w:r>
      <w:r>
        <w:t xml:space="preserve">(Mo and Paegle 2001)</w:t>
      </w:r>
      <w:r>
        <w:t xml:space="preserve">.</w:t>
      </w:r>
      <w:r>
        <w:t xml:space="preserve"> </w:t>
      </w:r>
      <w:r>
        <w:t xml:space="preserve">The Imaginary cEOF2 can be identified with the PSA1 and the Real cEOF2 with the PSA2.</w:t>
      </w:r>
    </w:p>
    <w:p>
      <w:pPr>
        <w:pStyle w:val="BodyText"/>
      </w:pPr>
      <w:r>
        <w:t xml:space="preserve">The phase of the cEOF2 is related to the the variability of ENSO, but its magnitude appears not to be, with the exception of the three strongest ENSO events in the period which coincide with the three strongest cEOF2 years.</w:t>
      </w:r>
    </w:p>
    <w:p>
      <w:pPr>
        <w:pStyle w:val="BodyText"/>
      </w:pPr>
      <w:r>
        <w:t xml:space="preserve">The cEOF2 variability could be related to surface impacts, while the cEOF1 influence is almost negligible.</w:t>
      </w:r>
      <w:r>
        <w:t xml:space="preserve"> </w:t>
      </w:r>
      <w:r>
        <w:t xml:space="preserve">For instance, precipitation anomalies in South America associated with the Imaginary cEOF2 show a clear ENSO-like impact, with positive anomalies in South-Eastern South America, negative anomalies in Southern Brazil and positive anomalies in central Chile.</w:t>
      </w:r>
      <w:r>
        <w:t xml:space="preserve"> </w:t>
      </w:r>
      <w:r>
        <w:t xml:space="preserve">Precipitation anomalies associated with the Real cEOF2 are low and not statistically significant in this region, showing that the Imaginary phase is optimally aligned with the direction of maximum precipitation impacts there.</w:t>
      </w:r>
    </w:p>
    <w:p>
      <w:pPr>
        <w:pStyle w:val="BodyText"/>
      </w:pPr>
      <w:r>
        <w:t xml:space="preserve">On the other hand, over Australia, both the Real and Imaginary phase are associated with significant precipitation anomalies, and we further show that the direction of maximum impact is not aligned with our chosen rotation of cEOF2.</w:t>
      </w:r>
      <w:r>
        <w:t xml:space="preserve"> </w:t>
      </w:r>
      <w:r>
        <w:t xml:space="preserve">An analysis of the precipitation impacts on this regions could benefit for a differnet chosen rotation of the cEOF.</w:t>
      </w:r>
    </w:p>
    <w:p>
      <w:pPr>
        <w:pStyle w:val="BodyText"/>
      </w:pPr>
      <w:r>
        <w:t xml:space="preserve">The methodology proposed in this study allow a deeper understanding of the zonally asymmetric springtime extratropical SH circulation such as a better description of PSA like variability using a unique complex index and the understanding of relationship between PSAs and ENSO or SAM variability.</w:t>
      </w:r>
      <w:r>
        <w:t xml:space="preserve"> </w:t>
      </w:r>
      <w:r>
        <w:t xml:space="preserve">Further work should extend this analysis to other seasons and further study the relationship between the cEOF2 and the SAM.</w:t>
      </w:r>
    </w:p>
    <w:bookmarkStart w:id="81"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78">
        <w:r>
          <w:rPr>
            <w:rStyle w:val="Hyperlink"/>
          </w:rPr>
          <w:t xml:space="preserve">https://github.com/eliocamp/shceof</w:t>
        </w:r>
      </w:hyperlink>
      <w:r>
        <w:t xml:space="preserve">.</w:t>
      </w:r>
    </w:p>
    <w:p>
      <w:pPr>
        <w:numPr>
          <w:ilvl w:val="0"/>
          <w:numId w:val="1001"/>
        </w:numPr>
      </w:pPr>
      <w:r>
        <w:t xml:space="preserve">The Oceanic Niño Index is available via NOAA’s Climate Prediction Center:</w:t>
      </w:r>
      <w:r>
        <w:t xml:space="preserve"> </w:t>
      </w:r>
      <w:hyperlink r:id="rId79">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0">
        <w:r>
          <w:rPr>
            <w:rStyle w:val="Hyperlink"/>
          </w:rPr>
          <w:t xml:space="preserve">https://psl.noaa.gov/gcos_wgsp/Timeseries/Data/dmi.had.long.data</w:t>
        </w:r>
      </w:hyperlink>
    </w:p>
    <w:bookmarkEnd w:id="81"/>
    <w:bookmarkEnd w:id="82"/>
    <w:bookmarkStart w:id="199" w:name="extra-figures"/>
    <w:p>
      <w:pPr>
        <w:pStyle w:val="Heading1"/>
      </w:pPr>
      <w:r>
        <w:rPr>
          <w:rStyle w:val="SectionNumber"/>
        </w:rPr>
        <w:t xml:space="preserve">6</w:t>
      </w:r>
      <w:r>
        <w:tab/>
      </w:r>
      <w:r>
        <w:t xml:space="preserve">Extra figures</w:t>
      </w:r>
    </w:p>
    <w:p>
      <w:r>
        <w:br w:type="page"/>
      </w:r>
    </w:p>
    <w:p>
      <w:pPr>
        <w:pStyle w:val="CaptionedFigure"/>
      </w:pPr>
      <w:r>
        <w:drawing>
          <wp:inline>
            <wp:extent cx="5334000" cy="4265083"/>
            <wp:effectExtent b="0" l="0" r="0" t="0"/>
            <wp:docPr descr="Figure 6.1: Same as Figure 3.10 but for cEOF1." title="" id="84" name="Picture"/>
            <a:graphic>
              <a:graphicData uri="http://schemas.openxmlformats.org/drawingml/2006/picture">
                <pic:pic>
                  <pic:nvPicPr>
                    <pic:cNvPr descr="../figures/sst-psi-1-1.pdf" id="85" name="Picture"/>
                    <pic:cNvPicPr>
                      <a:picLocks noChangeArrowheads="1" noChangeAspect="1"/>
                    </pic:cNvPicPr>
                  </pic:nvPicPr>
                  <pic:blipFill>
                    <a:blip r:embed="rId83"/>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6.1: Same as Figure </w:t>
      </w:r>
      <w:r>
        <w:t xml:space="preserve">3.10</w:t>
      </w:r>
      <w:r>
        <w:t xml:space="preserve"> </w:t>
      </w:r>
      <w:r>
        <w:t xml:space="preserve">but for cEOF1.</w:t>
      </w:r>
    </w:p>
    <w:p>
      <w:pPr>
        <w:pStyle w:val="CaptionedFigure"/>
      </w:pPr>
      <w:r>
        <w:drawing>
          <wp:inline>
            <wp:extent cx="5334000" cy="4446871"/>
            <wp:effectExtent b="0" l="0" r="0" t="0"/>
            <wp:docPr descr="Figure 6.2: Same as Figure 3.13 but for cEOF1." title="" id="87" name="Picture"/>
            <a:graphic>
              <a:graphicData uri="http://schemas.openxmlformats.org/drawingml/2006/picture">
                <pic:pic>
                  <pic:nvPicPr>
                    <pic:cNvPr descr="../figures/pp-temp-1-1.pdf" id="88" name="Picture"/>
                    <pic:cNvPicPr>
                      <a:picLocks noChangeArrowheads="1" noChangeAspect="1"/>
                    </pic:cNvPicPr>
                  </pic:nvPicPr>
                  <pic:blipFill>
                    <a:blip r:embed="rId86"/>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6.2: Same as Figure</w:t>
      </w:r>
      <w:r>
        <w:t xml:space="preserve"> </w:t>
      </w:r>
      <w:r>
        <w:t xml:space="preserve">3.13</w:t>
      </w:r>
      <w:r>
        <w:t xml:space="preserve"> </w:t>
      </w:r>
      <w:r>
        <w:t xml:space="preserve">but for cEOF1.</w:t>
      </w:r>
    </w:p>
    <w:bookmarkStart w:id="198" w:name="refs"/>
    <w:bookmarkStart w:id="90"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1999.</w:t>
      </w:r>
      <w:r>
        <w:t xml:space="preserve"> </w:t>
      </w:r>
      <w:hyperlink r:id="rId89">
        <w:r>
          <w:rPr>
            <w:rStyle w:val="Hyperlink"/>
          </w:rPr>
          <w:t xml:space="preserve">https://www2.cisl.ucar.edu/resources/legacy/fishpack</w:t>
        </w:r>
      </w:hyperlink>
      <w:r>
        <w:t xml:space="preserve">.</w:t>
      </w:r>
    </w:p>
    <w:bookmarkEnd w:id="90"/>
    <w:bookmarkStart w:id="92" w:name="ref-albers2020"/>
    <w:p>
      <w:pPr>
        <w:pStyle w:val="Bibliography"/>
      </w:pPr>
      <w:r>
        <w:t xml:space="preserve">Albers, Sam, and Elio Campitelli. 2020.</w:t>
      </w:r>
      <w:r>
        <w:t xml:space="preserve"> </w:t>
      </w:r>
      <w:r>
        <w:rPr>
          <w:iCs/>
          <w:i/>
        </w:rPr>
        <w:t xml:space="preserve">Rsoi:</w:t>
      </w:r>
      <w:r>
        <w:rPr>
          <w:iCs/>
          <w:i/>
        </w:rPr>
        <w:t xml:space="preserve"> </w:t>
      </w:r>
      <w:r>
        <w:rPr>
          <w:iCs/>
          <w:i/>
        </w:rPr>
        <w:t xml:space="preserve">Import Various Northern</w:t>
      </w:r>
      <w:r>
        <w:rPr>
          <w:iCs/>
          <w:i/>
        </w:rPr>
        <w:t xml:space="preserve"> </w:t>
      </w:r>
      <w:r>
        <w:rPr>
          <w:iCs/>
          <w:i/>
        </w:rPr>
        <w:t xml:space="preserve">and</w:t>
      </w:r>
      <w:r>
        <w:rPr>
          <w:iCs/>
          <w:i/>
        </w:rPr>
        <w:t xml:space="preserve"> </w:t>
      </w:r>
      <w:r>
        <w:rPr>
          <w:iCs/>
          <w:i/>
        </w:rPr>
        <w:t xml:space="preserve">Southern Hemisphere Climate Indices</w:t>
      </w:r>
      <w:r>
        <w:t xml:space="preserve"> </w:t>
      </w:r>
      <w:r>
        <w:t xml:space="preserve">(version 0.5.4).</w:t>
      </w:r>
      <w:r>
        <w:t xml:space="preserve"> </w:t>
      </w:r>
      <w:hyperlink r:id="rId91">
        <w:r>
          <w:rPr>
            <w:rStyle w:val="Hyperlink"/>
          </w:rPr>
          <w:t xml:space="preserve">https://CRAN.R-project.org/package=rsoi</w:t>
        </w:r>
      </w:hyperlink>
      <w:r>
        <w:t xml:space="preserve">.</w:t>
      </w:r>
    </w:p>
    <w:bookmarkEnd w:id="92"/>
    <w:bookmarkStart w:id="94" w:name="ref-allaire2020"/>
    <w:p>
      <w:pPr>
        <w:pStyle w:val="Bibliography"/>
      </w:pPr>
      <w:r>
        <w:t xml:space="preserve">Allaire, J. J., Yihui Xie [aut, cre, Jonathan McPherson, Javier Luraschi, Kevin Ushey, Aron Atkins, et al. 2020.</w:t>
      </w:r>
      <w:r>
        <w:t xml:space="preserve"> </w:t>
      </w:r>
      <w:r>
        <w:rPr>
          <w:iCs/>
          <w:i/>
        </w:rPr>
        <w:t xml:space="preserve">Rmarkdown:</w:t>
      </w:r>
      <w:r>
        <w:rPr>
          <w:iCs/>
          <w:i/>
        </w:rPr>
        <w:t xml:space="preserve"> </w:t>
      </w:r>
      <w:r>
        <w:rPr>
          <w:iCs/>
          <w:i/>
        </w:rPr>
        <w:t xml:space="preserve">Dynamic Documents</w:t>
      </w:r>
      <w:r>
        <w:rPr>
          <w:iCs/>
          <w:i/>
        </w:rPr>
        <w:t xml:space="preserve"> </w:t>
      </w:r>
      <w:r>
        <w:rPr>
          <w:iCs/>
          <w:i/>
        </w:rPr>
        <w:t xml:space="preserve">for</w:t>
      </w:r>
      <w:r>
        <w:rPr>
          <w:iCs/>
          <w:i/>
        </w:rPr>
        <w:t xml:space="preserve"> </w:t>
      </w:r>
      <w:r>
        <w:rPr>
          <w:iCs/>
          <w:i/>
        </w:rPr>
        <w:t xml:space="preserve">R</w:t>
      </w:r>
      <w:r>
        <w:t xml:space="preserve"> </w:t>
      </w:r>
      <w:r>
        <w:t xml:space="preserve">(version 2.4).</w:t>
      </w:r>
      <w:r>
        <w:t xml:space="preserve"> </w:t>
      </w:r>
      <w:hyperlink r:id="rId93">
        <w:r>
          <w:rPr>
            <w:rStyle w:val="Hyperlink"/>
          </w:rPr>
          <w:t xml:space="preserve">https://CRAN.R-project.org/package=rmarkdown</w:t>
        </w:r>
      </w:hyperlink>
      <w:r>
        <w:t xml:space="preserve">.</w:t>
      </w:r>
    </w:p>
    <w:bookmarkEnd w:id="94"/>
    <w:bookmarkStart w:id="96" w:name="ref-baldwin2009"/>
    <w:p>
      <w:pPr>
        <w:pStyle w:val="Bibliography"/>
      </w:pPr>
      <w:r>
        <w:t xml:space="preserve">Baldwin, Mark P., and David W. J. Thompson. 2009.</w:t>
      </w:r>
      <w:r>
        <w:t xml:space="preserve"> </w:t>
      </w:r>
      <w:r>
        <w:t xml:space="preserve">“A Critical Comparison of Stratosphere–Troposphere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95">
        <w:r>
          <w:rPr>
            <w:rStyle w:val="Hyperlink"/>
          </w:rPr>
          <w:t xml:space="preserve">https://doi.org/10.1002/qj.479</w:t>
        </w:r>
      </w:hyperlink>
      <w:r>
        <w:t xml:space="preserve">.</w:t>
      </w:r>
    </w:p>
    <w:bookmarkEnd w:id="96"/>
    <w:bookmarkStart w:id="98"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97">
        <w:r>
          <w:rPr>
            <w:rStyle w:val="Hyperlink"/>
          </w:rPr>
          <w:t xml:space="preserve">https://doi.org/10.1080/07055900.1997.9649597</w:t>
        </w:r>
      </w:hyperlink>
      <w:r>
        <w:t xml:space="preserve">.</w:t>
      </w:r>
    </w:p>
    <w:bookmarkEnd w:id="98"/>
    <w:bookmarkStart w:id="99"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99"/>
    <w:bookmarkStart w:id="101"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w:t>
      </w:r>
      <w:r>
        <w:t xml:space="preserve">Southern Oscillation</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4): 215–31.</w:t>
      </w:r>
      <w:r>
        <w:t xml:space="preserve"> </w:t>
      </w:r>
      <w:hyperlink r:id="rId102">
        <w:r>
          <w:rPr>
            <w:rStyle w:val="Hyperlink"/>
          </w:rPr>
          <w:t xml:space="preserve">https://doi.org/10.1038/s43017-020-0040-3</w:t>
        </w:r>
      </w:hyperlink>
      <w:r>
        <w:t xml:space="preserve">.</w:t>
      </w:r>
    </w:p>
    <w:bookmarkEnd w:id="103"/>
    <w:bookmarkStart w:id="105"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04">
        <w:r>
          <w:rPr>
            <w:rStyle w:val="Hyperlink"/>
          </w:rPr>
          <w:t xml:space="preserve">https://doi.org/10.1175/2011JCLI4129.1</w:t>
        </w:r>
      </w:hyperlink>
      <w:r>
        <w:t xml:space="preserve">.</w:t>
      </w:r>
    </w:p>
    <w:bookmarkEnd w:id="105"/>
    <w:bookmarkStart w:id="107"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06">
        <w:r>
          <w:rPr>
            <w:rStyle w:val="Hyperlink"/>
          </w:rPr>
          <w:t xml:space="preserve">https://doi.org/10.1175/1520-0442(2002)015&lt;1159:MOIVOT&gt;2.0.CO;2</w:t>
        </w:r>
      </w:hyperlink>
      <w:r>
        <w:t xml:space="preserve">.</w:t>
      </w:r>
    </w:p>
    <w:bookmarkEnd w:id="107"/>
    <w:bookmarkStart w:id="109" w:name="ref-campitelli2020"/>
    <w:p>
      <w:pPr>
        <w:pStyle w:val="Bibliography"/>
      </w:pPr>
      <w:r>
        <w:t xml:space="preserve">Campitelli, Elio. 2020.</w:t>
      </w:r>
      <w:r>
        <w:t xml:space="preserve"> </w:t>
      </w:r>
      <w:r>
        <w:rPr>
          <w:iCs/>
          <w:i/>
        </w:rPr>
        <w:t xml:space="preserve">metR</w:t>
      </w:r>
      <w:r>
        <w:rPr>
          <w:iCs/>
          <w:i/>
        </w:rPr>
        <w:t xml:space="preserve">:</w:t>
      </w:r>
      <w:r>
        <w:rPr>
          <w:iCs/>
          <w:i/>
        </w:rPr>
        <w:t xml:space="preserve"> </w:t>
      </w:r>
      <w:r>
        <w:rPr>
          <w:iCs/>
          <w:i/>
        </w:rPr>
        <w:t xml:space="preserve">Tools</w:t>
      </w:r>
      <w:r>
        <w:rPr>
          <w:iCs/>
          <w:i/>
        </w:rPr>
        <w:t xml:space="preserve"> </w:t>
      </w:r>
      <w:r>
        <w:rPr>
          <w:iCs/>
          <w:i/>
        </w:rPr>
        <w:t xml:space="preserve">for</w:t>
      </w:r>
      <w:r>
        <w:rPr>
          <w:iCs/>
          <w:i/>
        </w:rPr>
        <w:t xml:space="preserve"> </w:t>
      </w:r>
      <w:r>
        <w:rPr>
          <w:iCs/>
          <w:i/>
        </w:rPr>
        <w:t xml:space="preserve">Easier Analysis</w:t>
      </w:r>
      <w:r>
        <w:rPr>
          <w:iCs/>
          <w:i/>
        </w:rPr>
        <w:t xml:space="preserve"> </w:t>
      </w:r>
      <w:r>
        <w:rPr>
          <w:iCs/>
          <w:i/>
        </w:rPr>
        <w:t xml:space="preserve">of</w:t>
      </w:r>
      <w:r>
        <w:rPr>
          <w:iCs/>
          <w:i/>
        </w:rPr>
        <w:t xml:space="preserve"> </w:t>
      </w:r>
      <w:r>
        <w:rPr>
          <w:iCs/>
          <w:i/>
        </w:rPr>
        <w:t xml:space="preserve">Meteorological Fields</w:t>
      </w:r>
      <w:r>
        <w:t xml:space="preserve"> </w:t>
      </w:r>
      <w:r>
        <w:t xml:space="preserve">(version 0.7.0).</w:t>
      </w:r>
      <w:r>
        <w:t xml:space="preserve"> </w:t>
      </w:r>
      <w:hyperlink r:id="rId108">
        <w:r>
          <w:rPr>
            <w:rStyle w:val="Hyperlink"/>
          </w:rPr>
          <w:t xml:space="preserve">https://CRAN.R-project.org/package=metR</w:t>
        </w:r>
      </w:hyperlink>
      <w:r>
        <w:t xml:space="preserve">.</w:t>
      </w:r>
    </w:p>
    <w:bookmarkEnd w:id="109"/>
    <w:bookmarkStart w:id="111" w:name="ref-campitelli2022"/>
    <w:p>
      <w:pPr>
        <w:pStyle w:val="Bibliography"/>
      </w:pPr>
      <w:r>
        <w:t xml:space="preserve">Campitelli, Elio, Leandro B. Díaz, and Carolina Vera. 2022.</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10">
        <w:r>
          <w:rPr>
            <w:rStyle w:val="Hyperlink"/>
          </w:rPr>
          <w:t xml:space="preserve">https://doi.org/10.1007/s00382-021-05896-5</w:t>
        </w:r>
      </w:hyperlink>
      <w:r>
        <w:t xml:space="preserve">.</w:t>
      </w:r>
    </w:p>
    <w:bookmarkEnd w:id="111"/>
    <w:bookmarkStart w:id="113" w:name="ref-cazes-boezio2003a"/>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12">
        <w:r>
          <w:rPr>
            <w:rStyle w:val="Hyperlink"/>
          </w:rPr>
          <w:t xml:space="preserve">https://doi.org/10.1175/1520-0442(2003)16&lt;1159:SDOETO&gt;2.0.CO;2</w:t>
        </w:r>
      </w:hyperlink>
      <w:r>
        <w:t xml:space="preserve">.</w:t>
      </w:r>
    </w:p>
    <w:bookmarkEnd w:id="113"/>
    <w:bookmarkStart w:id="115"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14">
        <w:r>
          <w:rPr>
            <w:rStyle w:val="Hyperlink"/>
          </w:rPr>
          <w:t xml:space="preserve">https://doi.org/10.1175/JCLI-D-14-00438.1</w:t>
        </w:r>
      </w:hyperlink>
      <w:r>
        <w:t xml:space="preserve">.</w:t>
      </w:r>
    </w:p>
    <w:bookmarkEnd w:id="115"/>
    <w:bookmarkStart w:id="117" w:name="ref-dowle2020"/>
    <w:p>
      <w:pPr>
        <w:pStyle w:val="Bibliography"/>
      </w:pPr>
      <w:r>
        <w:t xml:space="preserve">Dowle, Matt, and Arun Srinivasan. 2020.</w:t>
      </w:r>
      <w:r>
        <w:t xml:space="preserve"> </w:t>
      </w:r>
      <w:r>
        <w:rPr>
          <w:iCs/>
          <w:i/>
        </w:rPr>
        <w:t xml:space="preserve">Data.table:</w:t>
      </w:r>
      <w:r>
        <w:rPr>
          <w:iCs/>
          <w:i/>
        </w:rPr>
        <w:t xml:space="preserve"> </w:t>
      </w:r>
      <w:r>
        <w:rPr>
          <w:iCs/>
          <w:i/>
        </w:rPr>
        <w:t xml:space="preserve">Extension</w:t>
      </w:r>
      <w:r>
        <w:rPr>
          <w:iCs/>
          <w:i/>
        </w:rPr>
        <w:t xml:space="preserve"> </w:t>
      </w:r>
      <w:r>
        <w:rPr>
          <w:iCs/>
          <w:i/>
        </w:rPr>
        <w:t xml:space="preserve">of ’Data.frame’</w:t>
      </w:r>
      <w:r>
        <w:t xml:space="preserve"> </w:t>
      </w:r>
      <w:r>
        <w:t xml:space="preserve">(version 1.13.0).</w:t>
      </w:r>
      <w:r>
        <w:t xml:space="preserve"> </w:t>
      </w:r>
      <w:hyperlink r:id="rId116">
        <w:r>
          <w:rPr>
            <w:rStyle w:val="Hyperlink"/>
          </w:rPr>
          <w:t xml:space="preserve">https://CRAN.R-project.org/package=data.table</w:t>
        </w:r>
      </w:hyperlink>
      <w:r>
        <w:t xml:space="preserve">.</w:t>
      </w:r>
    </w:p>
    <w:bookmarkEnd w:id="117"/>
    <w:bookmarkStart w:id="119"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18">
        <w:r>
          <w:rPr>
            <w:rStyle w:val="Hyperlink"/>
          </w:rPr>
          <w:t xml:space="preserve">https://doi.org/10.1002/wcc.652</w:t>
        </w:r>
      </w:hyperlink>
      <w:r>
        <w:t xml:space="preserve">.</w:t>
      </w:r>
    </w:p>
    <w:bookmarkEnd w:id="119"/>
    <w:bookmarkStart w:id="121" w:name="ref-gelbrecht2018"/>
    <w:p>
      <w:pPr>
        <w:pStyle w:val="Bibliography"/>
      </w:pPr>
      <w:r>
        <w:t xml:space="preserve">Gelbrecht, Maximilian, Niklas Boers, and Jürgen Kurths. 2018.</w:t>
      </w:r>
      <w:r>
        <w:t xml:space="preserve"> </w:t>
      </w:r>
      <w:r>
        <w:t xml:space="preserve">“Phase Coherence Between Precipitation in</w:t>
      </w:r>
      <w:r>
        <w:t xml:space="preserve"> </w:t>
      </w:r>
      <w:r>
        <w:t xml:space="preserve">South America</w:t>
      </w:r>
      <w:r>
        <w:t xml:space="preserve"> </w:t>
      </w:r>
      <w:r>
        <w:t xml:space="preserve">and</w:t>
      </w:r>
      <w:r>
        <w:t xml:space="preserve"> </w:t>
      </w:r>
      <w:r>
        <w:t xml:space="preserve">Rossby</w:t>
      </w:r>
      <w:r>
        <w:t xml:space="preserve"> </w:t>
      </w:r>
      <w:r>
        <w:t xml:space="preserve">Waves.”</w:t>
      </w:r>
      <w:r>
        <w:t xml:space="preserve"> </w:t>
      </w:r>
      <w:r>
        <w:rPr>
          <w:iCs/>
          <w:i/>
        </w:rPr>
        <w:t xml:space="preserve">Science Advances</w:t>
      </w:r>
      <w:r>
        <w:t xml:space="preserve"> </w:t>
      </w:r>
      <w:r>
        <w:t xml:space="preserve">4 (12): eaau3191.</w:t>
      </w:r>
      <w:r>
        <w:t xml:space="preserve"> </w:t>
      </w:r>
      <w:hyperlink r:id="rId120">
        <w:r>
          <w:rPr>
            <w:rStyle w:val="Hyperlink"/>
          </w:rPr>
          <w:t xml:space="preserve">https://doi.org/10.1126/sciadv.aau3191</w:t>
        </w:r>
      </w:hyperlink>
      <w:r>
        <w:t xml:space="preserve">.</w:t>
      </w:r>
    </w:p>
    <w:bookmarkEnd w:id="121"/>
    <w:bookmarkStart w:id="123"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22">
        <w:r>
          <w:rPr>
            <w:rStyle w:val="Hyperlink"/>
          </w:rPr>
          <w:t xml:space="preserve">https://doi.org/10.1029/1999GL900003</w:t>
        </w:r>
      </w:hyperlink>
      <w:r>
        <w:t xml:space="preserve">.</w:t>
      </w:r>
    </w:p>
    <w:bookmarkEnd w:id="123"/>
    <w:bookmarkStart w:id="125"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1979–2008.”</w:t>
      </w:r>
      <w:r>
        <w:t xml:space="preserve"> </w:t>
      </w:r>
      <w:r>
        <w:rPr>
          <w:iCs/>
          <w:i/>
        </w:rPr>
        <w:t xml:space="preserve">International Journal of Remote Sensing</w:t>
      </w:r>
      <w:r>
        <w:t xml:space="preserve"> </w:t>
      </w:r>
      <w:r>
        <w:t xml:space="preserve">32 (11): 3139–51.</w:t>
      </w:r>
      <w:r>
        <w:t xml:space="preserve"> </w:t>
      </w:r>
      <w:hyperlink r:id="rId124">
        <w:r>
          <w:rPr>
            <w:rStyle w:val="Hyperlink"/>
          </w:rPr>
          <w:t xml:space="preserve">https://doi.org/10.1080/01431161.2010.541518</w:t>
        </w:r>
      </w:hyperlink>
      <w:r>
        <w:t xml:space="preserve">.</w:t>
      </w:r>
    </w:p>
    <w:bookmarkEnd w:id="125"/>
    <w:bookmarkStart w:id="127"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26">
        <w:r>
          <w:rPr>
            <w:rStyle w:val="Hyperlink"/>
          </w:rPr>
          <w:t xml:space="preserve">https://doi.org/10.1175/1520-0469(1979)036&lt;0350:AMMOOT&gt;2.0.CO;2</w:t>
        </w:r>
      </w:hyperlink>
      <w:r>
        <w:t xml:space="preserve">.</w:t>
      </w:r>
    </w:p>
    <w:bookmarkEnd w:id="127"/>
    <w:bookmarkStart w:id="129"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28">
        <w:r>
          <w:rPr>
            <w:rStyle w:val="Hyperlink"/>
          </w:rPr>
          <w:t xml:space="preserve">https://doi.org/10.24381/cds.6860a573</w:t>
        </w:r>
      </w:hyperlink>
      <w:r>
        <w:t xml:space="preserve">.</w:t>
      </w:r>
    </w:p>
    <w:bookmarkEnd w:id="129"/>
    <w:bookmarkStart w:id="131"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30">
        <w:r>
          <w:rPr>
            <w:rStyle w:val="Hyperlink"/>
          </w:rPr>
          <w:t xml:space="preserve">https://doi.org/10.1007/s00382-009-0663-z</w:t>
        </w:r>
      </w:hyperlink>
      <w:r>
        <w:t xml:space="preserve">.</w:t>
      </w:r>
    </w:p>
    <w:bookmarkEnd w:id="131"/>
    <w:bookmarkStart w:id="133"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32">
        <w:r>
          <w:rPr>
            <w:rStyle w:val="Hyperlink"/>
          </w:rPr>
          <w:t xml:space="preserve">https://doi.org/10.1175/1520-0450(1984)023&lt;1660:CPCATA&gt;2.0.CO;2</w:t>
        </w:r>
      </w:hyperlink>
      <w:r>
        <w:t xml:space="preserve">.</w:t>
      </w:r>
    </w:p>
    <w:bookmarkEnd w:id="133"/>
    <w:bookmarkStart w:id="135"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34">
        <w:r>
          <w:rPr>
            <w:rStyle w:val="Hyperlink"/>
          </w:rPr>
          <w:t xml:space="preserve">https://doi.org/10.1175/JCLI3570.1</w:t>
        </w:r>
      </w:hyperlink>
      <w:r>
        <w:t xml:space="preserve">.</w:t>
      </w:r>
    </w:p>
    <w:bookmarkEnd w:id="135"/>
    <w:bookmarkStart w:id="137"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36">
        <w:r>
          <w:rPr>
            <w:rStyle w:val="Hyperlink"/>
          </w:rPr>
          <w:t xml:space="preserve">https://doi.org/10.1175/JCLI-D-16-0836.1</w:t>
        </w:r>
      </w:hyperlink>
      <w:r>
        <w:t xml:space="preserve">.</w:t>
      </w:r>
    </w:p>
    <w:bookmarkEnd w:id="137"/>
    <w:bookmarkStart w:id="139" w:name="ref-hufkens2020"/>
    <w:p>
      <w:pPr>
        <w:pStyle w:val="Bibliography"/>
      </w:pPr>
      <w:r>
        <w:t xml:space="preserve">Hufkens, Koen. 2020.</w:t>
      </w:r>
      <w:r>
        <w:t xml:space="preserve"> </w:t>
      </w:r>
      <w:r>
        <w:rPr>
          <w:iCs/>
          <w:i/>
        </w:rPr>
        <w:t xml:space="preserve">Ecmwfr:</w:t>
      </w:r>
      <w:r>
        <w:rPr>
          <w:iCs/>
          <w:i/>
        </w:rPr>
        <w:t xml:space="preserve"> </w:t>
      </w:r>
      <w:r>
        <w:rPr>
          <w:iCs/>
          <w:i/>
        </w:rPr>
        <w:t xml:space="preserve">Programmatic</w:t>
      </w:r>
      <w:r>
        <w:rPr>
          <w:iCs/>
          <w:i/>
        </w:rPr>
        <w:t xml:space="preserve"> </w:t>
      </w:r>
      <w:r>
        <w:rPr>
          <w:iCs/>
          <w:i/>
        </w:rPr>
        <w:t xml:space="preserve">Interface to the Two</w:t>
      </w:r>
      <w:r>
        <w:rPr>
          <w:iCs/>
          <w:i/>
        </w:rPr>
        <w:t xml:space="preserve"> </w:t>
      </w:r>
      <w:r>
        <w:rPr>
          <w:iCs/>
          <w:i/>
        </w:rPr>
        <w:t xml:space="preserve">European Centre</w:t>
      </w:r>
      <w:r>
        <w:rPr>
          <w:iCs/>
          <w:i/>
        </w:rPr>
        <w:t xml:space="preserve"> </w:t>
      </w:r>
      <w:r>
        <w:rPr>
          <w:iCs/>
          <w:i/>
        </w:rPr>
        <w:t xml:space="preserve">for</w:t>
      </w:r>
      <w:r>
        <w:rPr>
          <w:iCs/>
          <w:i/>
        </w:rPr>
        <w:t xml:space="preserve"> </w:t>
      </w:r>
      <w:r>
        <w:rPr>
          <w:iCs/>
          <w:i/>
        </w:rPr>
        <w:t xml:space="preserve">Medium-Range Weather Forecasts API</w:t>
      </w:r>
      <w:r>
        <w:rPr>
          <w:iCs/>
          <w:i/>
        </w:rPr>
        <w:t xml:space="preserve"> </w:t>
      </w:r>
      <w:r>
        <w:rPr>
          <w:iCs/>
          <w:i/>
        </w:rPr>
        <w:t xml:space="preserve">Services</w:t>
      </w:r>
      <w:r>
        <w:t xml:space="preserve"> </w:t>
      </w:r>
      <w:r>
        <w:t xml:space="preserve">(version 1.3.0).</w:t>
      </w:r>
      <w:r>
        <w:t xml:space="preserve"> </w:t>
      </w:r>
      <w:hyperlink r:id="rId138">
        <w:r>
          <w:rPr>
            <w:rStyle w:val="Hyperlink"/>
          </w:rPr>
          <w:t xml:space="preserve">http://doi.org/10.5281/zenodo.2647541</w:t>
        </w:r>
      </w:hyperlink>
      <w:r>
        <w:t xml:space="preserve">.</w:t>
      </w:r>
    </w:p>
    <w:bookmarkEnd w:id="139"/>
    <w:bookmarkStart w:id="141"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40">
        <w:r>
          <w:rPr>
            <w:rStyle w:val="Hyperlink"/>
          </w:rPr>
          <w:t xml:space="preserve">https://doi.org/10.1175/JCLI-D-15-0287.1</w:t>
        </w:r>
      </w:hyperlink>
      <w:r>
        <w:t xml:space="preserve">.</w:t>
      </w:r>
    </w:p>
    <w:bookmarkEnd w:id="141"/>
    <w:bookmarkStart w:id="143"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w:t>
      </w:r>
      <w:r>
        <w:t xml:space="preserve">South American Pattern</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42">
        <w:r>
          <w:rPr>
            <w:rStyle w:val="Hyperlink"/>
          </w:rPr>
          <w:t xml:space="preserve">https://doi.org/10.1175/JCLI-D-15-0843.1</w:t>
        </w:r>
      </w:hyperlink>
      <w:r>
        <w:t xml:space="preserve">.</w:t>
      </w:r>
    </w:p>
    <w:bookmarkEnd w:id="143"/>
    <w:bookmarkStart w:id="145"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44">
        <w:r>
          <w:rPr>
            <w:rStyle w:val="Hyperlink"/>
          </w:rPr>
          <w:t xml:space="preserve">https://doi.org/10.1175/2008JCLI2309.1</w:t>
        </w:r>
      </w:hyperlink>
      <w:r>
        <w:t xml:space="preserve">.</w:t>
      </w:r>
    </w:p>
    <w:bookmarkEnd w:id="145"/>
    <w:bookmarkStart w:id="147"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46">
        <w:r>
          <w:rPr>
            <w:rStyle w:val="Hyperlink"/>
          </w:rPr>
          <w:t xml:space="preserve">https://doi.org/10.1002/joc.3370110504</w:t>
        </w:r>
      </w:hyperlink>
      <w:r>
        <w:t xml:space="preserve">.</w:t>
      </w:r>
    </w:p>
    <w:bookmarkEnd w:id="147"/>
    <w:bookmarkStart w:id="149"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48">
        <w:r>
          <w:rPr>
            <w:rStyle w:val="Hyperlink"/>
          </w:rPr>
          <w:t xml:space="preserve">https://doi.org/10.5194/hess-11-1831-2007</w:t>
        </w:r>
      </w:hyperlink>
      <w:r>
        <w:t xml:space="preserve">.</w:t>
      </w:r>
    </w:p>
    <w:bookmarkEnd w:id="149"/>
    <w:bookmarkStart w:id="151"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50">
        <w:r>
          <w:rPr>
            <w:rStyle w:val="Hyperlink"/>
          </w:rPr>
          <w:t xml:space="preserve">https://doi.org/10.1029/2018JD029321</w:t>
        </w:r>
      </w:hyperlink>
      <w:r>
        <w:t xml:space="preserve">.</w:t>
      </w:r>
    </w:p>
    <w:bookmarkEnd w:id="151"/>
    <w:bookmarkStart w:id="153" w:name="ref-vanloon1972"/>
    <w:p>
      <w:pPr>
        <w:pStyle w:val="Bibliography"/>
      </w:pPr>
      <w:r>
        <w:t xml:space="preserve">Loon, Harry van,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52">
        <w:r>
          <w:rPr>
            <w:rStyle w:val="Hyperlink"/>
          </w:rPr>
          <w:t xml:space="preserve">https://doi.org/10.1029/JC077i006p00992</w:t>
        </w:r>
      </w:hyperlink>
      <w:r>
        <w:t xml:space="preserve">.</w:t>
      </w:r>
    </w:p>
    <w:bookmarkEnd w:id="153"/>
    <w:bookmarkStart w:id="155"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54">
        <w:r>
          <w:rPr>
            <w:rStyle w:val="Hyperlink"/>
          </w:rPr>
          <w:t xml:space="preserve">https://doi.org/10.1175/1520-0442(2000)013&lt;3599:RBLFVI&gt;2.0.CO;2</w:t>
        </w:r>
      </w:hyperlink>
      <w:r>
        <w:t xml:space="preserve">.</w:t>
      </w:r>
    </w:p>
    <w:bookmarkEnd w:id="155"/>
    <w:bookmarkStart w:id="157" w:name="ref-mo2001"/>
    <w:p>
      <w:pPr>
        <w:pStyle w:val="Bibliography"/>
      </w:pPr>
      <w:r>
        <w:t xml:space="preserve">Mo, Kingtse C., and Julia N. Paegle. 2001.</w:t>
      </w:r>
      <w:r>
        <w:t xml:space="preserve"> </w:t>
      </w:r>
      <w:r>
        <w:t xml:space="preserve">“The</w:t>
      </w:r>
      <w:r>
        <w:t xml:space="preserve"> </w:t>
      </w:r>
      <w:r>
        <w:t xml:space="preserve">Pacific</w:t>
      </w:r>
      <w:r>
        <w:t xml:space="preserve">–</w:t>
      </w:r>
      <w:r>
        <w:t xml:space="preserve">South American</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56">
        <w:r>
          <w:rPr>
            <w:rStyle w:val="Hyperlink"/>
          </w:rPr>
          <w:t xml:space="preserve">https://doi.org/10.1002/joc.685</w:t>
        </w:r>
      </w:hyperlink>
      <w:r>
        <w:t xml:space="preserve">.</w:t>
      </w:r>
    </w:p>
    <w:bookmarkEnd w:id="157"/>
    <w:bookmarkStart w:id="159"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58">
        <w:r>
          <w:rPr>
            <w:rStyle w:val="Hyperlink"/>
          </w:rPr>
          <w:t xml:space="preserve">https://doi.org/10.1175/JCLI-D-14-00390.1</w:t>
        </w:r>
      </w:hyperlink>
      <w:r>
        <w:t xml:space="preserve">.</w:t>
      </w:r>
    </w:p>
    <w:bookmarkEnd w:id="159"/>
    <w:bookmarkStart w:id="161"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60">
        <w:r>
          <w:rPr>
            <w:rStyle w:val="Hyperlink"/>
          </w:rPr>
          <w:t xml:space="preserve">https://doi.org/10.1007/s00382-011-1044-y</w:t>
        </w:r>
      </w:hyperlink>
      <w:r>
        <w:t xml:space="preserve">.</w:t>
      </w:r>
    </w:p>
    <w:bookmarkEnd w:id="161"/>
    <w:bookmarkStart w:id="163"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62">
        <w:r>
          <w:rPr>
            <w:rStyle w:val="Hyperlink"/>
          </w:rPr>
          <w:t xml:space="preserve">https://doi.org/10.1175/1520-0469(1985)042&lt;0217:OTTDPO&gt;2.0.CO;2</w:t>
        </w:r>
      </w:hyperlink>
      <w:r>
        <w:t xml:space="preserve">.</w:t>
      </w:r>
    </w:p>
    <w:bookmarkEnd w:id="163"/>
    <w:bookmarkStart w:id="165"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r>
        <w:t xml:space="preserve"> </w:t>
      </w:r>
      <w:hyperlink r:id="rId164">
        <w:r>
          <w:rPr>
            <w:rStyle w:val="Hyperlink"/>
          </w:rPr>
          <w:t xml:space="preserve">https://www.R-project.org/</w:t>
        </w:r>
      </w:hyperlink>
      <w:r>
        <w:t xml:space="preserve">.</w:t>
      </w:r>
    </w:p>
    <w:bookmarkEnd w:id="165"/>
    <w:bookmarkStart w:id="167"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66">
        <w:r>
          <w:rPr>
            <w:rStyle w:val="Hyperlink"/>
          </w:rPr>
          <w:t xml:space="preserve">https://doi.org/10.1029/2004GL020365</w:t>
        </w:r>
      </w:hyperlink>
      <w:r>
        <w:t xml:space="preserve">.</w:t>
      </w:r>
    </w:p>
    <w:bookmarkEnd w:id="167"/>
    <w:bookmarkStart w:id="169"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68">
        <w:r>
          <w:rPr>
            <w:rStyle w:val="Hyperlink"/>
          </w:rPr>
          <w:t xml:space="preserve">https://doi.org/10.1029/2006JD007852</w:t>
        </w:r>
      </w:hyperlink>
      <w:r>
        <w:t xml:space="preserve">.</w:t>
      </w:r>
    </w:p>
    <w:bookmarkEnd w:id="169"/>
    <w:bookmarkStart w:id="171"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70">
        <w:r>
          <w:rPr>
            <w:rStyle w:val="Hyperlink"/>
          </w:rPr>
          <w:t xml:space="preserve">https://doi.org/10.1175/1520-0442(2003)016&lt;2915:RLCITE&gt;2.0.CO;2</w:t>
        </w:r>
      </w:hyperlink>
      <w:r>
        <w:t xml:space="preserve">.</w:t>
      </w:r>
    </w:p>
    <w:bookmarkEnd w:id="171"/>
    <w:bookmarkStart w:id="173"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6751): 360–63.</w:t>
      </w:r>
      <w:r>
        <w:t xml:space="preserve"> </w:t>
      </w:r>
      <w:hyperlink r:id="rId172">
        <w:r>
          <w:rPr>
            <w:rStyle w:val="Hyperlink"/>
          </w:rPr>
          <w:t xml:space="preserve">https://doi.org/10.1038/43854</w:t>
        </w:r>
      </w:hyperlink>
      <w:r>
        <w:t xml:space="preserve">.</w:t>
      </w:r>
    </w:p>
    <w:bookmarkEnd w:id="173"/>
    <w:bookmarkStart w:id="175"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74">
        <w:r>
          <w:rPr>
            <w:rStyle w:val="Hyperlink"/>
          </w:rPr>
          <w:t xml:space="preserve">https://doi.org/10.3354/cr025151</w:t>
        </w:r>
      </w:hyperlink>
      <w:r>
        <w:t xml:space="preserve">.</w:t>
      </w:r>
    </w:p>
    <w:bookmarkEnd w:id="175"/>
    <w:bookmarkStart w:id="177"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76">
        <w:r>
          <w:rPr>
            <w:rStyle w:val="Hyperlink"/>
          </w:rPr>
          <w:t xml:space="preserve">https://doi.org/10.1029/94JD02395</w:t>
        </w:r>
      </w:hyperlink>
      <w:r>
        <w:t xml:space="preserve">.</w:t>
      </w:r>
    </w:p>
    <w:bookmarkEnd w:id="177"/>
    <w:bookmarkStart w:id="179"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78">
        <w:r>
          <w:rPr>
            <w:rStyle w:val="Hyperlink"/>
          </w:rPr>
          <w:t xml:space="preserve">https://doi.org/10.1175/1520-0493(1980)108&lt;1378:PWAMIT&gt;2.0.CO;2</w:t>
        </w:r>
      </w:hyperlink>
      <w:r>
        <w:t xml:space="preserve">.</w:t>
      </w:r>
    </w:p>
    <w:bookmarkEnd w:id="179"/>
    <w:bookmarkStart w:id="181"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80">
        <w:r>
          <w:rPr>
            <w:rStyle w:val="Hyperlink"/>
          </w:rPr>
          <w:t xml:space="preserve">https://doi.org/10.1175/1520-0493(1985)113&lt;0003:BITSH&gt;2.0.CO;2</w:t>
        </w:r>
      </w:hyperlink>
      <w:r>
        <w:t xml:space="preserve">.</w:t>
      </w:r>
    </w:p>
    <w:bookmarkEnd w:id="181"/>
    <w:bookmarkStart w:id="183"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82">
        <w:r>
          <w:rPr>
            <w:rStyle w:val="Hyperlink"/>
          </w:rPr>
          <w:t xml:space="preserve">https://doi.org/10.1002/joc.4848</w:t>
        </w:r>
      </w:hyperlink>
      <w:r>
        <w:t xml:space="preserve">.</w:t>
      </w:r>
    </w:p>
    <w:bookmarkEnd w:id="183"/>
    <w:bookmarkStart w:id="185"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r>
        <w:t xml:space="preserve"> </w:t>
      </w:r>
      <w:hyperlink r:id="rId184">
        <w:r>
          <w:rPr>
            <w:rStyle w:val="Hyperlink"/>
          </w:rPr>
          <w:t xml:space="preserve">https://books.google.com?id=cuGtuAAACAAJ</w:t>
        </w:r>
      </w:hyperlink>
      <w:r>
        <w:t xml:space="preserve">.</w:t>
      </w:r>
    </w:p>
    <w:bookmarkEnd w:id="185"/>
    <w:bookmarkStart w:id="187"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86">
        <w:r>
          <w:rPr>
            <w:rStyle w:val="Hyperlink"/>
          </w:rPr>
          <w:t xml:space="preserve">https://doi.org/10.1007/978-0-387-98141-3</w:t>
        </w:r>
      </w:hyperlink>
      <w:r>
        <w:t xml:space="preserve">.</w:t>
      </w:r>
    </w:p>
    <w:bookmarkEnd w:id="187"/>
    <w:bookmarkStart w:id="189"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188">
        <w:r>
          <w:rPr>
            <w:rStyle w:val="Hyperlink"/>
          </w:rPr>
          <w:t xml:space="preserve">https://doi.org/10.1175/BAMS-D-15-00267.1</w:t>
        </w:r>
      </w:hyperlink>
      <w:r>
        <w:t xml:space="preserve">.</w:t>
      </w:r>
    </w:p>
    <w:bookmarkEnd w:id="189"/>
    <w:bookmarkStart w:id="191"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90">
        <w:r>
          <w:rPr>
            <w:rStyle w:val="Hyperlink"/>
          </w:rPr>
          <w:t xml:space="preserve">https://doi.org/10.1016/B978-0-12-385022-5.00022-1</w:t>
        </w:r>
      </w:hyperlink>
      <w:r>
        <w:t xml:space="preserve">.</w:t>
      </w:r>
    </w:p>
    <w:bookmarkEnd w:id="191"/>
    <w:bookmarkStart w:id="193"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92">
        <w:r>
          <w:rPr>
            <w:rStyle w:val="Hyperlink"/>
          </w:rPr>
          <w:t xml:space="preserve">https://doi.org/10.1029/92JD02820</w:t>
        </w:r>
      </w:hyperlink>
      <w:r>
        <w:t xml:space="preserve">.</w:t>
      </w:r>
    </w:p>
    <w:bookmarkEnd w:id="193"/>
    <w:bookmarkStart w:id="195"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94">
        <w:r>
          <w:rPr>
            <w:rStyle w:val="Hyperlink"/>
          </w:rPr>
          <w:t xml:space="preserve">https://doi.org/10.1175/1520-0477(1997)078&lt;2539:GPAYMA&gt;2.0.CO;2</w:t>
        </w:r>
      </w:hyperlink>
      <w:r>
        <w:t xml:space="preserve">.</w:t>
      </w:r>
    </w:p>
    <w:bookmarkEnd w:id="195"/>
    <w:bookmarkStart w:id="197"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w:t>
      </w:r>
      <w:r>
        <w:t xml:space="preserve"> </w:t>
      </w:r>
      <w:r>
        <w:t xml:space="preserve">Boca Raton, Florida</w:t>
      </w:r>
      <w:r>
        <w:t xml:space="preserve">:</w:t>
      </w:r>
      <w:r>
        <w:t xml:space="preserve"> </w:t>
      </w:r>
      <w:r>
        <w:t xml:space="preserve">Chapman and Hall/CRC</w:t>
      </w:r>
      <w:r>
        <w:t xml:space="preserve">.</w:t>
      </w:r>
      <w:r>
        <w:t xml:space="preserve"> </w:t>
      </w:r>
      <w:hyperlink r:id="rId196">
        <w:r>
          <w:rPr>
            <w:rStyle w:val="Hyperlink"/>
          </w:rPr>
          <w:t xml:space="preserve">https://yihui.org/knitr/</w:t>
        </w:r>
      </w:hyperlink>
      <w:r>
        <w:t xml:space="preserve">.</w:t>
      </w:r>
    </w:p>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65" Target="media/rId65.pdf" /><Relationship Type="http://schemas.openxmlformats.org/officeDocument/2006/relationships/image" Id="rId23" Target="media/rId23.pdf" /><Relationship Type="http://schemas.openxmlformats.org/officeDocument/2006/relationships/image" Id="rId36" Target="media/rId36.pdf" /><Relationship Type="http://schemas.openxmlformats.org/officeDocument/2006/relationships/image" Id="rId43" Target="media/rId43.pdf" /><Relationship Type="http://schemas.openxmlformats.org/officeDocument/2006/relationships/image" Id="rId39" Target="media/rId39.pdf" /><Relationship Type="http://schemas.openxmlformats.org/officeDocument/2006/relationships/image" Id="rId32" Target="media/rId32.pdf" /><Relationship Type="http://schemas.openxmlformats.org/officeDocument/2006/relationships/image" Id="rId49" Target="media/rId49.pdf" /><Relationship Type="http://schemas.openxmlformats.org/officeDocument/2006/relationships/image" Id="rId54" Target="media/rId54.pdf" /><Relationship Type="http://schemas.openxmlformats.org/officeDocument/2006/relationships/image" Id="rId69" Target="media/rId69.pdf" /><Relationship Type="http://schemas.openxmlformats.org/officeDocument/2006/relationships/image" Id="rId86" Target="media/rId86.pdf" /><Relationship Type="http://schemas.openxmlformats.org/officeDocument/2006/relationships/image" Id="rId72" Target="media/rId72.pdf" /><Relationship Type="http://schemas.openxmlformats.org/officeDocument/2006/relationships/image" Id="rId58" Target="media/rId58.pdf" /><Relationship Type="http://schemas.openxmlformats.org/officeDocument/2006/relationships/image" Id="rId83" Target="media/rId83.pdf" /><Relationship Type="http://schemas.openxmlformats.org/officeDocument/2006/relationships/image" Id="rId62" Target="media/rId62.pdf" /><Relationship Type="http://schemas.openxmlformats.org/officeDocument/2006/relationships/image" Id="rId46" Target="media/rId46.pdf" /><Relationship Type="http://schemas.openxmlformats.org/officeDocument/2006/relationships/hyperlink" Id="rId138" Target="http://doi.org/10.5281/zenodo.2647541" TargetMode="External" /><Relationship Type="http://schemas.openxmlformats.org/officeDocument/2006/relationships/hyperlink" Id="rId116" Target="https://CRAN.R-project.org/package=data.table" TargetMode="External" /><Relationship Type="http://schemas.openxmlformats.org/officeDocument/2006/relationships/hyperlink" Id="rId108" Target="https://CRAN.R-project.org/package=metR" TargetMode="External" /><Relationship Type="http://schemas.openxmlformats.org/officeDocument/2006/relationships/hyperlink" Id="rId93" Target="https://CRAN.R-project.org/package=rmarkdown" TargetMode="External" /><Relationship Type="http://schemas.openxmlformats.org/officeDocument/2006/relationships/hyperlink" Id="rId91" Target="https://CRAN.R-project.org/package=rsoi" TargetMode="External" /><Relationship Type="http://schemas.openxmlformats.org/officeDocument/2006/relationships/hyperlink" Id="rId184" Target="https://books.google.com?id=cuGtuAAACAAJ" TargetMode="External" /><Relationship Type="http://schemas.openxmlformats.org/officeDocument/2006/relationships/hyperlink" Id="rId146" Target="https://doi.org/10.1002/joc.3370110504" TargetMode="External" /><Relationship Type="http://schemas.openxmlformats.org/officeDocument/2006/relationships/hyperlink" Id="rId182" Target="https://doi.org/10.1002/joc.4848" TargetMode="External" /><Relationship Type="http://schemas.openxmlformats.org/officeDocument/2006/relationships/hyperlink" Id="rId156"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6" Target="https://doi.org/10.1007/978-0-387-98141-3" TargetMode="External" /><Relationship Type="http://schemas.openxmlformats.org/officeDocument/2006/relationships/hyperlink" Id="rId130" Target="https://doi.org/10.1007/s00382-009-0663-z" TargetMode="External" /><Relationship Type="http://schemas.openxmlformats.org/officeDocument/2006/relationships/hyperlink" Id="rId160" Target="https://doi.org/10.1007/s00382-011-1044-y" TargetMode="External" /><Relationship Type="http://schemas.openxmlformats.org/officeDocument/2006/relationships/hyperlink" Id="rId110" Target="https://doi.org/10.1007/s00382-021-05896-5" TargetMode="External" /><Relationship Type="http://schemas.openxmlformats.org/officeDocument/2006/relationships/hyperlink" Id="rId190"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6" Target="https://doi.org/10.1029/2004GL020365" TargetMode="External" /><Relationship Type="http://schemas.openxmlformats.org/officeDocument/2006/relationships/hyperlink" Id="rId168"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2" Target="https://doi.org/10.1029/92JD02820" TargetMode="External" /><Relationship Type="http://schemas.openxmlformats.org/officeDocument/2006/relationships/hyperlink" Id="rId176" Target="https://doi.org/10.1029/94JD02395" TargetMode="External" /><Relationship Type="http://schemas.openxmlformats.org/officeDocument/2006/relationships/hyperlink" Id="rId152" Target="https://doi.org/10.1029/JC077i006p00992" TargetMode="External" /><Relationship Type="http://schemas.openxmlformats.org/officeDocument/2006/relationships/hyperlink" Id="rId172"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4"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4"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70" Target="https://doi.org/10.1175/1520-0442(2003)016&lt;2915:RLCITE&gt;2.0.CO;2" TargetMode="External" /><Relationship Type="http://schemas.openxmlformats.org/officeDocument/2006/relationships/hyperlink" Id="rId112" Target="https://doi.org/10.1175/1520-0442(2003)16&lt;1159:SDOETO&gt;2.0.CO;2" TargetMode="External" /><Relationship Type="http://schemas.openxmlformats.org/officeDocument/2006/relationships/hyperlink" Id="rId132" Target="https://doi.org/10.1175/1520-0450(1984)023&lt;1660:CPCATA&gt;2.0.CO;2" TargetMode="External" /><Relationship Type="http://schemas.openxmlformats.org/officeDocument/2006/relationships/hyperlink" Id="rId126" Target="https://doi.org/10.1175/1520-0469(1979)036&lt;0350:AMMOOT&gt;2.0.CO;2" TargetMode="External" /><Relationship Type="http://schemas.openxmlformats.org/officeDocument/2006/relationships/hyperlink" Id="rId162" Target="https://doi.org/10.1175/1520-0469(1985)042&lt;0217:OTTDPO&gt;2.0.CO;2" TargetMode="External" /><Relationship Type="http://schemas.openxmlformats.org/officeDocument/2006/relationships/hyperlink" Id="rId194" Target="https://doi.org/10.1175/1520-0477(1997)078&lt;2539:GPAYMA&gt;2.0.CO;2" TargetMode="External" /><Relationship Type="http://schemas.openxmlformats.org/officeDocument/2006/relationships/hyperlink" Id="rId178" Target="https://doi.org/10.1175/1520-0493(1980)108&lt;1378:PWAMIT&gt;2.0.CO;2" TargetMode="External" /><Relationship Type="http://schemas.openxmlformats.org/officeDocument/2006/relationships/hyperlink" Id="rId180"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8" Target="https://doi.org/10.1175/BAMS-D-15-00267.1" TargetMode="External" /><Relationship Type="http://schemas.openxmlformats.org/officeDocument/2006/relationships/hyperlink" Id="rId158" Target="https://doi.org/10.1175/JCLI-D-14-00390.1" TargetMode="External" /><Relationship Type="http://schemas.openxmlformats.org/officeDocument/2006/relationships/hyperlink" Id="rId114"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6" Target="https://doi.org/10.1175/JCLI-D-16-0836.1" TargetMode="External" /><Relationship Type="http://schemas.openxmlformats.org/officeDocument/2006/relationships/hyperlink" Id="rId134" Target="https://doi.org/10.1175/JCLI3570.1" TargetMode="External" /><Relationship Type="http://schemas.openxmlformats.org/officeDocument/2006/relationships/hyperlink" Id="rId128" Target="https://doi.org/10.24381/cds.6860a573" TargetMode="External" /><Relationship Type="http://schemas.openxmlformats.org/officeDocument/2006/relationships/hyperlink" Id="rId174"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78" Target="https://github.com/eliocamp/shceof" TargetMode="External" /><Relationship Type="http://schemas.openxmlformats.org/officeDocument/2006/relationships/hyperlink" Id="rId80" Target="https://psl.noaa.gov/gcos_wgsp/Timeseries/Data/dmi.had.long.data" TargetMode="External" /><Relationship Type="http://schemas.openxmlformats.org/officeDocument/2006/relationships/hyperlink" Id="rId164" Target="https://www.R-project.org/" TargetMode="External" /><Relationship Type="http://schemas.openxmlformats.org/officeDocument/2006/relationships/hyperlink" Id="rId79" Target="https://www.cpc.ncep.noaa.gov/products/analysis_monitoring/ensostuff/detrend.nino34.ascii.txt" TargetMode="External" /><Relationship Type="http://schemas.openxmlformats.org/officeDocument/2006/relationships/hyperlink" Id="rId89" Target="https://www2.cisl.ucar.edu/resources/legacy/fishpack" TargetMode="External" /><Relationship Type="http://schemas.openxmlformats.org/officeDocument/2006/relationships/hyperlink" Id="rId19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8" Target="http://doi.org/10.5281/zenodo.2647541" TargetMode="External" /><Relationship Type="http://schemas.openxmlformats.org/officeDocument/2006/relationships/hyperlink" Id="rId116" Target="https://CRAN.R-project.org/package=data.table" TargetMode="External" /><Relationship Type="http://schemas.openxmlformats.org/officeDocument/2006/relationships/hyperlink" Id="rId108" Target="https://CRAN.R-project.org/package=metR" TargetMode="External" /><Relationship Type="http://schemas.openxmlformats.org/officeDocument/2006/relationships/hyperlink" Id="rId93" Target="https://CRAN.R-project.org/package=rmarkdown" TargetMode="External" /><Relationship Type="http://schemas.openxmlformats.org/officeDocument/2006/relationships/hyperlink" Id="rId91" Target="https://CRAN.R-project.org/package=rsoi" TargetMode="External" /><Relationship Type="http://schemas.openxmlformats.org/officeDocument/2006/relationships/hyperlink" Id="rId184" Target="https://books.google.com?id=cuGtuAAACAAJ" TargetMode="External" /><Relationship Type="http://schemas.openxmlformats.org/officeDocument/2006/relationships/hyperlink" Id="rId146" Target="https://doi.org/10.1002/joc.3370110504" TargetMode="External" /><Relationship Type="http://schemas.openxmlformats.org/officeDocument/2006/relationships/hyperlink" Id="rId182" Target="https://doi.org/10.1002/joc.4848" TargetMode="External" /><Relationship Type="http://schemas.openxmlformats.org/officeDocument/2006/relationships/hyperlink" Id="rId156"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6" Target="https://doi.org/10.1007/978-0-387-98141-3" TargetMode="External" /><Relationship Type="http://schemas.openxmlformats.org/officeDocument/2006/relationships/hyperlink" Id="rId130" Target="https://doi.org/10.1007/s00382-009-0663-z" TargetMode="External" /><Relationship Type="http://schemas.openxmlformats.org/officeDocument/2006/relationships/hyperlink" Id="rId160" Target="https://doi.org/10.1007/s00382-011-1044-y" TargetMode="External" /><Relationship Type="http://schemas.openxmlformats.org/officeDocument/2006/relationships/hyperlink" Id="rId110" Target="https://doi.org/10.1007/s00382-021-05896-5" TargetMode="External" /><Relationship Type="http://schemas.openxmlformats.org/officeDocument/2006/relationships/hyperlink" Id="rId190"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6" Target="https://doi.org/10.1029/2004GL020365" TargetMode="External" /><Relationship Type="http://schemas.openxmlformats.org/officeDocument/2006/relationships/hyperlink" Id="rId168"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2" Target="https://doi.org/10.1029/92JD02820" TargetMode="External" /><Relationship Type="http://schemas.openxmlformats.org/officeDocument/2006/relationships/hyperlink" Id="rId176" Target="https://doi.org/10.1029/94JD02395" TargetMode="External" /><Relationship Type="http://schemas.openxmlformats.org/officeDocument/2006/relationships/hyperlink" Id="rId152" Target="https://doi.org/10.1029/JC077i006p00992" TargetMode="External" /><Relationship Type="http://schemas.openxmlformats.org/officeDocument/2006/relationships/hyperlink" Id="rId172"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4"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4"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70" Target="https://doi.org/10.1175/1520-0442(2003)016&lt;2915:RLCITE&gt;2.0.CO;2" TargetMode="External" /><Relationship Type="http://schemas.openxmlformats.org/officeDocument/2006/relationships/hyperlink" Id="rId112" Target="https://doi.org/10.1175/1520-0442(2003)16&lt;1159:SDOETO&gt;2.0.CO;2" TargetMode="External" /><Relationship Type="http://schemas.openxmlformats.org/officeDocument/2006/relationships/hyperlink" Id="rId132" Target="https://doi.org/10.1175/1520-0450(1984)023&lt;1660:CPCATA&gt;2.0.CO;2" TargetMode="External" /><Relationship Type="http://schemas.openxmlformats.org/officeDocument/2006/relationships/hyperlink" Id="rId126" Target="https://doi.org/10.1175/1520-0469(1979)036&lt;0350:AMMOOT&gt;2.0.CO;2" TargetMode="External" /><Relationship Type="http://schemas.openxmlformats.org/officeDocument/2006/relationships/hyperlink" Id="rId162" Target="https://doi.org/10.1175/1520-0469(1985)042&lt;0217:OTTDPO&gt;2.0.CO;2" TargetMode="External" /><Relationship Type="http://schemas.openxmlformats.org/officeDocument/2006/relationships/hyperlink" Id="rId194" Target="https://doi.org/10.1175/1520-0477(1997)078&lt;2539:GPAYMA&gt;2.0.CO;2" TargetMode="External" /><Relationship Type="http://schemas.openxmlformats.org/officeDocument/2006/relationships/hyperlink" Id="rId178" Target="https://doi.org/10.1175/1520-0493(1980)108&lt;1378:PWAMIT&gt;2.0.CO;2" TargetMode="External" /><Relationship Type="http://schemas.openxmlformats.org/officeDocument/2006/relationships/hyperlink" Id="rId180"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8" Target="https://doi.org/10.1175/BAMS-D-15-00267.1" TargetMode="External" /><Relationship Type="http://schemas.openxmlformats.org/officeDocument/2006/relationships/hyperlink" Id="rId158" Target="https://doi.org/10.1175/JCLI-D-14-00390.1" TargetMode="External" /><Relationship Type="http://schemas.openxmlformats.org/officeDocument/2006/relationships/hyperlink" Id="rId114"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6" Target="https://doi.org/10.1175/JCLI-D-16-0836.1" TargetMode="External" /><Relationship Type="http://schemas.openxmlformats.org/officeDocument/2006/relationships/hyperlink" Id="rId134" Target="https://doi.org/10.1175/JCLI3570.1" TargetMode="External" /><Relationship Type="http://schemas.openxmlformats.org/officeDocument/2006/relationships/hyperlink" Id="rId128" Target="https://doi.org/10.24381/cds.6860a573" TargetMode="External" /><Relationship Type="http://schemas.openxmlformats.org/officeDocument/2006/relationships/hyperlink" Id="rId174"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78" Target="https://github.com/eliocamp/shceof" TargetMode="External" /><Relationship Type="http://schemas.openxmlformats.org/officeDocument/2006/relationships/hyperlink" Id="rId80" Target="https://psl.noaa.gov/gcos_wgsp/Timeseries/Data/dmi.had.long.data" TargetMode="External" /><Relationship Type="http://schemas.openxmlformats.org/officeDocument/2006/relationships/hyperlink" Id="rId164" Target="https://www.R-project.org/" TargetMode="External" /><Relationship Type="http://schemas.openxmlformats.org/officeDocument/2006/relationships/hyperlink" Id="rId79" Target="https://www.cpc.ncep.noaa.gov/products/analysis_monitoring/ensostuff/detrend.nino34.ascii.txt" TargetMode="External" /><Relationship Type="http://schemas.openxmlformats.org/officeDocument/2006/relationships/hyperlink" Id="rId89" Target="https://www2.cisl.ucar.edu/resources/legacy/fishpack" TargetMode="External" /><Relationship Type="http://schemas.openxmlformats.org/officeDocument/2006/relationships/hyperlink" Id="rId19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
  <dcterms:created xsi:type="dcterms:W3CDTF">2022-04-05T18:23:34Z</dcterms:created>
  <dcterms:modified xsi:type="dcterms:W3CDTF">2022-04-05T18:23:34Z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lways_allow_html">
    <vt:lpwstr>True</vt:lpwstr>
  </property>
  <property fmtid="{D5CDD505-2E9C-101B-9397-08002B2CF9AE}" pid="4" name="authors">
    <vt:lpwstr/>
  </property>
  <property fmtid="{D5CDD505-2E9C-101B-9397-08002B2CF9AE}" pid="5" name="bibliography">
    <vt:lpwstr/>
  </property>
  <property fmtid="{D5CDD505-2E9C-101B-9397-08002B2CF9AE}" pid="6" name="bibstyle">
    <vt:lpwstr>spbasic</vt:lpwstr>
  </property>
  <property fmtid="{D5CDD505-2E9C-101B-9397-08002B2CF9AE}" pid="7" name="date">
    <vt:lpwstr>05 April, 2022</vt:lpwstr>
  </property>
  <property fmtid="{D5CDD505-2E9C-101B-9397-08002B2CF9AE}" pid="8" name="header-includes">
    <vt:lpwstr/>
  </property>
  <property fmtid="{D5CDD505-2E9C-101B-9397-08002B2CF9AE}" pid="9" name="output">
    <vt:lpwstr/>
  </property>
  <property fmtid="{D5CDD505-2E9C-101B-9397-08002B2CF9AE}" pid="10" name="thanks">
    <vt:lpwstr>The research was supported by UBACyT20020170100428BA and the CLIMAX Project funded by Belmont Forum/ANR-15-JCL/-0002-01. Elio Campitelli was supported by a PhD grant from CONICET, Argentina.</vt:lpwstr>
  </property>
  <property fmtid="{D5CDD505-2E9C-101B-9397-08002B2CF9AE}" pid="11" name="titlerunning">
    <vt:lpwstr>Title</vt:lpwstr>
  </property>
</Properties>
</file>