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81.png" ContentType="image/png"/>
  <Override PartName="/word/media/rId27.png" ContentType="image/png"/>
  <Override PartName="/word/media/rId46.png" ContentType="image/png"/>
  <Override PartName="/word/media/rId55.png" ContentType="image/png"/>
  <Override PartName="/word/media/rId50.png" ContentType="image/png"/>
  <Override PartName="/word/media/rId77.png" ContentType="image/png"/>
  <Override PartName="/word/media/rId41.png" ContentType="image/png"/>
  <Override PartName="/word/media/rId31.png" ContentType="image/png"/>
  <Override PartName="/word/media/rId63.png" ContentType="image/png"/>
  <Override PartName="/word/media/rId90.png" ContentType="image/png"/>
  <Override PartName="/word/media/rId94.png" ContentType="image/png"/>
  <Override PartName="/word/media/rId69.png" ContentType="image/png"/>
  <Override PartName="/word/media/rId85.png" ContentType="image/png"/>
  <Override PartName="/word/media/rId73.png" ContentType="image/png"/>
  <Override PartName="/word/media/rId59.png" ContentType="image/png"/>
  <Override PartName="/word/media/rId155.png" ContentType="image/png"/>
  <Override PartName="/word/media/rId126.png" ContentType="image/png"/>
  <Override PartName="/word/media/rId134.png" ContentType="image/png"/>
  <Override PartName="/word/media/rId138.png" ContentType="image/png"/>
  <Override PartName="/word/media/rId174.png" ContentType="image/png"/>
  <Override PartName="/word/media/rId102.png" ContentType="image/png"/>
  <Override PartName="/word/media/rId182.png" ContentType="image/png"/>
  <Override PartName="/word/media/rId178.png" ContentType="image/png"/>
  <Override PartName="/word/media/rId150.png" ContentType="image/png"/>
  <Override PartName="/word/media/rId146.png" ContentType="image/png"/>
  <Override PartName="/word/media/rId170.png" ContentType="image/png"/>
  <Override PartName="/word/media/rId118.png" ContentType="image/png"/>
  <Override PartName="/word/media/rId114.png" ContentType="image/png"/>
  <Override PartName="/word/media/rId106.png" ContentType="image/png"/>
  <Override PartName="/word/media/rId110.png" ContentType="image/png"/>
  <Override PartName="/word/media/rId130.png" ContentType="image/png"/>
  <Override PartName="/word/media/rId142.png" ContentType="image/png"/>
  <Override PartName="/word/media/rId163.png" ContentType="image/png"/>
  <Override PartName="/word/media/rId159.png" ContentType="image/png"/>
  <Override PartName="/word/media/rId194.png" ContentType="image/png"/>
  <Override PartName="/word/media/rId188.png" ContentType="image/png"/>
  <Override PartName="/word/media/rId239.png" ContentType="image/png"/>
  <Override PartName="/word/media/rId203.png" ContentType="image/png"/>
  <Override PartName="/word/media/rId230.png" ContentType="image/png"/>
  <Override PartName="/word/media/rId225.png" ContentType="image/png"/>
  <Override PartName="/word/media/rId216.png" ContentType="image/png"/>
  <Override PartName="/word/media/rId212.png" ContentType="image/png"/>
  <Override PartName="/word/media/rId207.png" ContentType="image/png"/>
  <Override PartName="/word/media/rId235.png" ContentType="image/png"/>
  <Override PartName="/word/media/rId221.png" ContentType="image/png"/>
  <Override PartName="/word/media/rId2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2023-08-23</w:t>
      </w:r>
      <w:r>
        <w:t xml:space="preserve"> </w:t>
      </w:r>
      <w:r>
        <w:t xml:space="preserve">17:23:16</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100"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99" w:name="datos-y-métodos"/>
    <w:p>
      <w:pPr>
        <w:pStyle w:val="Heading2"/>
      </w:pPr>
      <w:r>
        <w:rPr>
          <w:rStyle w:val="SectionNumber"/>
        </w:rPr>
        <w:t xml:space="preserve">2.1</w:t>
      </w:r>
      <w:r>
        <w:tab/>
      </w:r>
      <w:r>
        <w:t xml:space="preserve">Datos y métodos</w:t>
      </w:r>
    </w:p>
    <w:bookmarkStart w:id="36"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30" w:name="fig:eof-naive"/>
      <w:bookmarkEnd w:id="30"/>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2" name="Picture"/>
            <a:graphic>
              <a:graphicData uri="http://schemas.openxmlformats.org/drawingml/2006/picture">
                <pic:pic>
                  <pic:nvPicPr>
                    <pic:cNvPr descr="figures/20-ceofs/hilbert-ejemplo-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34" w:name="fig:hilbert-ejemplo"/>
      <w:bookmarkEnd w:id="34"/>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bookmarkStart w:id="35" w:name="tab:corr-ceof-splitted"/>
      <w:bookmarkEnd w:id="35"/>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2.1</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6"/>
    <w:bookmarkStart w:id="45" w:name="descripción-de-los-modos"/>
    <w:p>
      <w:pPr>
        <w:pStyle w:val="Heading3"/>
      </w:pPr>
      <w:r>
        <w:rPr>
          <w:rStyle w:val="SectionNumber"/>
        </w:rPr>
        <w:t xml:space="preserve">2.1.2</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w:t>
      </w:r>
      <w:r>
        <w:t xml:space="preserve"> </w:t>
      </w:r>
      <w:r>
        <w:t xml:space="preserve">El sombreado corresponde a la fase 0º y los contornos, a la fase 90º.</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3041583" cy="3657600"/>
            <wp:effectExtent b="0" l="0" r="0" t="0"/>
            <wp:docPr descr="Figure 2.3: (ref:ceofs-1-cap)" title="" id="38" name="Picture"/>
            <a:graphic>
              <a:graphicData uri="http://schemas.openxmlformats.org/drawingml/2006/picture">
                <pic:pic>
                  <pic:nvPicPr>
                    <pic:cNvPr descr="figures/20-ceofs/ceofs-1-1.png" id="39" name="Picture"/>
                    <pic:cNvPicPr>
                      <a:picLocks noChangeArrowheads="1" noChangeAspect="1"/>
                    </pic:cNvPicPr>
                  </pic:nvPicPr>
                  <pic:blipFill>
                    <a:blip r:embed="rId3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0" w:name="fig:ceofs-1"/>
      <w:bookmarkEnd w:id="40"/>
      <w:r>
        <w:t xml:space="preserve">Figure 2.3: (ref:ceofs-1-cap)</w:t>
      </w:r>
    </w:p>
    <w:p>
      <w:pPr>
        <w:pStyle w:val="BodyText"/>
      </w:pPr>
      <w:r>
        <w:t xml:space="preserve">(ref:extended-series-cap) Series temporales de los dos primeros cEOF de las anomalías zonales de altura geopotencial de SON en 50 y 200 hPa para el período 1979–2019.</w:t>
      </w:r>
      <w:r>
        <w:t xml:space="preserve"> </w:t>
      </w:r>
      <w:r>
        <w:t xml:space="preserve">El cEOF1 (fila a) y cEOF2 (fila b) separados en la fase 0º (columna 1) y la fase 90º (columna 2).</w:t>
      </w:r>
      <w:r>
        <w:t xml:space="preserve"> </w:t>
      </w:r>
      <w:r>
        <w:t xml:space="preserve">Las líneas oscuras muestran la tendencia lineal de todo el período.</w:t>
      </w:r>
      <w:r>
        <w:t xml:space="preserve"> </w:t>
      </w:r>
      <w:r>
        <w:t xml:space="preserve">Las líneas negras horizontales y verticales muestran el valor medio y el rango de cada serie, respectivamente.</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4620126" cy="2772075"/>
            <wp:effectExtent b="0" l="0" r="0" t="0"/>
            <wp:docPr descr="Figure 2.4: (ref:extended-series-cap)" title="" id="42" name="Picture"/>
            <a:graphic>
              <a:graphicData uri="http://schemas.openxmlformats.org/drawingml/2006/picture">
                <pic:pic>
                  <pic:nvPicPr>
                    <pic:cNvPr descr="figures/20-ceofs/extended-series-1.png" id="43" name="Picture"/>
                    <pic:cNvPicPr>
                      <a:picLocks noChangeArrowheads="1" noChangeAspect="1"/>
                    </pic:cNvPicPr>
                  </pic:nvPicPr>
                  <pic:blipFill>
                    <a:blip r:embed="rId41"/>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44" w:name="fig:extended-series"/>
      <w:bookmarkEnd w:id="44"/>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0.0086),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5"/>
    <w:bookmarkStart w:id="68" w:name="Xf038c75ac5309fd2f6efd6be0757223e6bea350"/>
    <w:p>
      <w:pPr>
        <w:pStyle w:val="Heading3"/>
      </w:pPr>
      <w:r>
        <w:rPr>
          <w:rStyle w:val="SectionNumber"/>
        </w:rPr>
        <w:t xml:space="preserve">2.1.3</w:t>
      </w:r>
      <w:r>
        <w:tab/>
      </w:r>
      <w:r>
        <w:t xml:space="preserve">Relación con otras variables de la atmósfera</w:t>
      </w:r>
    </w:p>
    <w:bookmarkStart w:id="54" w:name="geopotencial"/>
    <w:p>
      <w:pPr>
        <w:pStyle w:val="Heading4"/>
      </w:pPr>
      <w:r>
        <w:rPr>
          <w:rStyle w:val="SectionNumber"/>
        </w:rPr>
        <w:t xml:space="preserve">2.1.3.1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marcan regiones donde el p-valor es menor que 0.01 ajustado por FDR.</w:t>
      </w:r>
    </w:p>
    <w:p>
      <w:pPr>
        <w:pStyle w:val="CaptionedFigure"/>
      </w:pPr>
      <w:r>
        <w:drawing>
          <wp:inline>
            <wp:extent cx="3041583" cy="3657600"/>
            <wp:effectExtent b="0" l="0" r="0" t="0"/>
            <wp:docPr descr="Figure 2.5: (ref:eof1-regr-gh-cap)" title="" id="47" name="Picture"/>
            <a:graphic>
              <a:graphicData uri="http://schemas.openxmlformats.org/drawingml/2006/picture">
                <pic:pic>
                  <pic:nvPicPr>
                    <pic:cNvPr descr="figures/20-ceofs/eof1-regr-gh-1.png" id="48" name="Picture"/>
                    <pic:cNvPicPr>
                      <a:picLocks noChangeArrowheads="1" noChangeAspect="1"/>
                    </pic:cNvPicPr>
                  </pic:nvPicPr>
                  <pic:blipFill>
                    <a:blip r:embed="rId46"/>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9" w:name="fig:eof1-regr-gh"/>
      <w:bookmarkEnd w:id="49"/>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51" name="Picture"/>
            <a:graphic>
              <a:graphicData uri="http://schemas.openxmlformats.org/drawingml/2006/picture">
                <pic:pic>
                  <pic:nvPicPr>
                    <pic:cNvPr descr="figures/20-ceofs/eof2-regr-gh-1.png" id="52" name="Picture"/>
                    <pic:cNvPicPr>
                      <a:picLocks noChangeArrowheads="1" noChangeAspect="1"/>
                    </pic:cNvPicPr>
                  </pic:nvPicPr>
                  <pic:blipFill>
                    <a:blip r:embed="rId50"/>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3" w:name="fig:eof2-regr-gh"/>
      <w:bookmarkEnd w:id="53"/>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4.2</w:t>
      </w:r>
      <w:r>
        <w:t xml:space="preserve">.</w:t>
      </w:r>
    </w:p>
    <w:bookmarkEnd w:id="54"/>
    <w:bookmarkStart w:id="67" w:name="temperatura-y-ozono"/>
    <w:p>
      <w:pPr>
        <w:pStyle w:val="Heading4"/>
      </w:pPr>
      <w:r>
        <w:rPr>
          <w:rStyle w:val="SectionNumber"/>
        </w:rPr>
        <w:t xml:space="preserve">2.1.3.2</w:t>
      </w:r>
      <w:r>
        <w:tab/>
      </w:r>
      <w:r>
        <w:t xml:space="preserve">Temperatura y Ozono</w:t>
      </w:r>
    </w:p>
    <w:p>
      <w:pPr>
        <w:pStyle w:val="CaptionedFigure"/>
      </w:pPr>
      <w:r>
        <w:drawing>
          <wp:inline>
            <wp:extent cx="3041583" cy="3955983"/>
            <wp:effectExtent b="0" l="0" r="0" t="0"/>
            <wp:docPr descr="Figure 2.7: Igual que la Figura 2.5 pero para la temperatura del aire (K)." title="" id="56" name="Picture"/>
            <a:graphic>
              <a:graphicData uri="http://schemas.openxmlformats.org/drawingml/2006/picture">
                <pic:pic>
                  <pic:nvPicPr>
                    <pic:cNvPr descr="figures/20-ceofs/eof1-regr-t-1.png" id="57" name="Picture"/>
                    <pic:cNvPicPr>
                      <a:picLocks noChangeArrowheads="1" noChangeAspect="1"/>
                    </pic:cNvPicPr>
                  </pic:nvPicPr>
                  <pic:blipFill>
                    <a:blip r:embed="rId55"/>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8" w:name="fig:eof1-regr-t"/>
      <w:bookmarkEnd w:id="58"/>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60" name="Picture"/>
            <a:graphic>
              <a:graphicData uri="http://schemas.openxmlformats.org/drawingml/2006/picture">
                <pic:pic>
                  <pic:nvPicPr>
                    <pic:cNvPr descr="figures/20-ceofs/t-vertical-1.png" id="61" name="Picture"/>
                    <pic:cNvPicPr>
                      <a:picLocks noChangeArrowheads="1" noChangeAspect="1"/>
                    </pic:cNvPicPr>
                  </pic:nvPicPr>
                  <pic:blipFill>
                    <a:blip r:embed="rId59"/>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bookmarkStart w:id="62" w:name="fig:t-vertical"/>
      <w:bookmarkEnd w:id="62"/>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marcan regiones donde el p-valor es menor que 0.01 ajustado por FDR.</w:t>
      </w:r>
    </w:p>
    <w:p>
      <w:pPr>
        <w:pStyle w:val="CaptionedFigure"/>
      </w:pPr>
      <w:r>
        <w:drawing>
          <wp:inline>
            <wp:extent cx="3041583" cy="2772075"/>
            <wp:effectExtent b="0" l="0" r="0" t="0"/>
            <wp:docPr descr="Figure 2.9: (ref:o3-regr-cap)" title="" id="64" name="Picture"/>
            <a:graphic>
              <a:graphicData uri="http://schemas.openxmlformats.org/drawingml/2006/picture">
                <pic:pic>
                  <pic:nvPicPr>
                    <pic:cNvPr descr="figures/20-ceofs/o3-regr-1.png" id="65" name="Picture"/>
                    <pic:cNvPicPr>
                      <a:picLocks noChangeArrowheads="1" noChangeAspect="1"/>
                    </pic:cNvPicPr>
                  </pic:nvPicPr>
                  <pic:blipFill>
                    <a:blip r:embed="rId63"/>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66" w:name="fig:o3-regr"/>
      <w:bookmarkEnd w:id="66"/>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-0.7 (CI: -0.83 – -0.5).</w:t>
      </w:r>
      <w:r>
        <w:t xml:space="preserve"> </w:t>
      </w:r>
      <w:r>
        <w:t xml:space="preserve">En consecuencia, el cEOF1 está fuertemente relacionado con la variabilidad del ozono SH.</w:t>
      </w:r>
    </w:p>
    <w:bookmarkEnd w:id="67"/>
    <w:bookmarkEnd w:id="68"/>
    <w:bookmarkStart w:id="89" w:name="fuentes-de-variabilidad-tropicales"/>
    <w:p>
      <w:pPr>
        <w:pStyle w:val="Heading3"/>
      </w:pPr>
      <w:r>
        <w:rPr>
          <w:rStyle w:val="SectionNumber"/>
        </w:rPr>
        <w:t xml:space="preserve">2.1.4</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70" name="Picture"/>
            <a:graphic>
              <a:graphicData uri="http://schemas.openxmlformats.org/drawingml/2006/picture">
                <pic:pic>
                  <pic:nvPicPr>
                    <pic:cNvPr descr="figures/20-ceofs/psi-sst-explained-variance-1.png" id="71" name="Picture"/>
                    <pic:cNvPicPr>
                      <a:picLocks noChangeArrowheads="1" noChangeAspect="1"/>
                    </pic:cNvPicPr>
                  </pic:nvPicPr>
                  <pic:blipFill>
                    <a:blip r:embed="rId69"/>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bookmarkStart w:id="72" w:name="fig:psi-sst-explained-variance"/>
      <w:bookmarkEnd w:id="72"/>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1: (ref:sst-psi-2-cap)" title="" id="74" name="Picture"/>
            <a:graphic>
              <a:graphicData uri="http://schemas.openxmlformats.org/drawingml/2006/picture">
                <pic:pic>
                  <pic:nvPicPr>
                    <pic:cNvPr descr="figures/20-ceofs/sst-psi-2-1.png" id="75" name="Picture"/>
                    <pic:cNvPicPr>
                      <a:picLocks noChangeArrowheads="1" noChangeAspect="1"/>
                    </pic:cNvPicPr>
                  </pic:nvPicPr>
                  <pic:blipFill>
                    <a:blip r:embed="rId73"/>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76" w:name="fig:sst-psi-2"/>
      <w:bookmarkEnd w:id="76"/>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0.045),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78" name="Picture"/>
            <a:graphic>
              <a:graphicData uri="http://schemas.openxmlformats.org/drawingml/2006/picture">
                <pic:pic>
                  <pic:nvPicPr>
                    <pic:cNvPr descr="figures/20-ceofs/euler-1.png" id="79" name="Picture"/>
                    <pic:cNvPicPr>
                      <a:picLocks noChangeArrowheads="1" noChangeAspect="1"/>
                    </pic:cNvPicPr>
                  </pic:nvPicPr>
                  <pic:blipFill>
                    <a:blip r:embed="rId77"/>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bookmarkStart w:id="80" w:name="fig:euler"/>
      <w:bookmarkEnd w:id="80"/>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82" name="Picture"/>
            <a:graphic>
              <a:graphicData uri="http://schemas.openxmlformats.org/drawingml/2006/picture">
                <pic:pic>
                  <pic:nvPicPr>
                    <pic:cNvPr descr="figures/20-ceofs/enso-phase-1.png" id="83" name="Picture"/>
                    <pic:cNvPicPr>
                      <a:picLocks noChangeArrowheads="1" noChangeAspect="1"/>
                    </pic:cNvPicPr>
                  </pic:nvPicPr>
                  <pic:blipFill>
                    <a:blip r:embed="rId81"/>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84" w:name="fig:enso-phase"/>
      <w:bookmarkEnd w:id="84"/>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86" name="Picture"/>
            <a:graphic>
              <a:graphicData uri="http://schemas.openxmlformats.org/drawingml/2006/picture">
                <pic:pic>
                  <pic:nvPicPr>
                    <pic:cNvPr descr="figures/20-ceofs/sst-psi-1-1.png" id="87" name="Picture"/>
                    <pic:cNvPicPr>
                      <a:picLocks noChangeArrowheads="1" noChangeAspect="1"/>
                    </pic:cNvPicPr>
                  </pic:nvPicPr>
                  <pic:blipFill>
                    <a:blip r:embed="rId8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88" w:name="fig:sst-psi-1"/>
      <w:bookmarkEnd w:id="88"/>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89"/>
    <w:bookmarkStart w:id="98" w:name="impactos-en-superficie"/>
    <w:p>
      <w:pPr>
        <w:pStyle w:val="Heading3"/>
      </w:pPr>
      <w:r>
        <w:rPr>
          <w:rStyle w:val="SectionNumber"/>
        </w:rPr>
        <w:t xml:space="preserve">2.1.5</w:t>
      </w:r>
      <w:r>
        <w:tab/>
      </w:r>
      <w:r>
        <w:t xml:space="preserve">Impactos en superficie</w:t>
      </w:r>
    </w:p>
    <w:p>
      <w:pPr>
        <w:pStyle w:val="CaptionedFigure"/>
      </w:pPr>
      <w:r>
        <w:drawing>
          <wp:inline>
            <wp:extent cx="4620126" cy="2772075"/>
            <wp:effectExtent b="0" l="0" r="0" t="0"/>
            <wp:docPr descr="Figure 2.15: (ref:pp-t2m-r2-cap)" title="" id="91" name="Picture"/>
            <a:graphic>
              <a:graphicData uri="http://schemas.openxmlformats.org/drawingml/2006/picture">
                <pic:pic>
                  <pic:nvPicPr>
                    <pic:cNvPr descr="figures/20-ceofs/pp-t2m-r2-1.png" id="92" name="Picture"/>
                    <pic:cNvPicPr>
                      <a:picLocks noChangeArrowheads="1" noChangeAspect="1"/>
                    </pic:cNvPicPr>
                  </pic:nvPicPr>
                  <pic:blipFill>
                    <a:blip r:embed="rId90"/>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93" w:name="fig:pp-t2m-r2"/>
      <w:bookmarkEnd w:id="93"/>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(ref:pp-temp-2-cap)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6: (ref:pp-temp-2-cap)" title="" id="95" name="Picture"/>
            <a:graphic>
              <a:graphicData uri="http://schemas.openxmlformats.org/drawingml/2006/picture">
                <pic:pic>
                  <pic:nvPicPr>
                    <pic:cNvPr descr="figures/20-ceofs/pp-temp-2-1.png" id="96" name="Picture"/>
                    <pic:cNvPicPr>
                      <a:picLocks noChangeArrowheads="1" noChangeAspect="1"/>
                    </pic:cNvPicPr>
                  </pic:nvPicPr>
                  <pic:blipFill>
                    <a:blip r:embed="rId9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97" w:name="fig:pp-temp-2"/>
      <w:bookmarkEnd w:id="97"/>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98"/>
    <w:bookmarkEnd w:id="99"/>
    <w:bookmarkEnd w:id="100"/>
    <w:bookmarkStart w:id="187" w:name="Xdf5da4f21c8ed72065ca5c0e80a1cf530743ac2"/>
    <w:p>
      <w:pPr>
        <w:pStyle w:val="Heading1"/>
      </w:pPr>
      <w:r>
        <w:rPr>
          <w:rStyle w:val="SectionNumber"/>
        </w:rPr>
        <w:t xml:space="preserve">3</w:t>
      </w:r>
      <w:r>
        <w:tab/>
      </w:r>
      <w:r>
        <w:t xml:space="preserve">Estructura simétrica y asimétrica del SAM</w:t>
      </w:r>
    </w:p>
    <w:bookmarkStart w:id="101"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w:t>
      </w:r>
      <w:r>
        <w:t xml:space="preserve"> </w:t>
      </w:r>
      <w:r>
        <w:t xml:space="preserve">Influencia fuertemente las anomalías de temperatura, precipitación y concentraciones de hielo marino</w:t>
      </w:r>
      <w:r>
        <w:t xml:space="preserve"> </w:t>
      </w:r>
      <w:r>
        <w:t xml:space="preserve">(p. ej. Fogt and Marshall, 2020)</w:t>
      </w:r>
      <w:r>
        <w:t xml:space="preserve">.</w:t>
      </w:r>
    </w:p>
    <w:p>
      <w:pPr>
        <w:pStyle w:val="BodyText"/>
      </w:pPr>
      <w:r>
        <w:t xml:space="preserve">Su fase positiva suele describirse como presiones anómalamente bajas sobre la Antártida rodeadas de un anillo de altas presiones anómalas en latitudes medias y altas.</w:t>
      </w:r>
      <w:r>
        <w:t xml:space="preserve"> </w:t>
      </w:r>
      <w:r>
        <w:t xml:space="preserve">Esta descripción conceptualiza al SAM como un patrón patrón zonalmente simétrico, hecho que se refleja no sólo en su nombre, sino también en los diversos métodos utilizados para caracterizarlo.</w:t>
      </w:r>
      <w:r>
        <w:t xml:space="preserve"> </w:t>
      </w:r>
      <w:r>
        <w:t xml:space="preserve">Gran parte de los distintos índices presentados en la literatura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define el índice SAM como la diferencia de la media zonal de la presión a nivel del mar entre 40ºS y 65ºS,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modos anulares del norte y el sur como el primer EOF de la altura geopotencial promediada zonalmente en cada nivel en cada hemisferio.</w:t>
      </w:r>
    </w:p>
    <w:p>
      <w:pPr>
        <w:pStyle w:val="BodyText"/>
      </w:pPr>
      <w:r>
        <w:t xml:space="preserve">Aunque estos índices se basan en promedios zonales, están asociados a anomalías espaciales de altura geopotencial con notables desviaciones respecto a la simetría zonal, particularmente en la región del Océano Pacífico.</w:t>
      </w:r>
      <w:r>
        <w:t xml:space="preserve"> </w:t>
      </w:r>
      <w:r>
        <w:t xml:space="preserve">Estas asimetrías zonales no han sido ampliamente estudiadas, pero trabajos previos sugieren que tienen un rol importante en modular los impactos regionales del SAM</w:t>
      </w:r>
      <w:r>
        <w:t xml:space="preserve"> </w:t>
      </w:r>
      <w:r>
        <w:t xml:space="preserve">(Fan, 2007; Silvestri and Vera, 2009; Fogt et al., 2012; Rosso et al., 2018)</w:t>
      </w:r>
      <w:r>
        <w:t xml:space="preserve">.</w:t>
      </w:r>
      <w:r>
        <w:t xml:space="preserve"> </w:t>
      </w:r>
      <w:r>
        <w:t xml:space="preserve">El hecho de que el SAM no sea totalmente simétrico zonalmente reduce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del SAM parece estar forzada por los trópicos.</w:t>
      </w:r>
      <w:r>
        <w:t xml:space="preserve"> </w:t>
      </w:r>
      <w:r>
        <w:t xml:space="preserve">La variabilidad similar al ENSO afecta a los extratrópicos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el SAM en el sector del Pacífico.</w:t>
      </w:r>
      <w:r>
        <w:t xml:space="preserve"> </w:t>
      </w:r>
      <w:r>
        <w:t xml:space="preserve">Además, se han observado influencias tropicales en el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la correlación entre ellos aumentaba si se eliminaba la señal (lineal) del ENSO.</w:t>
      </w:r>
    </w:p>
    <w:p>
      <w:pPr>
        <w:pStyle w:val="BodyText"/>
      </w:pPr>
      <w:r>
        <w:t xml:space="preserve">Varies investigadores han documentado tendencias positivas en el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la reducción del ozono estratosférico y el aumento de los gases de efecto invernadero, y son analizadas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si la componente SAM asimétrico responde a estos forzantes o cómo su variabilidad altera las tendencias observadas.</w:t>
      </w:r>
    </w:p>
    <w:p>
      <w:pPr>
        <w:pStyle w:val="BodyText"/>
      </w:pPr>
      <w:r>
        <w:t xml:space="preserve">El impacto de la componente zonalmente asimétrica del SAM a escala regional tampoco se ha estudiado en detalle.</w:t>
      </w:r>
      <w:r>
        <w:t xml:space="preserve"> </w:t>
      </w:r>
      <w:r>
        <w:t xml:space="preserve">La fase positiva del SAM está asociada a temperaturas más frías de lo normal sobre la Antártida y más cálidas de lo normal en latitudes más bajas y viceversa para la fase negativ</w:t>
      </w:r>
      <w:r>
        <w:t xml:space="preserve"> </w:t>
      </w:r>
      <w:r>
        <w:t xml:space="preserve">(Jones et al., 2019)</w:t>
      </w:r>
      <w:r>
        <w:t xml:space="preserve">.</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sigue un comportamiento similar, aunque con aún mayores desviaciones respecto de la simetría zonal</w:t>
      </w:r>
      <w:r>
        <w:t xml:space="preserve"> </w:t>
      </w:r>
      <w:r>
        <w:t xml:space="preserve">(Lim et al., 2016)</w:t>
      </w:r>
      <w:r>
        <w:t xml:space="preserve">.</w:t>
      </w:r>
      <w:r>
        <w:t xml:space="preserve"> </w:t>
      </w:r>
      <w:r>
        <w:t xml:space="preserve">La relación entre el SAM y la precipitación en el Sudeste de Sudamérica (SESA) puede explicarse por la circulación zonalmente asimétrica asociada al SAM, que es similar al Patrón del Pacífico-Sudamérica (PSA)</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del SAM.</w:t>
      </w:r>
    </w:p>
    <w:p>
      <w:pPr>
        <w:pStyle w:val="BodyText"/>
      </w:pPr>
      <w:r>
        <w:t xml:space="preserve">Fogt et al. (2012)</w:t>
      </w:r>
      <w:r>
        <w:t xml:space="preserve"> </w:t>
      </w:r>
      <w:r>
        <w:t xml:space="preserve">es uno de los pocos trabajos que estudian la variabilidad temporal de la componente asimétrica del SAM.</w:t>
      </w:r>
      <w:r>
        <w:t xml:space="preserve"> </w:t>
      </w:r>
      <w:r>
        <w:t xml:space="preserve">Sin embargo, sus conclusiones se basan en composiciones de eventos SAM positivos y negativos que incluyen un pequeño número de casos distribuidos inhomogéneamente entre años con y sin información satelital.</w:t>
      </w:r>
      <w:r>
        <w:t xml:space="preserve"> </w:t>
      </w:r>
      <w:r>
        <w:t xml:space="preserve">Esto es especialmente relevante debido a las inhomogeneidades en los productos de reanálisis anteriores a la era satelital y al posible cambio en la estructura asimétrica del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del SAM sólo en la presión a nivel del mar.</w:t>
      </w:r>
      <w:r>
        <w:t xml:space="preserve"> </w:t>
      </w:r>
      <w:r>
        <w:t xml:space="preserve">Si bien las asimetrías zonales en el patrón espacial del SAM son barotrópicas equivalentes en toda la troposfera, su estructura cambia drásticamente en la estratosfera</w:t>
      </w:r>
      <w:r>
        <w:t xml:space="preserve"> </w:t>
      </w:r>
      <w:r>
        <w:t xml:space="preserve">(Baldwin and Thompson, 2009)</w:t>
      </w:r>
      <w:r>
        <w:t xml:space="preserve">.</w:t>
      </w:r>
    </w:p>
    <w:p>
      <w:pPr>
        <w:pStyle w:val="BodyText"/>
      </w:pPr>
      <w:r>
        <w:t xml:space="preserve">En resumen, las investigaciones previas sugieren fuertemente que la componente zonalmente asimétrica del SAM puede tener un comportamiento potencialmente muy distinto al de la componente zonalmente simétrica.</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del SAM.</w:t>
      </w:r>
      <w:r>
        <w:t xml:space="preserve"> </w:t>
      </w:r>
      <w:r>
        <w:t xml:space="preserve">En primer lugar, propongo una metodología que proporciona, para cada nivel, sendos índices que pretenden captar de forma independiente la variabilidad de la componente del SAM simétrica y asimétrica, respectivamente.</w:t>
      </w:r>
      <w:r>
        <w:t xml:space="preserve"> </w:t>
      </w:r>
      <w:r>
        <w:t xml:space="preserve">Luego evalúo su estructura vertical y su coherencia, así como su variabilidad temporal y sus tendencias.</w:t>
      </w:r>
      <w:r>
        <w:t xml:space="preserve"> </w:t>
      </w:r>
      <w:r>
        <w:t xml:space="preserve">A continuación estudio los patrones espaciales asociados a la variabilidad exclusiva de cada índice centrándose en 50 hPa como nivel estratosférico y 700 hPa como nivel troposférico.</w:t>
      </w:r>
      <w:r>
        <w:t xml:space="preserve"> </w:t>
      </w:r>
      <w:r>
        <w:t xml:space="preserve">Por último, investigo las relaciones del SAM a 700 hPa con las anomalías de temperatura y precipitación.</w:t>
      </w:r>
    </w:p>
    <w:bookmarkEnd w:id="101"/>
    <w:bookmarkStart w:id="125" w:name="datos-y-métodos-1"/>
    <w:p>
      <w:pPr>
        <w:pStyle w:val="Heading2"/>
      </w:pPr>
      <w:r>
        <w:rPr>
          <w:rStyle w:val="SectionNumber"/>
        </w:rPr>
        <w:t xml:space="preserve">3.2</w:t>
      </w:r>
      <w:r>
        <w:tab/>
      </w:r>
      <w:r>
        <w:t xml:space="preserve">Datos y métodos</w:t>
      </w:r>
    </w:p>
    <w:bookmarkStart w:id="123" w:name="definition-of-indices"/>
    <w:p>
      <w:pPr>
        <w:pStyle w:val="Heading3"/>
      </w:pPr>
      <w:r>
        <w:rPr>
          <w:rStyle w:val="SectionNumber"/>
        </w:rPr>
        <w:t xml:space="preserve">3.2.1</w:t>
      </w:r>
      <w:r>
        <w:tab/>
      </w:r>
      <w:r>
        <w:t xml:space="preserve">Definición de los índices</w:t>
      </w:r>
    </w:p>
    <w:p>
      <w:pPr>
        <w:pStyle w:val="FirstParagraph"/>
      </w:pPr>
      <w:r>
        <w:t xml:space="preserve">El SAM suele definirse como el primer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altura geopotencial al sur de 20º S en cada nivel.</w:t>
      </w:r>
      <w:r>
        <w:t xml:space="preserve"> </w:t>
      </w:r>
      <w:r>
        <w:t xml:space="preserve">Calculamos los EOFs haciendo la descomposición en valores singulares de la matriz de datos consistente en 492 filas y 4176 columnas (144 puntos de longitud y 29 puntos de latitud).</w:t>
      </w:r>
      <w:r>
        <w:t xml:space="preserve"> </w:t>
      </w:r>
      <w:r>
        <w:t xml:space="preserve">Ponderamos los valores por la raíz cuadrada del coseno de la latitud para tener en cuenta que el área representada por cada punto de grilla</w:t>
      </w:r>
      <w:r>
        <w:t xml:space="preserve"> </w:t>
      </w:r>
      <w:r>
        <w:t xml:space="preserve">(Chung and Nigam, 1999)</w:t>
      </w:r>
      <w:r>
        <w:t xml:space="preserve">.</w:t>
      </w:r>
    </w:p>
    <w:p>
      <w:pPr>
        <w:pStyle w:val="BodyText"/>
      </w:pPr>
      <w:r>
        <w:t xml:space="preserve">Para separar la componente zonalmente simétrica y asimétrica del SAM, calculamos la media zonal y las anomalías del patrón espacial completo del SAM, como muestra en la Figura</w:t>
      </w:r>
      <w:r>
        <w:t xml:space="preserve"> </w:t>
      </w:r>
      <w:r>
        <w:t xml:space="preserve">3.1</w:t>
      </w:r>
      <w:r>
        <w:t xml:space="preserve"> </w:t>
      </w:r>
      <w:r>
        <w:t xml:space="preserve">en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la componente zonalmente asimétrica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la simétrica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el índice SAM simétrico (S-SAM) como los coeficientes de la regresión de cada campo de altura geopotencial mensual sobre los respectivos patrones (ponderando por el coseno de la latitud).</w:t>
      </w:r>
      <w:r>
        <w:t xml:space="preserve"> </w:t>
      </w:r>
      <w:r>
        <w:t xml:space="preserve">Finalmente, normalizamos los tres índices dividiéndolos por la desviación estándar del índice SAM en cada nivel.</w:t>
      </w:r>
      <w:r>
        <w:t xml:space="preserve"> </w:t>
      </w:r>
      <w:r>
        <w:t xml:space="preserve">Como resultado, las magnitudes entre los índices son comparables.</w:t>
      </w:r>
      <w:r>
        <w:t xml:space="preserve"> </w:t>
      </w:r>
      <w:r>
        <w:t xml:space="preserve">Sin embargo, sólo el índice SAM tiene desviación estándar unitaria por definición.</w:t>
      </w:r>
      <w:r>
        <w:t xml:space="preserve"> </w:t>
      </w:r>
      <w:r>
        <w:t xml:space="preserve">La varianza explicada por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Patrones espaciales del primer EOF de la altura geopotencial en 700 hPa para el período 1979 – 2022.</w:t>
      </w:r>
      <w:r>
        <w:t xml:space="preserve"> </w:t>
      </w:r>
      <w:r>
        <w:t xml:space="preserve">(a) Campo completo, (b) componente zonalmente asimétrica y (c) componente zonalmente simétrica.</w:t>
      </w:r>
      <w:r>
        <w:t xml:space="preserve"> </w:t>
      </w:r>
      <w:r>
        <w:t xml:space="preserve">Unidades arbitrarias con valores negativos en azul y negativos en azul.</w:t>
      </w:r>
    </w:p>
    <w:p>
      <w:pPr>
        <w:pStyle w:val="CaptionedFigure"/>
      </w:pPr>
      <w:r>
        <w:drawing>
          <wp:inline>
            <wp:extent cx="5334000" cy="2286000"/>
            <wp:effectExtent b="0" l="0" r="0" t="0"/>
            <wp:docPr descr="Figure 3.1: (ref:method-cap)" title="" id="103" name="Picture"/>
            <a:graphic>
              <a:graphicData uri="http://schemas.openxmlformats.org/drawingml/2006/picture">
                <pic:pic>
                  <pic:nvPicPr>
                    <pic:cNvPr descr="figures/30-sam/method-1.png" id="104" name="Picture"/>
                    <pic:cNvPicPr>
                      <a:picLocks noChangeArrowheads="1" noChangeAspect="1"/>
                    </pic:cNvPicPr>
                  </pic:nvPicPr>
                  <pic:blipFill>
                    <a:blip r:embed="rId102"/>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105" w:name="fig:method"/>
      <w:bookmarkEnd w:id="105"/>
      <w:r>
        <w:t xml:space="preserve">Figure 3.1: (ref:method-cap)</w:t>
      </w:r>
    </w:p>
    <w:bookmarkStart w:id="122" w:name="limitaciones"/>
    <w:p>
      <w:pPr>
        <w:pStyle w:val="Heading4"/>
      </w:pPr>
      <w:r>
        <w:rPr>
          <w:rStyle w:val="SectionNumber"/>
        </w:rPr>
        <w:t xml:space="preserve">3.2.1.1</w:t>
      </w:r>
      <w:r>
        <w:tab/>
      </w:r>
      <w:r>
        <w:t xml:space="preserve">Limitaciones</w:t>
      </w:r>
    </w:p>
    <w:p>
      <w:pPr>
        <w:pStyle w:val="FirstParagraph"/>
      </w:pPr>
      <w:r>
        <w:t xml:space="preserve">El método supone linealidad en las componentes del SAM.</w:t>
      </w:r>
      <w:r>
        <w:t xml:space="preserve"> </w:t>
      </w:r>
      <w:r>
        <w:t xml:space="preserve">Es decir, supone que los patrones de anomalías asociadas a valores positivos de cada componente del SAM son similar pero de signo opuesto a las asociadas a la fase valores negativos y de mangitud proporcional a la magnitud del índice.</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p>
    <w:p>
      <w:pPr>
        <w:pStyle w:val="BodyText"/>
      </w:pPr>
      <w:r>
        <w:t xml:space="preserve">Para probar esta suposición, calculamos la regresión de las anomalías zonales de altura geopotencial con el índice SAM y el signo del índice SAM.</w:t>
      </w:r>
      <w:r>
        <w:t xml:space="preserve"> </w:t>
      </w:r>
      <w:r>
        <w:t xml:space="preserve">(La suposición también )</w:t>
      </w:r>
      <w:r>
        <w:t xml:space="preserve"> </w:t>
      </w:r>
      <w:r>
        <w:t xml:space="preserve">De esta manera se obtiene una pendiente para valores del SAM positivos y una para valores negativos con continuidad en el cero.</w:t>
      </w:r>
      <w:r>
        <w:t xml:space="preserve"> </w:t>
      </w:r>
      <w:r>
        <w:t xml:space="preserve">Las Figuras</w:t>
      </w:r>
      <w:r>
        <w:t xml:space="preserve"> </w:t>
      </w:r>
      <w:r>
        <w:t xml:space="preserve">3.2</w:t>
      </w:r>
      <w:r>
        <w:t xml:space="preserve"> </w:t>
      </w:r>
      <w:r>
        <w:t xml:space="preserve">y</w:t>
      </w:r>
      <w:r>
        <w:t xml:space="preserve"> </w:t>
      </w:r>
      <w:r>
        <w:t xml:space="preserve">3.3</w:t>
      </w:r>
      <w:r>
        <w:t xml:space="preserve"> </w:t>
      </w:r>
      <w:r>
        <w:t xml:space="preserve">muestran los campos de regresión en 50 y 700 hPa divididos por trimestres.</w:t>
      </w:r>
      <w:r>
        <w:t xml:space="preserve"> </w:t>
      </w:r>
      <w:r>
        <w:t xml:space="preserve">Se puede observar que en casi todas las estaciones y ambos niveles, los campos de regresión de SAM positivo y negativo son similares entre ellos.</w:t>
      </w:r>
      <w:r>
        <w:t xml:space="preserve"> </w:t>
      </w:r>
      <w:r>
        <w:t xml:space="preserve">Este análisis cualitativo se confirma por el análisis cuantitativo de al observar que el</w:t>
      </w:r>
      <w:r>
        <w:t xml:space="preserve"> </w:t>
      </w:r>
      <m:oMath>
        <m:sSup>
          <m:e>
            <m:r>
              <m:t>r</m:t>
            </m:r>
          </m:e>
          <m:sup>
            <m:r>
              <m:t>2</m:t>
            </m:r>
          </m:sup>
        </m:sSup>
      </m:oMath>
      <w:r>
        <w:t xml:space="preserve"> </w:t>
      </w:r>
      <w:r>
        <w:t xml:space="preserve">(representando la correlación espacial al cuadrado) tienen valores entre 0.7 y 0.9, indicando alta similaridad.</w:t>
      </w:r>
      <w:r>
        <w:t xml:space="preserve"> </w:t>
      </w:r>
      <w:r>
        <w:t xml:space="preserve">A su vez, también es similar la intensidad de los coeficientes de correlación, indicando un buen cumplimiento de la hipótesis de linealidad.</w:t>
      </w:r>
    </w:p>
    <w:p>
      <w:pPr>
        <w:pStyle w:val="BodyText"/>
      </w:pPr>
      <w:r>
        <w:t xml:space="preserve">(ref:sign-regression-50-cap) Regresión múltiple de la anomalía zonal de altura geopotencial en 50 hPa son el índice SAM y el signo del SAM para el período 1979 – 2022.</w:t>
      </w:r>
      <w:r>
        <w:t xml:space="preserve"> </w:t>
      </w:r>
      <w:r>
        <w:t xml:space="preserve">La correlación espacial al cuadrado entre cada campo en cada estación se detalla debajo de la estación.</w:t>
      </w:r>
      <w:r>
        <w:t xml:space="preserve"> </w:t>
      </w:r>
      <w:r>
        <w:t xml:space="preserve">Áreas con puntos marcan regiones donde el p-valor de la diferencia entre el signo positivo y el negativo es menor que 0.01 ajustado por FDR (no hay áreas).</w:t>
      </w:r>
    </w:p>
    <w:p>
      <w:pPr>
        <w:pStyle w:val="CaptionedFigure"/>
      </w:pPr>
      <w:r>
        <w:drawing>
          <wp:inline>
            <wp:extent cx="4620126" cy="3696101"/>
            <wp:effectExtent b="0" l="0" r="0" t="0"/>
            <wp:docPr descr="Figure 3.2: (ref:sign-regression-50-cap)" title="" id="107" name="Picture"/>
            <a:graphic>
              <a:graphicData uri="http://schemas.openxmlformats.org/drawingml/2006/picture">
                <pic:pic>
                  <pic:nvPicPr>
                    <pic:cNvPr descr="figures/30-sam/sign-regression-50-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09" w:name="fig:sign-regression-50"/>
      <w:bookmarkEnd w:id="109"/>
      <w:r>
        <w:t xml:space="preserve">Figure 3.2: (ref:sign-regression-50-cap)</w:t>
      </w:r>
    </w:p>
    <w:p>
      <w:pPr>
        <w:pStyle w:val="BodyText"/>
      </w:pPr>
      <w:r>
        <w:t xml:space="preserve">(ref:sign-regression-700-cap) Igual que la Figura</w:t>
      </w:r>
      <w:r>
        <w:t xml:space="preserve"> </w:t>
      </w:r>
      <w:r>
        <w:t xml:space="preserve">3.2</w:t>
      </w:r>
      <w:r>
        <w:t xml:space="preserve"> </w:t>
      </w:r>
      <w:r>
        <w:t xml:space="preserve">pero para 700 hPa.</w:t>
      </w:r>
    </w:p>
    <w:p>
      <w:pPr>
        <w:pStyle w:val="CaptionedFigure"/>
      </w:pPr>
      <w:r>
        <w:drawing>
          <wp:inline>
            <wp:extent cx="4620126" cy="3696101"/>
            <wp:effectExtent b="0" l="0" r="0" t="0"/>
            <wp:docPr descr="Figure 3.3: (ref:sign-regression-700-cap)" title="" id="111" name="Picture"/>
            <a:graphic>
              <a:graphicData uri="http://schemas.openxmlformats.org/drawingml/2006/picture">
                <pic:pic>
                  <pic:nvPicPr>
                    <pic:cNvPr descr="figures/30-sam/sign-regression-700-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3" w:name="fig:sign-regression-700"/>
      <w:bookmarkEnd w:id="113"/>
      <w:r>
        <w:t xml:space="preserve">Figure 3.3: (ref:sign-regression-700-cap)</w:t>
      </w:r>
    </w:p>
    <w:p>
      <w:pPr>
        <w:pStyle w:val="BodyText"/>
      </w:pPr>
      <w:r>
        <w:t xml:space="preserve">Al realizar el análisis EOF utilizando los datos de todos los meses también estamos asumiendo que la estructura del SAM es la misma en todas las estaciones.</w:t>
      </w:r>
      <w:r>
        <w:t xml:space="preserve"> </w:t>
      </w:r>
      <w:r>
        <w:t xml:space="preserve">La Figura</w:t>
      </w:r>
      <w:r>
        <w:t xml:space="preserve"> </w:t>
      </w:r>
      <w:r>
        <w:t xml:space="preserve">3.4</w:t>
      </w:r>
      <w:r>
        <w:t xml:space="preserve"> </w:t>
      </w:r>
      <w:r>
        <w:t xml:space="preserve">muestra la regresión del SAM y su interacción con el trimestre del año, junto con la diferencia con respecto a SON y su significancia estadística.</w:t>
      </w:r>
    </w:p>
    <w:p>
      <w:pPr>
        <w:pStyle w:val="BodyText"/>
      </w:pPr>
      <w:r>
        <w:t xml:space="preserve">En 50 hPa (Fig.</w:t>
      </w:r>
      <w:r>
        <w:t xml:space="preserve"> </w:t>
      </w:r>
      <w:r>
        <w:t xml:space="preserve">3.4</w:t>
      </w:r>
      <w:r>
        <w:t xml:space="preserve"> </w:t>
      </w:r>
      <w:r>
        <w:t xml:space="preserve">fila a), MAM y JJA son tienen patrones muy similares a SON, con correlación espacial cuadrada mayor a 0.75.</w:t>
      </w:r>
      <w:r>
        <w:t xml:space="preserve"> </w:t>
      </w:r>
      <w:r>
        <w:t xml:space="preserve">En estas tres estaciones, el SAM en 50 hPa se asocia a una onda planetaria 1 con su centro negativo en 60ºO.</w:t>
      </w:r>
      <w:r>
        <w:t xml:space="preserve"> </w:t>
      </w:r>
      <w:r>
        <w:t xml:space="preserve">JJA tiene algunas diferencias significativas con respecto a SON, principalmente un corrimiento e intensificación de la anomalía negativa de la onda.</w:t>
      </w:r>
      <w:r>
        <w:t xml:space="preserve"> </w:t>
      </w:r>
      <w:r>
        <w:t xml:space="preserve">DJF, en cambio, es muy distinta; la onda 1 tiene su mínimo cerca de 180ºO y está más retraída a latitudes altas.</w:t>
      </w:r>
      <w:r>
        <w:t xml:space="preserve"> </w:t>
      </w:r>
      <w:r>
        <w:t xml:space="preserve">Además, su correlación espacial es esencialmente nula.</w:t>
      </w:r>
    </w:p>
    <w:p>
      <w:pPr>
        <w:pStyle w:val="BodyText"/>
      </w:pPr>
      <w:r>
        <w:t xml:space="preserve">En 700 hPa (Fig.</w:t>
      </w:r>
      <w:r>
        <w:t xml:space="preserve"> </w:t>
      </w:r>
      <w:r>
        <w:t xml:space="preserve">3.4</w:t>
      </w:r>
      <w:r>
        <w:t xml:space="preserve"> </w:t>
      </w:r>
      <w:r>
        <w:t xml:space="preserve">fila b), las cuatro estaciones tienen patrones bastante similares, prácticamente sin diferencias estadísticamente significativas con respecto a SON y con correlaciones cuadradas mayores a 0.6.</w:t>
      </w:r>
      <w:r>
        <w:t xml:space="preserve"> </w:t>
      </w:r>
      <w:r>
        <w:t xml:space="preserve">DJF es la estación más distinta, con un patrón similar a SON pero menos intenso.</w:t>
      </w:r>
      <w:r>
        <w:t xml:space="preserve"> </w:t>
      </w:r>
      <w:r>
        <w:t xml:space="preserve">Esto es consistente con las observaciones de</w:t>
      </w:r>
      <w:r>
        <w:t xml:space="preserve"> </w:t>
      </w:r>
      <w:r>
        <w:t xml:space="preserve">Fogt and Marshall (2020)</w:t>
      </w:r>
      <w:r>
        <w:t xml:space="preserve">.</w:t>
      </w:r>
    </w:p>
    <w:p>
      <w:pPr>
        <w:pStyle w:val="BodyText"/>
      </w:pPr>
      <w:r>
        <w:t xml:space="preserve">Estos resultados sugieren que la suposición de estabilidad estacional se cumple excepto por DJF en la estratósfera.</w:t>
      </w:r>
      <w:r>
        <w:t xml:space="preserve"> </w:t>
      </w:r>
      <w:r>
        <w:t xml:space="preserve">Esto indica que hay que tener cuidado en la interpretación del SAM asimétrico en DJF en la estratosfera ya que el patrón de SAM asimétrico impuesto por la metodología no coincide con el patrón de SAM asimétrico</w:t>
      </w:r>
      <w:r>
        <w:t xml:space="preserve"> </w:t>
      </w:r>
      <w:r>
        <w:t xml:space="preserve">“</w:t>
      </w:r>
      <w:r>
        <w:t xml:space="preserve">natural</w:t>
      </w:r>
      <w:r>
        <w:t xml:space="preserve">”</w:t>
      </w:r>
      <w:r>
        <w:t xml:space="preserve"> </w:t>
      </w:r>
      <w:r>
        <w:t xml:space="preserve">de este trimestre.</w:t>
      </w:r>
    </w:p>
    <w:p>
      <w:pPr>
        <w:pStyle w:val="BodyText"/>
      </w:pPr>
      <w:r>
        <w:t xml:space="preserve">(ref:season-regression-cap) Regresión múltiple de las anomalías zonales de altura geopotencial con el índice SAM y la estación del año, usando SON como base.</w:t>
      </w:r>
      <w:r>
        <w:t xml:space="preserve"> </w:t>
      </w:r>
      <w:r>
        <w:t xml:space="preserve">El sombreado muestra la regresión de cada estación y los contornos grises, la diferencia de cada estación con respecto a SON (valores negativos en línea punteada y positivos en línea sólida).</w:t>
      </w:r>
      <w:r>
        <w:t xml:space="preserve"> </w:t>
      </w:r>
      <w:r>
        <w:t xml:space="preserve">La correlación espacial al cuadrado entre cada campo y el campo de SON se detalla debajo de la estación.</w:t>
      </w:r>
      <w:r>
        <w:t xml:space="preserve"> </w:t>
      </w:r>
      <w:r>
        <w:t xml:space="preserve">Áreas con puntos marcan regiones donde el p-valor es menor que 0.01 ajustado por FDR, donde para estaciones distintas a SON, marca el p-valor de la diferencia respecto a SON.</w:t>
      </w:r>
    </w:p>
    <w:p>
      <w:pPr>
        <w:pStyle w:val="CaptionedFigure"/>
      </w:pPr>
      <w:r>
        <w:drawing>
          <wp:inline>
            <wp:extent cx="5334000" cy="3556000"/>
            <wp:effectExtent b="0" l="0" r="0" t="0"/>
            <wp:docPr descr="Figure 3.4: (ref:season-regression-cap)" title="" id="115" name="Picture"/>
            <a:graphic>
              <a:graphicData uri="http://schemas.openxmlformats.org/drawingml/2006/picture">
                <pic:pic>
                  <pic:nvPicPr>
                    <pic:cNvPr descr="figures/30-sam/season-regression-1.png" id="116"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7" w:name="fig:season-regression"/>
      <w:bookmarkEnd w:id="117"/>
      <w:r>
        <w:t xml:space="preserve">Figure 3.4: (ref:season-regression-cap)</w:t>
      </w:r>
    </w:p>
    <w:p>
      <w:pPr>
        <w:pStyle w:val="BodyText"/>
      </w:pPr>
      <w:r>
        <w:t xml:space="preserve">El método también asume que el patrón zonalmente asimétrico del SAM permanece estacionario a lo largo del periodo considerado.</w:t>
      </w:r>
      <w:r>
        <w:t xml:space="preserve"> </w:t>
      </w:r>
      <w:r>
        <w:t xml:space="preserve">Silvestri and Vera (2009)</w:t>
      </w:r>
      <w:r>
        <w:t xml:space="preserve"> </w:t>
      </w:r>
      <w:r>
        <w:t xml:space="preserve">sugiere que este podría no ser el caso entre 1958 y 2004.</w:t>
      </w:r>
      <w:r>
        <w:t xml:space="preserve"> </w:t>
      </w:r>
      <w:r>
        <w:t xml:space="preserve">Para probar esta suposición, calculamos el SAM para las dos mitades del periodo (1979 a 1998 y 1999 a 2022), que se muestran en la Figura</w:t>
      </w:r>
      <w:r>
        <w:t xml:space="preserve"> </w:t>
      </w:r>
      <w:r>
        <w:t xml:space="preserve">3.5</w:t>
      </w:r>
      <w:r>
        <w:t xml:space="preserve">.</w:t>
      </w:r>
      <w:r>
        <w:t xml:space="preserve"> </w:t>
      </w:r>
      <w:r>
        <w:t xml:space="preserve">Las diferencias entre los dos periodos parecen ser relativamente pequeñas, tanto en la troposfera como en la estratosfera.</w:t>
      </w:r>
    </w:p>
    <w:p>
      <w:pPr>
        <w:pStyle w:val="BodyText"/>
      </w:pPr>
      <w:r>
        <w:t xml:space="preserve">Unidades arbitrarias con valores negativos en azul y negativos en azul.</w:t>
      </w:r>
    </w:p>
    <w:p>
      <w:pPr>
        <w:pStyle w:val="CaptionedFigure"/>
      </w:pPr>
      <w:r>
        <w:drawing>
          <wp:inline>
            <wp:extent cx="4620126" cy="3696101"/>
            <wp:effectExtent b="0" l="0" r="0" t="0"/>
            <wp:docPr descr="Figure 3.5: Patrón espacial del primer EOF computado para el período 1979 – 1998 (columna 1) y 1999 – 2022 (columna 2) para 50 hPa (fila a) y 700 hPa (fila b)." title="" id="119" name="Picture"/>
            <a:graphic>
              <a:graphicData uri="http://schemas.openxmlformats.org/drawingml/2006/picture">
                <pic:pic>
                  <pic:nvPicPr>
                    <pic:cNvPr descr="figures/30-sam/sam-period-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21" w:name="fig:sam-period"/>
      <w:bookmarkEnd w:id="121"/>
      <w:r>
        <w:t xml:space="preserve">Figure 3.5: Patrón espacial del primer EOF computado para el período 1979 – 1998 (columna 1) y 1999 – 2022 (columna 2) para 50 hPa (fila a) y 700 hPa (fila b).</w:t>
      </w:r>
    </w:p>
    <w:bookmarkEnd w:id="122"/>
    <w:bookmarkEnd w:id="123"/>
    <w:bookmarkStart w:id="124" w:name="regresiones"/>
    <w:p>
      <w:pPr>
        <w:pStyle w:val="Heading3"/>
      </w:pPr>
      <w:r>
        <w:rPr>
          <w:rStyle w:val="SectionNumber"/>
        </w:rPr>
        <w:t xml:space="preserve">3.2.2</w:t>
      </w:r>
      <w:r>
        <w:tab/>
      </w:r>
      <w:r>
        <w:t xml:space="preserve">Regresiones</w:t>
      </w:r>
    </w:p>
    <w:p>
      <w:pPr>
        <w:pStyle w:val="FirstParagraph"/>
      </w:pPr>
      <w:r>
        <w:t xml:space="preserve">Para cuantificar la asociación entre los índices del SAM y otras variable usamos regresión lineal múltiple.</w:t>
      </w:r>
      <w:r>
        <w:t xml:space="preserve"> </w:t>
      </w:r>
      <w:r>
        <w:t xml:space="preserve">Para obtener los coeficientes lineales de una variable</w:t>
      </w:r>
      <w:r>
        <w:t xml:space="preserve"> </w:t>
      </w:r>
      <m:oMath>
        <m:r>
          <m:t>X</m:t>
        </m:r>
      </m:oMath>
      <w:r>
        <w:t xml:space="preserve"> </w:t>
      </w:r>
      <w:r>
        <w:t xml:space="preserve">(altura 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3.1</m:t>
              </m:r>
            </m:e>
          </m:d>
        </m:oMath>
      </m:oMathPara>
    </w:p>
    <w:p>
      <w:pPr>
        <w:pStyle w:val="FirstParagraph"/>
      </w:pPr>
      <w:r>
        <w:rPr>
          <w:bCs/>
          <w:b/>
        </w:rPr>
        <w:t xml:space="preserve">TODO: Esto se repite en el capítulo anterior. Habría que unificar metodología.</w:t>
      </w:r>
    </w:p>
    <w:p>
      <w:pPr>
        <w:pStyle w:val="BodyText"/>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Para las regresiones estacionales, promediamos la variables para cada año y trimestre (DJF, MAM, JJA, SON) antes de calcular la regresión.</w:t>
      </w:r>
    </w:p>
    <w:p>
      <w:pPr>
        <w:pStyle w:val="BodyText"/>
      </w:pPr>
      <w:r>
        <w:t xml:space="preserve">La significancia estadística de los campos de regresión se evaluó ajustando los p-valores mediante el control de la Tasa de Falso Descubrimiento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Calculamos las tendencias lineales mediante mínimos cuadrados ordinarios y el intervalo de confianza del 95% se calculó asumiendo una distribución t con los grados de libertad de los residuos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124"/>
    <w:bookmarkEnd w:id="125"/>
    <w:bookmarkStart w:id="169" w:name="resultados"/>
    <w:p>
      <w:pPr>
        <w:pStyle w:val="Heading2"/>
      </w:pPr>
      <w:r>
        <w:rPr>
          <w:rStyle w:val="SectionNumber"/>
        </w:rPr>
        <w:t xml:space="preserve">3.3</w:t>
      </w:r>
      <w:r>
        <w:tab/>
      </w:r>
      <w:r>
        <w:t xml:space="preserve">Resultados</w:t>
      </w:r>
    </w:p>
    <w:bookmarkStart w:id="154" w:name="temporal"/>
    <w:p>
      <w:pPr>
        <w:pStyle w:val="Heading3"/>
      </w:pPr>
      <w:r>
        <w:rPr>
          <w:rStyle w:val="SectionNumber"/>
        </w:rPr>
        <w:t xml:space="preserve">3.3.1</w:t>
      </w:r>
      <w:r>
        <w:tab/>
      </w:r>
      <w:r>
        <w:t xml:space="preserve">Evolución temporal</w:t>
      </w:r>
    </w:p>
    <w:p>
      <w:pPr>
        <w:pStyle w:val="FirstParagraph"/>
      </w:pPr>
      <w:r>
        <w:t xml:space="preserve">A la derecha, la densidad de probabilidad de cada índice.</w:t>
      </w:r>
      <w:r>
        <w:t xml:space="preserve"> </w:t>
      </w:r>
      <w:r>
        <w:t xml:space="preserve">Las series están estandarizadas por el desvío estándard del SAM en cada nivel.</w:t>
      </w:r>
    </w:p>
    <w:p>
      <w:pPr>
        <w:pStyle w:val="CaptionedFigure"/>
      </w:pPr>
      <w:r>
        <w:drawing>
          <wp:inline>
            <wp:extent cx="5334000" cy="2667000"/>
            <wp:effectExtent b="0" l="0" r="0" t="0"/>
            <wp:docPr descr="Figure 3.6: Serie temporal de A-SAM y S-SAM en 50 hPa (panel a) y 700 hPa (panel b)." title="" id="127" name="Picture"/>
            <a:graphic>
              <a:graphicData uri="http://schemas.openxmlformats.org/drawingml/2006/picture">
                <pic:pic>
                  <pic:nvPicPr>
                    <pic:cNvPr descr="figures/30-sam/asymsam-timeseries-1.png" id="128" name="Picture"/>
                    <pic:cNvPicPr>
                      <a:picLocks noChangeArrowheads="1" noChangeAspect="1"/>
                    </pic:cNvPicPr>
                  </pic:nvPicPr>
                  <pic:blipFill>
                    <a:blip r:embed="rId1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29" w:name="fig:asymsam-timeseries"/>
      <w:bookmarkEnd w:id="129"/>
      <w:r>
        <w:t xml:space="preserve">Figure 3.6: Serie temporal de A-SAM y S-SAM en 50 hPa (panel a) y 700 hPa (panel b).</w:t>
      </w:r>
    </w:p>
    <w:p>
      <w:pPr>
        <w:pStyle w:val="BodyText"/>
      </w:pPr>
      <w:r>
        <w:t xml:space="preserve">Primero evaluamos la evolución temporal del A-SAM y S-SAM.</w:t>
      </w:r>
      <w:r>
        <w:t xml:space="preserve"> </w:t>
      </w:r>
      <w:r>
        <w:t xml:space="preserve">La Figura</w:t>
      </w:r>
      <w:r>
        <w:t xml:space="preserve"> </w:t>
      </w:r>
      <w:r>
        <w:t xml:space="preserve">3.6</w:t>
      </w:r>
      <w:r>
        <w:t xml:space="preserve"> </w:t>
      </w:r>
      <w:r>
        <w:t xml:space="preserve">muestra las series temporales en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región de la atmósfera, por lo que es razonable tomar un nivel como representativo de cada capa.</w:t>
      </w:r>
    </w:p>
    <w:p>
      <w:pPr>
        <w:pStyle w:val="BodyText"/>
      </w:pPr>
      <w:r>
        <w:t xml:space="preserve">La variabilidad mes a mes es evidente para ambos índices, con variaciones ruidosas en las frecuencias bajas.</w:t>
      </w:r>
    </w:p>
    <w:p>
      <w:pPr>
        <w:pStyle w:val="BodyText"/>
      </w:pPr>
      <w:r>
        <w:t xml:space="preserve">(ref:spectrum-cap) Espectro de cada serie temporal suavizada.</w:t>
      </w:r>
      <w:r>
        <w:t xml:space="preserve"> </w:t>
      </w:r>
      <w:r>
        <w:t xml:space="preserve">El sombreado indica el intervalo de confianza del 95% del espectro nulo calculado usando bootstrap tomando 5000 simulaciones de un modelo autoregresivo ajustado a los datos.</w:t>
      </w:r>
      <w:r>
        <w:t xml:space="preserve"> </w:t>
      </w:r>
      <w:r>
        <w:t xml:space="preserve">La línea gris indica la amplitud promedio teórica del modelo autoregresivo.</w:t>
      </w:r>
      <w:r>
        <w:t xml:space="preserve"> </w:t>
      </w:r>
      <w:r>
        <w:t xml:space="preserve">Para el período 1979 – 2022.</w:t>
      </w:r>
    </w:p>
    <w:p>
      <w:pPr>
        <w:pStyle w:val="CaptionedFigure"/>
      </w:pPr>
      <w:r>
        <w:drawing>
          <wp:inline>
            <wp:extent cx="5334000" cy="3556000"/>
            <wp:effectExtent b="0" l="0" r="0" t="0"/>
            <wp:docPr descr="Figure 3.7: (ref:spectrum-cap)" title="" id="131" name="Picture"/>
            <a:graphic>
              <a:graphicData uri="http://schemas.openxmlformats.org/drawingml/2006/picture">
                <pic:pic>
                  <pic:nvPicPr>
                    <pic:cNvPr descr="figures/30-sam/spectrum-1.png" id="132" name="Picture"/>
                    <pic:cNvPicPr>
                      <a:picLocks noChangeArrowheads="1" noChangeAspect="1"/>
                    </pic:cNvPicPr>
                  </pic:nvPicPr>
                  <pic:blipFill>
                    <a:blip r:embed="rId1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spectrum"/>
      <w:bookmarkEnd w:id="133"/>
      <w:r>
        <w:t xml:space="preserve">Figure 3.7: (ref:spectrum-cap)</w:t>
      </w:r>
    </w:p>
    <w:p>
      <w:pPr>
        <w:pStyle w:val="BodyText"/>
      </w:pPr>
      <w:r>
        <w:t xml:space="preserve">Los espectros de estas series temporales se muestran en la Figura</w:t>
      </w:r>
      <w:r>
        <w:t xml:space="preserve"> </w:t>
      </w:r>
      <w:r>
        <w:t xml:space="preserve">3.7</w:t>
      </w:r>
      <w:r>
        <w:t xml:space="preserve">.</w:t>
      </w:r>
      <w:r>
        <w:t xml:space="preserve"> </w:t>
      </w:r>
      <w:r>
        <w:t xml:space="preserve">El S-SAM estratosférico varía fuertemente con un periodo entre 10 y 30 meses (Fig.</w:t>
      </w:r>
      <w:r>
        <w:t xml:space="preserve"> </w:t>
      </w:r>
      <w:r>
        <w:t xml:space="preserve">3.7</w:t>
      </w:r>
      <w:r>
        <w:t xml:space="preserve"> </w:t>
      </w:r>
      <w:r>
        <w:t xml:space="preserve">a.3).</w:t>
      </w:r>
      <w:r>
        <w:t xml:space="preserve"> </w:t>
      </w:r>
      <w:r>
        <w:t xml:space="preserve">En el periodograma del S-SAM troposférico (Fig.</w:t>
      </w:r>
      <w:r>
        <w:t xml:space="preserve">3.7</w:t>
      </w:r>
      <w:r>
        <w:t xml:space="preserve"> </w:t>
      </w:r>
      <w:r>
        <w:t xml:space="preserve">b.3) se aprecia un pico local en un rango de frecuencias similar, aunque no es estadísticamente significativo.</w:t>
      </w:r>
      <w:r>
        <w:t xml:space="preserve"> </w:t>
      </w:r>
      <w:r>
        <w:t xml:space="preserve">Esta banda de periodicidad está alrededor del rango de periodicidad de la Oscilación Cuasi-Bienal (QBO, por su siglas en inglés,</w:t>
      </w:r>
      <w:r>
        <w:t xml:space="preserve"> </w:t>
      </w:r>
      <w:r>
        <w:t xml:space="preserve">Baldwin et al. (2001)</w:t>
      </w:r>
      <w:r>
        <w:t xml:space="preserve">) y es consistente con</w:t>
      </w:r>
      <w:r>
        <w:t xml:space="preserve"> </w:t>
      </w:r>
      <w:r>
        <w:t xml:space="preserve">(Vasconcellos et al., 2022)</w:t>
      </w:r>
      <w:r>
        <w:t xml:space="preserve">, quien encontró que el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3.8</w:t>
      </w:r>
      <w:r>
        <w:t xml:space="preserve"> </w:t>
      </w:r>
      <w:r>
        <w:t xml:space="preserve">muestra la correlación entre A-SAM y S-SAM en cada nivel para los retrasos cero y -1.</w:t>
      </w:r>
      <w:r>
        <w:t xml:space="preserve"> </w:t>
      </w:r>
      <w:r>
        <w:t xml:space="preserve">Los valores de las correlaciones instantáneas entre A-SAM y S-SAM son relativamente constantes en toda la troposfera, fluctuando entre 0.38 y 0.45.</w:t>
      </w:r>
      <w:r>
        <w:t xml:space="preserve"> </w:t>
      </w:r>
      <w:r>
        <w:t xml:space="preserve">Las correlaciones con desfase de un mes son igualmente constantes pero muy reducidas.</w:t>
      </w:r>
      <w:r>
        <w:t xml:space="preserve"> </w:t>
      </w:r>
      <w:r>
        <w:t xml:space="preserve">En la estratosfera, las correlaciones instantáneas caen a un mínimo de 0.28 en 20 hPa y luego aumentan nuevamente monotónicamente con la altura hasta el nivel más alto del reanálisis (aunque los resultados cerca de la parte superior de los modelos deben interpretarse con cuidado).</w:t>
      </w:r>
      <w:r>
        <w:t xml:space="preserve"> </w:t>
      </w:r>
      <w:r>
        <w:t xml:space="preserve">Al mismo tiempo, las correlaciones con un mes de defasaje aumentan con la altura.</w:t>
      </w:r>
      <w:r>
        <w:t xml:space="preserve"> </w:t>
      </w:r>
      <w:r>
        <w:t xml:space="preserve">Por lo tanto, el índice A-SAM estratosférico tiende a preceder al índice S-SAM.</w:t>
      </w:r>
    </w:p>
    <w:p>
      <w:pPr>
        <w:pStyle w:val="CaptionedFigure"/>
      </w:pPr>
      <w:r>
        <w:drawing>
          <wp:inline>
            <wp:extent cx="2772075" cy="2772075"/>
            <wp:effectExtent b="0" l="0" r="0" t="0"/>
            <wp:docPr descr="Figure 3.8: Correlación entre S-SAM y A-SAM en cada nivel instantáneas y con un mes de defasaje para el período 1979 – 2022." title="" id="135" name="Picture"/>
            <a:graphic>
              <a:graphicData uri="http://schemas.openxmlformats.org/drawingml/2006/picture">
                <pic:pic>
                  <pic:nvPicPr>
                    <pic:cNvPr descr="figures/30-sam/cor-lev-1.png" id="136" name="Picture"/>
                    <pic:cNvPicPr>
                      <a:picLocks noChangeArrowheads="1" noChangeAspect="1"/>
                    </pic:cNvPicPr>
                  </pic:nvPicPr>
                  <pic:blipFill>
                    <a:blip r:embed="rId134"/>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bookmarkStart w:id="137" w:name="fig:cor-lev"/>
      <w:bookmarkEnd w:id="137"/>
      <w:r>
        <w:t xml:space="preserve">Figure 3.8: Correlación entre S-SAM y A-SAM en cada nivel instantáneas y con un mes de defasaje para el período 1979 – 2022.</w:t>
      </w:r>
    </w:p>
    <w:p>
      <w:pPr>
        <w:pStyle w:val="CaptionedFigure"/>
      </w:pPr>
      <w:r>
        <w:drawing>
          <wp:inline>
            <wp:extent cx="5334000" cy="2667000"/>
            <wp:effectExtent b="0" l="0" r="0" t="0"/>
            <wp:docPr descr="Figure 3.9: Correlación cruzada entre niveles para el índice SAM (a), A-SAM (b) y S-SAM (c) para el período 1979 – 2022." title="" id="139" name="Picture"/>
            <a:graphic>
              <a:graphicData uri="http://schemas.openxmlformats.org/drawingml/2006/picture">
                <pic:pic>
                  <pic:nvPicPr>
                    <pic:cNvPr descr="figures/30-sam/cross-correlation-1.png" id="140" name="Picture"/>
                    <pic:cNvPicPr>
                      <a:picLocks noChangeArrowheads="1" noChangeAspect="1"/>
                    </pic:cNvPicPr>
                  </pic:nvPicPr>
                  <pic:blipFill>
                    <a:blip r:embed="rId1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41" w:name="fig:cross-correlation"/>
      <w:bookmarkEnd w:id="141"/>
      <w:r>
        <w:t xml:space="preserve">Figure 3.9: Correlación cruzada entre niveles para el índice SAM (a), A-SAM (b) y S-SAM (c) para el período 1979 – 2022.</w:t>
      </w:r>
    </w:p>
    <w:p>
      <w:pPr>
        <w:pStyle w:val="BodyText"/>
      </w:pPr>
      <w:r>
        <w:t xml:space="preserve">La Figura</w:t>
      </w:r>
      <w:r>
        <w:t xml:space="preserve"> </w:t>
      </w:r>
      <w:r>
        <w:t xml:space="preserve">3.9</w:t>
      </w:r>
      <w:r>
        <w:t xml:space="preserve"> </w:t>
      </w:r>
      <w:r>
        <w:t xml:space="preserve">muestra la correlación cruzada (lag cero) entre niveles para los índices SAM, A-SAM y S-SAM.</w:t>
      </w:r>
      <w:r>
        <w:t xml:space="preserve"> </w:t>
      </w:r>
      <w:r>
        <w:t xml:space="preserve">Para el SAM (Fig.</w:t>
      </w:r>
      <w:r>
        <w:t xml:space="preserve"> </w:t>
      </w:r>
      <w:r>
        <w:t xml:space="preserve">3.9</w:t>
      </w:r>
      <w:r>
        <w:t xml:space="preserve">a), los valores altos por debajo de 100 hPa reflejan la coherencia vertical en toda la troposfera.</w:t>
      </w:r>
      <w:r>
        <w:t xml:space="preserve"> </w:t>
      </w:r>
      <w:r>
        <w:t xml:space="preserve">Por encima de 100 hPa, la correlación entre niveles disminuye más rápidamente, lo que indica una variabilidad menos coherente.</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w:t>
      </w:r>
      <w:r>
        <w:t xml:space="preserve"> </w:t>
      </w:r>
      <w:r>
        <w:t xml:space="preserve">3.9</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El S-SAM estratosférico tiene una conexión con el S-SAM troposférico algo más intensa que el A-SAM estratosférico con el A-SAM troposférico.</w:t>
      </w:r>
    </w:p>
    <w:p>
      <w:pPr>
        <w:pStyle w:val="BodyText"/>
      </w:pPr>
      <w:r>
        <w:t xml:space="preserve">El sombreado indica el intervalo de confianza de 95%.</w:t>
      </w:r>
    </w:p>
    <w:p>
      <w:pPr>
        <w:pStyle w:val="CaptionedFigure"/>
      </w:pPr>
      <w:r>
        <w:drawing>
          <wp:inline>
            <wp:extent cx="5334000" cy="3556000"/>
            <wp:effectExtent b="0" l="0" r="0" t="0"/>
            <wp:docPr descr="Figure 3.10: Tendencias lineales (en desvio estandard por década) del SAM (columna a), A-SAM (columna b) y S-SAM (columna c) para cada nivel usando datos del todo el año (fila 1) y promedios estacionales (filas 2 a 5) para el período 1979 – 2022." title="" id="143" name="Picture"/>
            <a:graphic>
              <a:graphicData uri="http://schemas.openxmlformats.org/drawingml/2006/picture">
                <pic:pic>
                  <pic:nvPicPr>
                    <pic:cNvPr descr="figures/30-sam/trends-1.png" id="144"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5" w:name="fig:trends"/>
      <w:bookmarkEnd w:id="145"/>
      <w:r>
        <w:t xml:space="preserve">Figure 3.10: Tendencias lineales (en desvio estandard por década) del SAM (columna a), A-SAM (columna b) y S-SAM (columna c) para cada nivel usando datos del todo el año (fila 1) y promedios estacionales (filas 2 a 5) para el período 1979 – 2022.</w:t>
      </w:r>
    </w:p>
    <w:p>
      <w:pPr>
        <w:pStyle w:val="BodyText"/>
      </w:pPr>
      <w:r>
        <w:rPr>
          <w:bCs/>
          <w:b/>
        </w:rPr>
        <w:t xml:space="preserve">TODO: Acá hay algunos cambios al extender los índices hasta 2022. Hay que cambiar un poco el texto.</w:t>
      </w:r>
    </w:p>
    <w:p>
      <w:pPr>
        <w:pStyle w:val="BodyText"/>
      </w:pPr>
      <w:r>
        <w:t xml:space="preserve">Evaluamos las tendencias lineales para cada uno de los índices para el periodo 1979 – 2022 en cada nivel para el año completo y separado por trimestres (Fig.</w:t>
      </w:r>
      <w:r>
        <w:t xml:space="preserve"> </w:t>
      </w:r>
      <w:r>
        <w:t xml:space="preserve">3.10</w:t>
      </w:r>
      <w:r>
        <w:t xml:space="preserve">).</w:t>
      </w:r>
      <w:r>
        <w:t xml:space="preserve"> </w:t>
      </w:r>
      <w:r>
        <w:t xml:space="preserve">El índice SAM presenta una tendencia positiva estadísticamente significativa (Fig.</w:t>
      </w:r>
      <w:r>
        <w:t xml:space="preserve"> </w:t>
      </w:r>
      <w:r>
        <w:t xml:space="preserve">3.10</w:t>
      </w:r>
      <w:r>
        <w:t xml:space="preserve">a.1) en todos los niveles entre 1000 hPa y aproximadamente 50 hPa, con un máximo en 100 hPa.</w:t>
      </w:r>
      <w:r>
        <w:t xml:space="preserve"> </w:t>
      </w:r>
      <w:r>
        <w:t xml:space="preserve">Las tendencias estacionales (Fig.</w:t>
      </w:r>
      <w:r>
        <w:t xml:space="preserve"> </w:t>
      </w:r>
      <w:r>
        <w:t xml:space="preserve">3.10</w:t>
      </w:r>
      <w:r>
        <w:t xml:space="preserve"> </w:t>
      </w:r>
      <w:r>
        <w:t xml:space="preserve">columna a) indican que las tendencias son significativas sólo en verano y marginalmente en otoño.</w:t>
      </w:r>
      <w:r>
        <w:t xml:space="preserve"> </w:t>
      </w:r>
      <w:r>
        <w:t xml:space="preserve">Esto es consistente con los resultados de estudios previos, los cuales documentaron tendencias positivas en verano, menores en otoño y ninguna tendencia en las demás estaciones (por ejemplo,</w:t>
      </w:r>
      <w:r>
        <w:t xml:space="preserve"> </w:t>
      </w:r>
      <w:r>
        <w:t xml:space="preserve">Fogt and Marshall (2020)</w:t>
      </w:r>
      <w:r>
        <w:t xml:space="preserve"> </w:t>
      </w:r>
      <w:r>
        <w:t xml:space="preserve">y sus referencias) utilizando índices del SAM basados en la circulación en o cerca de superficie.</w:t>
      </w:r>
    </w:p>
    <w:p>
      <w:pPr>
        <w:pStyle w:val="BodyText"/>
      </w:pPr>
      <w:r>
        <w:t xml:space="preserve">Al separar la señal SAM en sus partes asimétrica y simétrica, no sólo podemos ver que estas tendencias se deben casi por completo al componente simétrico (comparar columnas b y c Figura</w:t>
      </w:r>
      <w:r>
        <w:t xml:space="preserve"> </w:t>
      </w:r>
      <w:r>
        <w:t xml:space="preserve">3.10</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la componente simétrica son más intensas (comparar la región sombreada en la Figura</w:t>
      </w:r>
      <w:r>
        <w:t xml:space="preserve"> </w:t>
      </w:r>
      <w:r>
        <w:t xml:space="preserve">3.10</w:t>
      </w:r>
      <w:r>
        <w:t xml:space="preserve">a.2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 SAM más simétrico.</w:t>
      </w:r>
      <w:r>
        <w:t xml:space="preserve"> </w:t>
      </w:r>
      <w:r>
        <w:t xml:space="preserve">Sin embargo, un S-SAM muy negativo con tendencia a un S-SAM menos negativo se traduciría en una tendencia positiva del S-SAM pero en una SAM más asimétrica.</w:t>
      </w:r>
    </w:p>
    <w:p>
      <w:pPr>
        <w:pStyle w:val="BodyText"/>
      </w:pPr>
      <w:r>
        <w:t xml:space="preserve">Linear trends (in percent per decade) of the variance explained by A-SAM and S-SAM at each level and for each trimester for the period 1979 – 2022.</w:t>
      </w:r>
      <w:r>
        <w:t xml:space="preserve"> </w:t>
      </w:r>
      <w:r>
        <w:t xml:space="preserve">Shading indicates the 95 confidence interval.</w:t>
      </w:r>
    </w:p>
    <w:p>
      <w:pPr>
        <w:pStyle w:val="CaptionedFigure"/>
      </w:pPr>
      <w:r>
        <w:drawing>
          <wp:inline>
            <wp:extent cx="3696101" cy="3696101"/>
            <wp:effectExtent b="0" l="0" r="0" t="0"/>
            <wp:docPr descr="Figure 3.11: Tendencias lineales (en )" title="" id="147" name="Picture"/>
            <a:graphic>
              <a:graphicData uri="http://schemas.openxmlformats.org/drawingml/2006/picture">
                <pic:pic>
                  <pic:nvPicPr>
                    <pic:cNvPr descr="figures/30-sam/r-squared-trend-1.png" id="148" name="Picture"/>
                    <pic:cNvPicPr>
                      <a:picLocks noChangeArrowheads="1" noChangeAspect="1"/>
                    </pic:cNvPicPr>
                  </pic:nvPicPr>
                  <pic:blipFill>
                    <a:blip r:embed="rId146"/>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bookmarkStart w:id="149" w:name="fig:r-squared-trend"/>
      <w:bookmarkEnd w:id="149"/>
      <w:r>
        <w:t xml:space="preserve">Figure 3.11: Tendencias lineales (en )</w:t>
      </w:r>
    </w:p>
    <w:p>
      <w:pPr>
        <w:pStyle w:val="BodyText"/>
      </w:pPr>
      <w:r>
        <w:rPr>
          <w:bCs/>
          <w:b/>
        </w:rPr>
        <w:t xml:space="preserve">TODO: Esta sección hay que cambiarla, creo. La evidencia ya era poca en el paper y agregando datos hasta 2022 se hace aún más complejo. Creo que hay que verlo con más cuidado. Especialmente al mirar las series temporales de r2 (Siguiente figura).</w:t>
      </w:r>
    </w:p>
    <w:p>
      <w:pPr>
        <w:pStyle w:val="BodyText"/>
      </w:pPr>
      <w:r>
        <w:t xml:space="preserve">Para estudiar la cuestión de si el SAM se está volviendo más o menos asimétrica, mostramos las tendencias de la varianza explicada de cada índice para cada trimestre en la Figura</w:t>
      </w:r>
      <w:r>
        <w:t xml:space="preserve"> </w:t>
      </w:r>
      <w:r>
        <w:t xml:space="preserve">3.11</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2022.</w:t>
      </w:r>
      <w:r>
        <w:t xml:space="preserve"> </w:t>
      </w:r>
      <w:r>
        <w:t xml:space="preserve">Fogt et al. (2012)</w:t>
      </w:r>
      <w:r>
        <w:t xml:space="preserve"> </w:t>
      </w:r>
      <w:r>
        <w:t xml:space="preserve">observó un cambio de una SAM más asimétrica antes de 1980 a una SAM más simétrica después de 1980, pero nuestro periodo de estudio (1979 – 2022) nos impide detectar ese cambio.</w:t>
      </w:r>
      <w:r>
        <w:t xml:space="preserve"> </w:t>
      </w:r>
      <w:r>
        <w:t xml:space="preserve">Sin embargo, debido a la naturaleza atípica de la componente asimétrico del SAM durante la DJF (Sección</w:t>
      </w:r>
      <w:r>
        <w:t xml:space="preserve"> </w:t>
      </w:r>
      <w:r>
        <w:t xml:space="preserve">3.2.1</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ure 3.12: (ref:r-squared-timeseries2-cap)" title="" id="151" name="Picture"/>
            <a:graphic>
              <a:graphicData uri="http://schemas.openxmlformats.org/drawingml/2006/picture">
                <pic:pic>
                  <pic:nvPicPr>
                    <pic:cNvPr descr="figures/30-sam/r-squared-timeseries2-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53" w:name="fig:r-squared-timeseries2"/>
      <w:bookmarkEnd w:id="153"/>
      <w:r>
        <w:t xml:space="preserve">Figure 3.12: (ref:r-squared-timeseries2-cap)</w:t>
      </w:r>
    </w:p>
    <w:bookmarkEnd w:id="154"/>
    <w:bookmarkStart w:id="168" w:name="spatial"/>
    <w:p>
      <w:pPr>
        <w:pStyle w:val="Heading3"/>
      </w:pPr>
      <w:r>
        <w:rPr>
          <w:rStyle w:val="SectionNumber"/>
        </w:rPr>
        <w:t xml:space="preserve">3.3.2</w:t>
      </w:r>
      <w:r>
        <w:tab/>
      </w:r>
      <w:r>
        <w:t xml:space="preserve">Patrones espaciales</w:t>
      </w:r>
    </w:p>
    <w:p>
      <w:pPr>
        <w:pStyle w:val="FirstParagraph"/>
      </w:pPr>
      <w:r>
        <w:t xml:space="preserve">(ref:2d-regr-cap) Regresión de altura geopotencial (metros) en 50 hPa (fila a) y 700 hPa (fila b) con el SAM (columna 1), A-SAM (columna 2) y S-SAM (columna 3) para el período 1979 – 2022.</w:t>
      </w:r>
      <w:r>
        <w:t xml:space="preserve"> </w:t>
      </w:r>
      <w:r>
        <w:t xml:space="preserve">Los puntos en panel b.2 indican la posición de los puntos de referencia usados por</w:t>
      </w:r>
      <w:r>
        <w:t xml:space="preserve"> </w:t>
      </w:r>
      <w:r>
        <w:t xml:space="preserve">Raphael (2004)</w:t>
      </w:r>
      <w:r>
        <w:t xml:space="preserve"> </w:t>
      </w:r>
      <w:r>
        <w:t xml:space="preserve">para calcular su índice de la onda zonal 3.</w:t>
      </w:r>
    </w:p>
    <w:p>
      <w:pPr>
        <w:pStyle w:val="CaptionedFigure"/>
      </w:pPr>
      <w:r>
        <w:drawing>
          <wp:inline>
            <wp:extent cx="5334000" cy="4445000"/>
            <wp:effectExtent b="0" l="0" r="0" t="0"/>
            <wp:docPr descr="Figure 3.13: (ref:2d-regr-cap)" title="" id="156" name="Picture"/>
            <a:graphic>
              <a:graphicData uri="http://schemas.openxmlformats.org/drawingml/2006/picture">
                <pic:pic>
                  <pic:nvPicPr>
                    <pic:cNvPr descr="figures/30-sam/2d-regr-1.png" id="157" name="Picture"/>
                    <pic:cNvPicPr>
                      <a:picLocks noChangeArrowheads="1" noChangeAspect="1"/>
                    </pic:cNvPicPr>
                  </pic:nvPicPr>
                  <pic:blipFill>
                    <a:blip r:embed="rId15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158" w:name="fig:2d-regr"/>
      <w:bookmarkEnd w:id="158"/>
      <w:r>
        <w:t xml:space="preserve">Figure 3.13: (ref:2d-regr-cap)</w:t>
      </w:r>
    </w:p>
    <w:p>
      <w:pPr>
        <w:pStyle w:val="BodyText"/>
      </w:pPr>
      <w:r>
        <w:t xml:space="preserve">A continuación calculamos la regresión espacial de las anomalías de altura geopotencial sobre los índices SAM, A-SAM y S-SAM en los niveles de 50 hPa y 700 hPa (Fig.</w:t>
      </w:r>
      <w:r>
        <w:t xml:space="preserve"> </w:t>
      </w:r>
      <w:r>
        <w:t xml:space="preserve">3.13</w:t>
      </w:r>
      <w:r>
        <w:t xml:space="preserve">).</w:t>
      </w:r>
      <w:r>
        <w:t xml:space="preserve"> </w:t>
      </w:r>
      <w:r>
        <w:t xml:space="preserve">Los coeficientes de regresión de la columna 1 de la Figura</w:t>
      </w:r>
      <w:r>
        <w:t xml:space="preserve"> </w:t>
      </w:r>
      <w:r>
        <w:t xml:space="preserve">3.13</w:t>
      </w:r>
      <w:r>
        <w:t xml:space="preserve"> </w:t>
      </w:r>
      <w:r>
        <w:t xml:space="preserve">se calcularon utilizando el índice del SAM.</w:t>
      </w:r>
      <w:r>
        <w:t xml:space="preserve"> </w:t>
      </w:r>
      <w:r>
        <w:t xml:space="preserve">Los coeficientes de regresión de las columnas 2 y 3 se calcularon mediante regresión múltiple utilizando los índices A-SAM y S-SAM al mismo tiempo, de manera que deben interpretarse como los patrones asociados a cada índice, eliminando la variabilidad (linealmente) explicada por el otro.</w:t>
      </w:r>
    </w:p>
    <w:p>
      <w:pPr>
        <w:pStyle w:val="BodyText"/>
      </w:pPr>
      <w:r>
        <w:t xml:space="preserve">En la estratosfera, el patrón espacial asociado al SAM está claramente dominado por un monopolo que no está centrada en el Polo Sur (Fig.</w:t>
      </w:r>
      <w:r>
        <w:t xml:space="preserve"> </w:t>
      </w:r>
      <w:r>
        <w:t xml:space="preserve">3.13</w:t>
      </w:r>
      <w:r>
        <w:t xml:space="preserve">a.1).</w:t>
      </w:r>
      <w:r>
        <w:t xml:space="preserve"> </w:t>
      </w:r>
      <w:r>
        <w:t xml:space="preserve">El patrón asociado a la parte asimétrica se caracteriza por una estructura de onda-1 con centros sobre el Pasaje de Drake en el Hemisferio Occidental y el Mar de Davis en el Hemisferio Oriental.</w:t>
      </w:r>
      <w:r>
        <w:t xml:space="preserve"> </w:t>
      </w:r>
      <w:r>
        <w:t xml:space="preserve">Este eje se alinea con el defasaje del monopolo del SAM.</w:t>
      </w:r>
      <w:r>
        <w:t xml:space="preserve"> </w:t>
      </w:r>
      <w:r>
        <w:t xml:space="preserve">Finalmente, el patrón asocaido al S-SAM, es un monopolo más simétrico aunque todavía no perfectamente centrado en el Polo Sur.</w:t>
      </w:r>
    </w:p>
    <w:p>
      <w:pPr>
        <w:pStyle w:val="BodyText"/>
      </w:pPr>
      <w:r>
        <w:t xml:space="preserve">En la troposfera, el patrón de regresión asociado al SAM muestra la ya conocida combinación de modo anular zonalmente simétrico con asimetrías zonales en forma de onda-3 (Fig.</w:t>
      </w:r>
      <w:r>
        <w:t xml:space="preserve"> </w:t>
      </w:r>
      <w:r>
        <w:t xml:space="preserve">3.13</w:t>
      </w:r>
      <w:r>
        <w:t xml:space="preserve">b.1,</w:t>
      </w:r>
      <w:r>
        <w:t xml:space="preserve"> </w:t>
      </w:r>
      <w:r>
        <w:t xml:space="preserve">(Fogt et al., 2012)</w:t>
      </w:r>
      <w:r>
        <w:t xml:space="preserve">).</w:t>
      </w:r>
      <w:r>
        <w:t xml:space="preserve"> </w:t>
      </w:r>
      <w:r>
        <w:t xml:space="preserve">Los patrones de regresión asociados a los índices A-SAM y S-SAM separan ambas estructuras correctamente.</w:t>
      </w:r>
      <w:r>
        <w:t xml:space="preserve"> </w:t>
      </w:r>
      <w:r>
        <w:t xml:space="preserve">El A-SAM se ve asociado a un patrón de onda 3 zonalmente asimétrico y de amplitud modulada; con mayor amplitud en hemisferio occidental y casi nula amplitud en el oriental.</w:t>
      </w:r>
      <w:r>
        <w:t xml:space="preserve"> </w:t>
      </w:r>
      <w:r>
        <w:t xml:space="preserve">El S-SAM, por su parte, se asocia a una estructura anular mucho más zonalmente simétrica que el SAM.</w:t>
      </w:r>
      <w:r>
        <w:t xml:space="preserve"> </w:t>
      </w:r>
      <w:r>
        <w:t xml:space="preserve">El patrón de onda-3 observado en la Figura</w:t>
      </w:r>
      <w:r>
        <w:t xml:space="preserve"> </w:t>
      </w:r>
      <w:r>
        <w:t xml:space="preserve">3.13</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el A-SAM (cor = 0.06 (CI: -0.01 – 0.13)).</w:t>
      </w:r>
      <w:r>
        <w:t xml:space="preserve"> </w:t>
      </w:r>
      <w:r>
        <w:t xml:space="preserve">Así, el índice A-SAM troposférico representa un desplazamiento zonal en la posición de la onda 3 climatológica.</w:t>
      </w:r>
    </w:p>
    <w:p>
      <w:pPr>
        <w:pStyle w:val="CaptionedFigure"/>
      </w:pPr>
      <w:r>
        <w:drawing>
          <wp:inline>
            <wp:extent cx="3696101" cy="2772075"/>
            <wp:effectExtent b="0" l="0" r="0" t="0"/>
            <wp:docPr descr="Figure 3.14: Amplitud (metros) de las ondas zonales de los patrones de regresión de altura geopotencial de la Figura 3.13 para ondas zonales con número de onda 0, 1, 2 y 3, donde el número de onda 0 representa la amplitud de la media zonal." title="" id="160" name="Picture"/>
            <a:graphic>
              <a:graphicData uri="http://schemas.openxmlformats.org/drawingml/2006/picture">
                <pic:pic>
                  <pic:nvPicPr>
                    <pic:cNvPr descr="figures/30-sam/wave-amplitude-1.png" id="161" name="Picture"/>
                    <pic:cNvPicPr>
                      <a:picLocks noChangeArrowheads="1" noChangeAspect="1"/>
                    </pic:cNvPicPr>
                  </pic:nvPicPr>
                  <pic:blipFill>
                    <a:blip r:embed="rId159"/>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2" w:name="fig:wave-amplitude"/>
      <w:bookmarkEnd w:id="162"/>
      <w:r>
        <w:t xml:space="preserve">Figure 3.14: Amplitud (metros) de las ondas zonales de los patrones de regresión de altura geopotencial de la Figura</w:t>
      </w:r>
      <w:r>
        <w:t xml:space="preserve"> </w:t>
      </w:r>
      <w:r>
        <w:t xml:space="preserve">3.13</w:t>
      </w:r>
      <w:r>
        <w:t xml:space="preserve"> </w:t>
      </w:r>
      <w:r>
        <w:t xml:space="preserve">para ondas zonales con número de onda 0, 1, 2 y 3, donde el número de onda 0 representa la amplitud de la media zonal.</w:t>
      </w:r>
    </w:p>
    <w:p>
      <w:pPr>
        <w:pStyle w:val="BodyText"/>
      </w:pPr>
      <w:r>
        <w:t xml:space="preserve">La amplitud de las ondas zonales con números de onda 0 a 3 en cada latitud a 50 hPa y 700 hPa se muestran en la Figura</w:t>
      </w:r>
      <w:r>
        <w:t xml:space="preserve"> </w:t>
      </w:r>
      <w:r>
        <w:t xml:space="preserve">3.14</w:t>
      </w:r>
      <w:r>
        <w:t xml:space="preserve">, donde el número de onda cero representa la amplitud de la media zonal.</w:t>
      </w:r>
      <w:r>
        <w:t xml:space="preserve"> </w:t>
      </w:r>
      <w:r>
        <w:t xml:space="preserve">Las amplitudes de las ondas zonales del patrón espacial descrito por el índice SAM (Fig.</w:t>
      </w:r>
      <w:r>
        <w:t xml:space="preserve"> </w:t>
      </w:r>
      <w:r>
        <w:t xml:space="preserve">3.14</w:t>
      </w:r>
      <w:r>
        <w:t xml:space="preserve"> </w:t>
      </w:r>
      <w:r>
        <w:t xml:space="preserve">columna a) están dominadas por la media zonal (número de onda 0) en ambos niveles.</w:t>
      </w:r>
      <w:r>
        <w:t xml:space="preserve"> </w:t>
      </w:r>
      <w:r>
        <w:t xml:space="preserve">Sin embargo, las ondas zonales son importantes, sobre todo al sur de 50ºS, con un número de onda 1 claramente dominante en 50 hPa (Fig.</w:t>
      </w:r>
      <w:r>
        <w:t xml:space="preserve"> </w:t>
      </w:r>
      <w:r>
        <w:t xml:space="preserve">3.14</w:t>
      </w:r>
      <w:r>
        <w:t xml:space="preserve">a.1) y una mezcla de ondas de amplitud similar en 700 hPa (Fig.</w:t>
      </w:r>
      <w:r>
        <w:t xml:space="preserve"> </w:t>
      </w:r>
      <w:r>
        <w:t xml:space="preserve">3.14</w:t>
      </w:r>
      <w:r>
        <w:t xml:space="preserve">a.2).</w:t>
      </w:r>
      <w:r>
        <w:t xml:space="preserve"> </w:t>
      </w:r>
      <w:r>
        <w:t xml:space="preserve">La Figura</w:t>
      </w:r>
      <w:r>
        <w:t xml:space="preserve"> </w:t>
      </w:r>
      <w:r>
        <w:t xml:space="preserve">3.14</w:t>
      </w:r>
      <w:r>
        <w:t xml:space="preserve"> </w:t>
      </w:r>
      <w:r>
        <w:t xml:space="preserve">columna b muestra que el A-SAM está dominado principalmente por la onda 1 en la estratosfera (Fig. @ref(fig:wave-amplitudeb.1), mientras que en la troposfera se explica por una combinación de ondas zonales 3 a 1 en nivel decreciente de importancia (Fig.</w:t>
      </w:r>
      <w:r>
        <w:t xml:space="preserve"> </w:t>
      </w:r>
      <w:r>
        <w:t xml:space="preserve">3.14</w:t>
      </w:r>
      <w:r>
        <w:t xml:space="preserve">b.2) con una amplitud despreciable de la media zonal.</w:t>
      </w:r>
      <w:r>
        <w:t xml:space="preserve"> </w:t>
      </w:r>
      <w:r>
        <w:t xml:space="preserve">Por otra parte, el S-SAM se explica casi en su totalidad por la media zonal en ambos niveles (Fig.</w:t>
      </w:r>
      <w:r>
        <w:t xml:space="preserve"> </w:t>
      </w:r>
      <w:r>
        <w:t xml:space="preserve">3.14</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15: Regresión de las anomalías mensuales de altura geopotencial promediada entre 65ºS y 45ºS (metros) y el índice A-SAM de 50 hPa (a) y 700 hPa (b) (niveles indicados en línea punteada) para el período 1979 – 2022." title="" id="164" name="Picture"/>
            <a:graphic>
              <a:graphicData uri="http://schemas.openxmlformats.org/drawingml/2006/picture">
                <pic:pic>
                  <pic:nvPicPr>
                    <pic:cNvPr descr="figures/30-sam/vertical-regression-1.png" id="165" name="Picture"/>
                    <pic:cNvPicPr>
                      <a:picLocks noChangeArrowheads="1" noChangeAspect="1"/>
                    </pic:cNvPicPr>
                  </pic:nvPicPr>
                  <pic:blipFill>
                    <a:blip r:embed="rId163"/>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6" w:name="fig:vertical-regression"/>
      <w:bookmarkEnd w:id="166"/>
      <w:r>
        <w:t xml:space="preserve">Figure 3.15: Regresión de las anomalías mensuales de altura geopotencial promediada entre 65ºS y 45ºS (metros) y el índice A-SAM de 50 hPa (a) y 700 hPa (b) (niveles indicados en línea punteada) para el período 1979 – 2022.</w:t>
      </w:r>
    </w:p>
    <w:p>
      <w:pPr>
        <w:pStyle w:val="BodyText"/>
      </w:pPr>
      <w:r>
        <w:t xml:space="preserve">Para analizar la estructura vertical de las anomalías de altura geopotencial asociadas al índice A-SAM, mostramos una sección transversal vertical de regresiones de anomalías de altura geopotencial promediadas entre 65ºS y 40ºS con el índice A-SAM de 50 hPa (Fig.</w:t>
      </w:r>
      <w:r>
        <w:t xml:space="preserve"> </w:t>
      </w:r>
      <w:r>
        <w:t xml:space="preserve">3.15</w:t>
      </w:r>
      <w:r>
        <w:t xml:space="preserve">a) y para el índice A-SAM de 700 hPa (Fig.</w:t>
      </w:r>
      <w:r>
        <w:t xml:space="preserve"> </w:t>
      </w:r>
      <w:r>
        <w:t xml:space="preserve">3.15</w:t>
      </w:r>
      <w:r>
        <w:t xml:space="preserve">b).</w:t>
      </w:r>
      <w:r>
        <w:t xml:space="preserve"> </w:t>
      </w:r>
      <w:r>
        <w:t xml:space="preserve">Las anomalías de altura geopotencial asociadas a el A-SAM estratosférico (Fig.</w:t>
      </w:r>
      <w:r>
        <w:t xml:space="preserve"> </w:t>
      </w:r>
      <w:r>
        <w:t xml:space="preserve">3.15</w:t>
      </w:r>
      <w:r>
        <w:t xml:space="preserve">a) están claramente limitadas a la estratosfera, lo que subraya el desacoplamiento entre el A-SAM estratosférico y el troposférico.</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w:t>
      </w:r>
      <w:r>
        <w:t xml:space="preserve"> </w:t>
      </w:r>
      <w:r>
        <w:t xml:space="preserve">3.15</w:t>
      </w:r>
      <w:r>
        <w:t xml:space="preserve">b) presenta señales significativas que se extienden hacia arriba hasta los niveles más altos del reanálisis.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Aunque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3.15</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3.15</w:t>
      </w:r>
      <w:r>
        <w:t xml:space="preserve">a.</w:t>
      </w:r>
      <w:r>
        <w:t xml:space="preserve"> </w:t>
      </w:r>
      <w:r>
        <w:t xml:space="preserve">Por el contrario, para cualquier índice troposférico (por debajo de 100 hPa), el resultado es muy similar al de la Figura</w:t>
      </w:r>
      <w:r>
        <w:t xml:space="preserve"> </w:t>
      </w:r>
      <w:r>
        <w:t xml:space="preserve">3.15</w:t>
      </w:r>
      <w:r>
        <w:t xml:space="preserve">b.</w:t>
      </w:r>
      <w:r>
        <w:t xml:space="preserve"> </w:t>
      </w:r>
      <w:r>
        <w:t xml:space="preserve">Los patrones cambian principalmente en amplitud (no se muestra).</w:t>
      </w:r>
    </w:p>
    <w:p>
      <w:pPr>
        <w:pStyle w:val="BodyText"/>
      </w:pPr>
      <w:r>
        <w:t xml:space="preserve">(ref:enso-cor-table-cap) Correlación entere los índices del SAM y el ONI.</w:t>
      </w:r>
      <w:r>
        <w:t xml:space="preserve"> </w:t>
      </w:r>
      <w:r>
        <w:t xml:space="preserve">En negrita, las correlaciones con p-valor ajustado por FDR menores a 0.01.</w:t>
      </w:r>
    </w:p>
    <w:p>
      <w:pPr>
        <w:pStyle w:val="TableCaption"/>
      </w:pPr>
      <w:bookmarkStart w:id="167" w:name="tab:enso-cor-table"/>
      <w:bookmarkEnd w:id="167"/>
      <w:r>
        <w:t xml:space="preserve">Table 3.1:</w:t>
      </w:r>
      <w:r>
        <w:t xml:space="preserve"> </w:t>
      </w:r>
      <w:r>
        <w:t xml:space="preserve">(ref:enso-cor-table-cap)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(0.813)</w:t>
            </w:r>
          </w:p>
        </w:tc>
      </w:tr>
    </w:tbl>
    <w:p>
      <w:pPr>
        <w:pStyle w:val="BodyText"/>
      </w:pPr>
      <w:r>
        <w:t xml:space="preserve">El patrón de la onda 3 de la Figura</w:t>
      </w:r>
      <w:r>
        <w:t xml:space="preserve"> </w:t>
      </w:r>
      <w:r>
        <w:t xml:space="preserve">3.13</w:t>
      </w:r>
      <w:r>
        <w:t xml:space="preserve">b.2 es muy similar al PSA</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el SAM y el ENSO (medido por el Índice del Niño Oceánico</w:t>
      </w:r>
      <w:r>
        <w:t xml:space="preserve"> </w:t>
      </w:r>
      <w:r>
        <w:t xml:space="preserve">(ONI, Bamston et al., 1997)</w:t>
      </w:r>
      <w:r>
        <w:t xml:space="preserve">) se muestra en la Tabla</w:t>
      </w:r>
      <w:r>
        <w:t xml:space="preserve"> </w:t>
      </w:r>
      <w:r>
        <w:t xml:space="preserve">3.1</w:t>
      </w:r>
      <w:r>
        <w:t xml:space="preserve"> </w:t>
      </w:r>
      <w:r>
        <w:t xml:space="preserve">para cada índice SAM y para cada trimestre y para todo el año.</w:t>
      </w:r>
      <w:r>
        <w:t xml:space="preserve"> </w:t>
      </w:r>
      <w:r>
        <w:t xml:space="preserve">Existe una correlación significativa entre SAM y ENSO que, cuando se divide en trimestres, sólo es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Incluso en los trimestres donde la correlación entre SAM y ENSO es esencialmente nula (MAM y JJA), la correlación parcial entre el A-SAM es mucho más alta; en MAM incluso es significativa al nivel del 95%.</w:t>
      </w:r>
      <w:r>
        <w:t xml:space="preserve"> </w:t>
      </w:r>
      <w:r>
        <w:t xml:space="preserve">El mismo análisis se realizó utilizando el Índice ENSO Multivariado</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68"/>
    <w:bookmarkEnd w:id="169"/>
    <w:bookmarkStart w:id="186" w:name="impacts"/>
    <w:p>
      <w:pPr>
        <w:pStyle w:val="Heading2"/>
      </w:pPr>
      <w:r>
        <w:rPr>
          <w:rStyle w:val="SectionNumber"/>
        </w:rPr>
        <w:t xml:space="preserve">3.4</w:t>
      </w:r>
      <w:r>
        <w:tab/>
      </w:r>
      <w:r>
        <w:t xml:space="preserve">Impactos</w:t>
      </w:r>
    </w:p>
    <w:p>
      <w:pPr>
        <w:pStyle w:val="FirstParagraph"/>
      </w:pPr>
      <w:r>
        <w:t xml:space="preserve">(ref:regr-air-season-cap) Regresión de las anomalías de temperatura a dos metros (Kelvin) con el índice SAM (columna a), A-SAM (columna b) y S-SAM (columna c) en cada trimestre para el período 1979 – 2022.</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0.6</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5334000" cy="7112000"/>
            <wp:effectExtent b="0" l="0" r="0" t="0"/>
            <wp:docPr descr="Figure 3.16: (ref:regr-air-season-cap)" title="" id="171" name="Picture"/>
            <a:graphic>
              <a:graphicData uri="http://schemas.openxmlformats.org/drawingml/2006/picture">
                <pic:pic>
                  <pic:nvPicPr>
                    <pic:cNvPr descr="figures/30-sam/regr-air-season-1.png" id="172" name="Picture"/>
                    <pic:cNvPicPr>
                      <a:picLocks noChangeArrowheads="1" noChangeAspect="1"/>
                    </pic:cNvPicPr>
                  </pic:nvPicPr>
                  <pic:blipFill>
                    <a:blip r:embed="rId17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bookmarkStart w:id="173" w:name="fig:regr-air-season"/>
      <w:bookmarkEnd w:id="173"/>
      <w:r>
        <w:t xml:space="preserve">Figure 3.16: (ref:regr-air-season-cap)</w:t>
      </w:r>
    </w:p>
    <w:p>
      <w:pPr>
        <w:pStyle w:val="BodyText"/>
      </w:pPr>
      <w:r>
        <w:t xml:space="preserve">Para evaluar las diferencias en los impactos asociados a los índices SAM, A-SAM y S-SAM, realizamos una regresión de la temperatura del aire y la precipitación a 2 metros sobre cada uno de los tres índices del SAM de 700 hPa.</w:t>
      </w:r>
      <w:r>
        <w:t xml:space="preserve"> </w:t>
      </w:r>
      <w:r>
        <w:t xml:space="preserve">Como se mostró en secciones anteriores, los tres índices son muy coherentes en la troposfera, por lo que seleccionamos este nivel para representar la circulación troposférica por compatibilidad con la literatura previa.</w:t>
      </w:r>
      <w:r>
        <w:t xml:space="preserve"> </w:t>
      </w:r>
      <w:r>
        <w:t xml:space="preserve">Las regresiones se realizaron sin quitarle la tendencia ni a las variables ni a los índices, pero calcular las regresiones con valores sin tendencias no cambia los resultados considerablemente (no se muestra).</w:t>
      </w:r>
    </w:p>
    <w:p>
      <w:pPr>
        <w:pStyle w:val="BodyText"/>
      </w:pPr>
      <w:r>
        <w:t xml:space="preserve">La Figura</w:t>
      </w:r>
      <w:r>
        <w:t xml:space="preserve"> </w:t>
      </w:r>
      <w:r>
        <w:t xml:space="preserve">3.16</w:t>
      </w:r>
      <w:r>
        <w:t xml:space="preserve"> </w:t>
      </w:r>
      <w:r>
        <w:t xml:space="preserve">muestra las regresiones con la temperatura a 2 metros.</w:t>
      </w:r>
      <w:r>
        <w:t xml:space="preserve"> </w:t>
      </w:r>
      <w:r>
        <w:t xml:space="preserve">En verano, los valores positivos del índice SAM (Fig.</w:t>
      </w:r>
      <w:r>
        <w:t xml:space="preserve"> </w:t>
      </w:r>
      <w:r>
        <w:t xml:space="preserve">3.16</w:t>
      </w:r>
      <w:r>
        <w:t xml:space="preserve">a.1) se asocian a anomalías negativas de temperatura cerca de la Antártida rodeadas por un anillo de anomalías positivas en las latitudes medias.</w:t>
      </w:r>
      <w:r>
        <w:t xml:space="preserve"> </w:t>
      </w:r>
      <w:r>
        <w:t xml:space="preserve">El anillo no es zonalmente simétrico, ya que hay cuatro máximos locales distintivos en torno a 30ºW, 120ºW, 150ºE y 90ºE respectivamente.</w:t>
      </w:r>
      <w:r>
        <w:t xml:space="preserve"> </w:t>
      </w:r>
      <w:r>
        <w:t xml:space="preserve">En los trópicos, las anomalías son negativas en el Pacífico ecuatorial, lo que concuerda con la correlación negativa entre SAM y ENSO observada en la Tabla</w:t>
      </w:r>
      <w:r>
        <w:t xml:space="preserve"> </w:t>
      </w:r>
      <w:r>
        <w:t xml:space="preserve">3.1</w:t>
      </w:r>
      <w:r>
        <w:t xml:space="preserve">.</w:t>
      </w:r>
      <w:r>
        <w:t xml:space="preserve"> </w:t>
      </w:r>
      <w:r>
        <w:t xml:space="preserve">Los paneles a.2 y a.3 de la Figura</w:t>
      </w:r>
      <w:r>
        <w:t xml:space="preserve"> </w:t>
      </w:r>
      <w:r>
        <w:t xml:space="preserve">3.16</w:t>
      </w:r>
      <w:r>
        <w:t xml:space="preserve"> </w:t>
      </w:r>
      <w:r>
        <w:t xml:space="preserve">muestran que tanto las anomalías zonales de este patrón como los altos valores en los trópcios están asociados principalmente al A-SAM y que el S-SAM está asociado a anomalías de temperatura más zonalmente simétricas en latitudes altas.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rPr>
          <w:bCs/>
          <w:b/>
        </w:rPr>
        <w:t xml:space="preserve">TODO: ¿Qué quisimo decir con esto?</w:t>
      </w:r>
      <w:r>
        <w:t xml:space="preserve"> </w:t>
      </w:r>
      <w:r>
        <w:t xml:space="preserve">Por otro lado, las anomalías de temperatura en el océano Índico, el sur de África y Australia están fuertemente relacionadas con A-SAM y no están presentes en el patrón de regresión con el SAM.</w:t>
      </w:r>
    </w:p>
    <w:p>
      <w:pPr>
        <w:pStyle w:val="BodyText"/>
      </w:pPr>
      <w:r>
        <w:t xml:space="preserve">En otoño, invierno y primavera (filas b, c, y d en la Figura</w:t>
      </w:r>
      <w:r>
        <w:t xml:space="preserve"> </w:t>
      </w:r>
      <w:r>
        <w:t xml:space="preserve">3.16</w:t>
      </w:r>
      <w:r>
        <w:t xml:space="preserve">) el SAM está asociado a un patrón de anomalías de temperatura zonalmente asimétrico en latitudes altas, con valores negativos sobre la Antártida y el Mar de Amundsen y positivas al sur de Nueva Zelanda y centradas en el pasaje de Drake que se extienden hasta la Patagonia.</w:t>
      </w:r>
      <w:r>
        <w:t xml:space="preserve"> </w:t>
      </w:r>
      <w:r>
        <w:t xml:space="preserve">Esto refleja la naturaleza más asimétrica del SAM durante estas estaciones en comparación al verano.</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general se observa que la señal sobre la Antártida está asociada al S-SAM (aunque estadísticamente significativa sólo en invierno), mientras que las anomalías sobre el Océano Antártico y latitudes más bajas se asocian al A-SAM.</w:t>
      </w:r>
      <w:r>
        <w:t xml:space="preserve"> </w:t>
      </w:r>
      <w:r>
        <w:t xml:space="preserve">En primavera, la señal tropical de A-SAM es similar a la del verano, revelando de nuevo la importancia del vínculo ENSO-A-SAM.</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el SAM a través del balance térmico del viento.</w:t>
      </w:r>
      <w:r>
        <w:t xml:space="preserve"> </w:t>
      </w:r>
      <w:r>
        <w:t xml:space="preserve">Por tanto, no es sorprendente verlo más claramente asociado al S-SAM.</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BodyText"/>
      </w:pPr>
      <w:r>
        <w:t xml:space="preserve">En gris, las zonas con valores faltantes.</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0.25</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4620126" cy="3696101"/>
            <wp:effectExtent b="0" l="0" r="0" t="0"/>
            <wp:docPr descr="Figure 3.17: Regresión de anomalías de precipitación (mm por día) con el SAM (a), A-SAM (b) y S-SAM (c) para el período 1979 – 2022." title="" id="175" name="Picture"/>
            <a:graphic>
              <a:graphicData uri="http://schemas.openxmlformats.org/drawingml/2006/picture">
                <pic:pic>
                  <pic:nvPicPr>
                    <pic:cNvPr descr="figures/30-sam/global-pp-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77" w:name="fig:global-pp"/>
      <w:bookmarkEnd w:id="177"/>
      <w:r>
        <w:t xml:space="preserve">Figure 3.17: Regresión de anomalías de precipitación (mm por día) con el SAM (a), A-SAM (b) y S-SAM (c) para el período 1979 – 2022.</w:t>
      </w:r>
    </w:p>
    <w:p>
      <w:pPr>
        <w:pStyle w:val="BodyText"/>
      </w:pPr>
      <w:r>
        <w:t xml:space="preserve">La Figura</w:t>
      </w:r>
      <w:r>
        <w:t xml:space="preserve"> </w:t>
      </w:r>
      <w:r>
        <w:t xml:space="preserve">3.17</w:t>
      </w:r>
      <w:r>
        <w:t xml:space="preserve"> </w:t>
      </w:r>
      <w:r>
        <w:t xml:space="preserve">muestra la regresión de los índices SAM con la precipitación para el hemisferio sur.</w:t>
      </w:r>
      <w:r>
        <w:t xml:space="preserve"> </w:t>
      </w:r>
      <w:r>
        <w:t xml:space="preserve">La señal de precipitación asociada a SAM (Fig.</w:t>
      </w:r>
      <w:r>
        <w:t xml:space="preserve"> </w:t>
      </w:r>
      <w:r>
        <w:t xml:space="preserve">3.17</w:t>
      </w:r>
      <w:r>
        <w:t xml:space="preserve">a) muestra en general una disminución de la precipitación en torno a los 45ºS, un ligero aumento de la precipitación en torno a los 30ºS y un aumento de la precipitación sobre la Antártida, un patrón descrito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3.17</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locales, las Figuras</w:t>
      </w:r>
      <w:r>
        <w:t xml:space="preserve"> </w:t>
      </w:r>
      <w:r>
        <w:t xml:space="preserve">3.18</w:t>
      </w:r>
      <w:r>
        <w:t xml:space="preserve"> </w:t>
      </w:r>
      <w:r>
        <w:t xml:space="preserve">y</w:t>
      </w:r>
      <w:r>
        <w:t xml:space="preserve"> </w:t>
      </w:r>
      <w:r>
        <w:t xml:space="preserve">3.19</w:t>
      </w:r>
      <w:r>
        <w:t xml:space="preserve"> </w:t>
      </w:r>
      <w:r>
        <w:t xml:space="preserve">muestran la regresión de los índices SAM con la precipitación media estacional y la altura geopotencial de 700 hPa para Nueva Zelanda e islas aledañas, y Sudamérica respectivamente.</w:t>
      </w:r>
      <w:r>
        <w:t xml:space="preserve"> </w:t>
      </w:r>
      <w:r>
        <w:t xml:space="preserve">No se muestra Sudáfrica porque allí no se detectó ninguna señal significativa.</w:t>
      </w:r>
    </w:p>
    <w:p>
      <w:pPr>
        <w:pStyle w:val="BodyText"/>
      </w:pPr>
      <w:r>
        <w:t xml:space="preserve">Nueva Zelanda e islas aledañas.</w:t>
      </w:r>
      <w:r>
        <w:t xml:space="preserve"> </w:t>
      </w:r>
      <w:r>
        <w:t xml:space="preserve">Áreas con puntos marcan regiones donde el p-valor es menor que 0.01 ajustado por FDR.</w:t>
      </w:r>
    </w:p>
    <w:p>
      <w:pPr>
        <w:pStyle w:val="CaptionedFigure"/>
      </w:pPr>
      <w:r>
        <w:drawing>
          <wp:inline>
            <wp:extent cx="5334000" cy="5778500"/>
            <wp:effectExtent b="0" l="0" r="0" t="0"/>
            <wp:docPr descr="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 title="" id="179" name="Picture"/>
            <a:graphic>
              <a:graphicData uri="http://schemas.openxmlformats.org/drawingml/2006/picture">
                <pic:pic>
                  <pic:nvPicPr>
                    <pic:cNvPr descr="figures/30-sam/pp-regr-oceania-1.png" id="180" name="Picture"/>
                    <pic:cNvPicPr>
                      <a:picLocks noChangeArrowheads="1" noChangeAspect="1"/>
                    </pic:cNvPicPr>
                  </pic:nvPicPr>
                  <pic:blipFill>
                    <a:blip r:embed="rId178"/>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bookmarkStart w:id="181" w:name="fig:pp-regr-oceania"/>
      <w:bookmarkEnd w:id="181"/>
      <w:r>
        <w:t xml:space="preserve">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w:t>
      </w:r>
    </w:p>
    <w:p>
      <w:pPr>
        <w:pStyle w:val="BodyText"/>
      </w:pPr>
      <w:r>
        <w:t xml:space="preserve">En Australia, la regresión anual muestra que el índice SAM está asociado con anomalías positivas de precipitación en la región sudeste (Fig.</w:t>
      </w:r>
      <w:r>
        <w:t xml:space="preserve"> </w:t>
      </w:r>
      <w:r>
        <w:t xml:space="preserve">3.18</w:t>
      </w:r>
      <w:r>
        <w:t xml:space="preserve">a.1), en acuerdo con</w:t>
      </w:r>
      <w:r>
        <w:t xml:space="preserve"> </w:t>
      </w:r>
      <w:r>
        <w:t xml:space="preserve">Gillett et al. (2006)</w:t>
      </w:r>
      <w:r>
        <w:t xml:space="preserve">.</w:t>
      </w:r>
      <w:r>
        <w:t xml:space="preserve"> </w:t>
      </w:r>
      <w:r>
        <w:t xml:space="preserve">La separación entre A-SAM y S-SAM sugiere que esta anomalía positiva se explica por el S-SAM sólo en la costa este (Fig.</w:t>
      </w:r>
      <w:r>
        <w:t xml:space="preserve"> </w:t>
      </w:r>
      <w:r>
        <w:t xml:space="preserve">3.18</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El A-SAM parece estar relacionado con anomalías positivas de precipitación en la costa oeste del sureste de Australia (Fig.</w:t>
      </w:r>
      <w:r>
        <w:t xml:space="preserve"> </w:t>
      </w:r>
      <w:r>
        <w:t xml:space="preserve">3.18</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 SAM positivo se asocia con anomalías positivas de precipitación en el este y centro de Australia (Fig.</w:t>
      </w:r>
      <w:r>
        <w:t xml:space="preserve"> </w:t>
      </w:r>
      <w:r>
        <w:t xml:space="preserve">3.18</w:t>
      </w:r>
      <w:r>
        <w:t xml:space="preserve">a.5).</w:t>
      </w:r>
      <w:r>
        <w:t xml:space="preserve"> </w:t>
      </w:r>
      <w:r>
        <w:t xml:space="preserve">En este trimestre, el S-SAM parece estar asociado con anomalías positivas de precipitación en un área relativamente reducida de la costa oriental (Fig.</w:t>
      </w:r>
      <w:r>
        <w:t xml:space="preserve"> </w:t>
      </w:r>
      <w:r>
        <w:t xml:space="preserve">3.18</w:t>
      </w:r>
      <w:r>
        <w:t xml:space="preserve">c.5) mientras que las anomalías positivas de precipitación relacionadas con A-SAM positivo afectan a todo el este de Australia (Fig.</w:t>
      </w:r>
      <w:r>
        <w:t xml:space="preserve"> </w:t>
      </w:r>
      <w:r>
        <w:t xml:space="preserve">3.18</w:t>
      </w:r>
      <w:r>
        <w:t xml:space="preserve">b.5).</w:t>
      </w:r>
    </w:p>
    <w:p>
      <w:pPr>
        <w:pStyle w:val="BodyText"/>
      </w:pPr>
      <w:r>
        <w:t xml:space="preserve">En verano, un índice SAM positivo se asocia con anomalías de precipitación positivas en Australia occidental y oriental, sobre todo en la región noreste (Fig.</w:t>
      </w:r>
      <w:r>
        <w:t xml:space="preserve"> </w:t>
      </w:r>
      <w:r>
        <w:t xml:space="preserve">3.18</w:t>
      </w:r>
      <w:r>
        <w:t xml:space="preserve">a.2).</w:t>
      </w:r>
      <w:r>
        <w:t xml:space="preserve"> </w:t>
      </w:r>
      <w:r>
        <w:t xml:space="preserve">La parte oriental está dominada por la relación con el S-SAM y la occidental, por el A-SAM.</w:t>
      </w:r>
      <w:r>
        <w:t xml:space="preserve"> </w:t>
      </w:r>
      <w:r>
        <w:t xml:space="preserve">En otoño, la regresión con el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3.18</w:t>
      </w:r>
      <w:r>
        <w:t xml:space="preserve">a.2 no muestra ninguna asociación estadísticamente significativa (aunque los coeficientes tienen un signo coherente).</w:t>
      </w:r>
    </w:p>
    <w:p>
      <w:pPr>
        <w:pStyle w:val="CaptionedFigure"/>
      </w:pPr>
      <w:r>
        <w:drawing>
          <wp:inline>
            <wp:extent cx="5334000" cy="6750843"/>
            <wp:effectExtent b="0" l="0" r="0" t="0"/>
            <wp:docPr descr="Figure 3.19: Igual que la Figura 3.18 pero para Sudamérica." title="" id="183" name="Picture"/>
            <a:graphic>
              <a:graphicData uri="http://schemas.openxmlformats.org/drawingml/2006/picture">
                <pic:pic>
                  <pic:nvPicPr>
                    <pic:cNvPr descr="figures/30-sam/pp-regr-america-1.png" id="184" name="Picture"/>
                    <pic:cNvPicPr>
                      <a:picLocks noChangeArrowheads="1" noChangeAspect="1"/>
                    </pic:cNvPicPr>
                  </pic:nvPicPr>
                  <pic:blipFill>
                    <a:blip r:embed="rId182"/>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bookmarkStart w:id="185" w:name="fig:pp-regr-america"/>
      <w:bookmarkEnd w:id="185"/>
      <w:r>
        <w:t xml:space="preserve">Figure 3.19: Igual que la Figura</w:t>
      </w:r>
      <w:r>
        <w:t xml:space="preserve"> </w:t>
      </w:r>
      <w:r>
        <w:t xml:space="preserve">3.18</w:t>
      </w:r>
      <w:r>
        <w:t xml:space="preserve"> </w:t>
      </w:r>
      <w:r>
        <w:t xml:space="preserve">pero para Sudamérica.</w:t>
      </w:r>
    </w:p>
    <w:p>
      <w:pPr>
        <w:pStyle w:val="BodyText"/>
      </w:pPr>
      <w:r>
        <w:t xml:space="preserve">En Sudamérica (Fig.</w:t>
      </w:r>
      <w:r>
        <w:t xml:space="preserve"> </w:t>
      </w:r>
      <w:r>
        <w:t xml:space="preserve">3.19</w:t>
      </w:r>
      <w:r>
        <w:t xml:space="preserve">), la regresión anual muestra que el SAM positivo está asociado a anomalías de precipitación negativas en el Sudeste de Sudamérica (SESA) y el sur de Chile, y anomalías positivas en el sur de Brasil, cerca de la Zona de Convergencia del Atlántico Sur (SACZ) (Fig.</w:t>
      </w:r>
      <w:r>
        <w:t xml:space="preserve"> </w:t>
      </w:r>
      <w:r>
        <w:t xml:space="preserve">3.19</w:t>
      </w:r>
      <w:r>
        <w:t xml:space="preserve">a.1).</w:t>
      </w:r>
      <w:r>
        <w:t xml:space="preserve"> </w:t>
      </w:r>
      <w:r>
        <w:t xml:space="preserve">Las figuras</w:t>
      </w:r>
      <w:r>
        <w:t xml:space="preserve"> </w:t>
      </w:r>
      <w:r>
        <w:t xml:space="preserve">3.19</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el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w:t>
      </w:r>
      <w:r>
        <w:t xml:space="preserve"> </w:t>
      </w:r>
      <w:r>
        <w:t xml:space="preserve">3.19</w:t>
      </w:r>
      <w:r>
        <w:t xml:space="preserve">c.1) indica un flujo anómalo del este sobre el sur de Chile.</w:t>
      </w:r>
      <w:r>
        <w:t xml:space="preserve"> </w:t>
      </w:r>
      <w:r>
        <w:t xml:space="preserve">Esto conduce a una menor advección de aire húmedo desde el Océano Pacífico, que es la principal fuente de agua precipitable en esa región</w:t>
      </w:r>
      <w:r>
        <w:t xml:space="preserve"> </w:t>
      </w:r>
      <w:r>
        <w:t xml:space="preserve">(Garreaud, 2007)</w:t>
      </w:r>
      <w:r>
        <w:t xml:space="preserve">.</w:t>
      </w:r>
      <w:r>
        <w:t xml:space="preserve"> </w:t>
      </w:r>
      <w:r>
        <w:t xml:space="preserve">Por otro lado, la circulación anómala asociada a valores positivos del A-SAM (Fig.</w:t>
      </w:r>
      <w:r>
        <w:t xml:space="preserve"> </w:t>
      </w:r>
      <w:r>
        <w:t xml:space="preserve">3.19</w:t>
      </w:r>
      <w:r>
        <w:t xml:space="preserve">b.1) en el Atlántico es anticiclónica al este y ciclónica al oeste de Sudamérica.</w:t>
      </w:r>
      <w:r>
        <w:t xml:space="preserve"> </w:t>
      </w:r>
      <w:r>
        <w:t xml:space="preserve">Esto promueve un flujo anómalo del sudeste sobre el SESA que inhibe el flujo del chorro de baja altura desde Sudamérica hacia la región</w:t>
      </w:r>
      <w:r>
        <w:t xml:space="preserve"> </w:t>
      </w:r>
      <w:r>
        <w:t xml:space="preserve">(Silvestri and Vera, 2009; Zamboni et al., 2010)</w:t>
      </w:r>
      <w:r>
        <w:t xml:space="preserve">.</w:t>
      </w:r>
      <w:r>
        <w:t xml:space="preserve"> </w:t>
      </w:r>
      <w:r>
        <w:t xml:space="preserve">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también observado en el análisis basado en estaciones de</w:t>
      </w:r>
      <w:r>
        <w:t xml:space="preserve"> </w:t>
      </w:r>
      <w:r>
        <w:t xml:space="preserve">Gillett et al. (2006)</w:t>
      </w:r>
      <w:r>
        <w:t xml:space="preserve">, que se explica por el A-SAM.</w:t>
      </w:r>
    </w:p>
    <w:p>
      <w:pPr>
        <w:pStyle w:val="BodyText"/>
      </w:pPr>
      <w:r>
        <w:t xml:space="preserve">Adentrar un poco más en la relación con el cEOF2</w:t>
      </w:r>
    </w:p>
    <w:bookmarkEnd w:id="186"/>
    <w:bookmarkEnd w:id="187"/>
    <w:bookmarkStart w:id="200" w:name="relación-con-otros-patrones"/>
    <w:p>
      <w:pPr>
        <w:pStyle w:val="Heading1"/>
      </w:pPr>
      <w:r>
        <w:rPr>
          <w:rStyle w:val="SectionNumber"/>
        </w:rPr>
        <w:t xml:space="preserve">4</w:t>
      </w:r>
      <w:r>
        <w:tab/>
      </w:r>
      <w:r>
        <w:t xml:space="preserve">Relación con otros patrones</w:t>
      </w:r>
    </w:p>
    <w:bookmarkStart w:id="192" w:name="sam"/>
    <w:p>
      <w:pPr>
        <w:pStyle w:val="Heading2"/>
      </w:pPr>
      <w:r>
        <w:rPr>
          <w:rStyle w:val="SectionNumber"/>
        </w:rPr>
        <w:t xml:space="preserve">4.1</w:t>
      </w:r>
      <w:r>
        <w:tab/>
      </w:r>
      <w:r>
        <w:t xml:space="preserve">SAM</w:t>
      </w:r>
    </w:p>
    <w:p>
      <w:pPr>
        <w:pStyle w:val="FirstParagraph"/>
      </w:pPr>
      <w:r>
        <w:t xml:space="preserve">(ref:sam-eof-vertical-cap) Coefficiente de determinación (</w:t>
      </w:r>
      <m:oMath>
        <m:sSup>
          <m:e>
            <m:r>
              <m:t>r</m:t>
            </m:r>
          </m:e>
          <m:sup>
            <m:r>
              <m:t>2</m:t>
            </m:r>
          </m:sup>
        </m:sSup>
      </m:oMath>
      <w:r>
        <w:t xml:space="preserve">) entre la fase de 0º (fila a) y 90º (fila b) de los cEOFs con el SAM, A-SAM y S-SAM para cada nivel durante el período 1979 – 2022.</w:t>
      </w:r>
      <w:r>
        <w:t xml:space="preserve"> </w:t>
      </w:r>
      <w:r>
        <w:t xml:space="preserve">Las líneas gruesas representan valores con p-valor menor a 0.01 ajustado por FDR.</w:t>
      </w:r>
    </w:p>
    <w:p>
      <w:pPr>
        <w:pStyle w:val="CaptionedFigure"/>
      </w:pPr>
      <w:r>
        <w:drawing>
          <wp:inline>
            <wp:extent cx="3041583" cy="3696101"/>
            <wp:effectExtent b="0" l="0" r="0" t="0"/>
            <wp:docPr descr="Figure 4.1: (ref:sam-eof-vertical-cap)" title="" id="189" name="Picture"/>
            <a:graphic>
              <a:graphicData uri="http://schemas.openxmlformats.org/drawingml/2006/picture">
                <pic:pic>
                  <pic:nvPicPr>
                    <pic:cNvPr descr="figures/40-sam-ceof/sam-eof-vertical-1.png" id="190" name="Picture"/>
                    <pic:cNvPicPr>
                      <a:picLocks noChangeArrowheads="1" noChangeAspect="1"/>
                    </pic:cNvPicPr>
                  </pic:nvPicPr>
                  <pic:blipFill>
                    <a:blip r:embed="rId188"/>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bookmarkStart w:id="191" w:name="fig:sam-eof-vertical"/>
      <w:bookmarkEnd w:id="191"/>
      <w:r>
        <w:t xml:space="preserve">Figure 4.1: (ref:sam-eof-vertical-cap)</w:t>
      </w:r>
    </w:p>
    <w:p>
      <w:pPr>
        <w:pStyle w:val="BodyText"/>
      </w:pPr>
      <w:r>
        <w:t xml:space="preserve">Ahora exploramos la relación entre SAM y los cEOFs, motivados por el parecido entre los mapas de regresión de los cEOFs y los patrones asociados al SAM.</w:t>
      </w:r>
      <w:r>
        <w:t xml:space="preserve"> </w:t>
      </w:r>
      <w:r>
        <w:t xml:space="preserve">Calculamos el coeficiente de determinación entre las series temporales de los cEOFs y los tres índices SAM (SAM, A-SAM y S-SAM) definidos en cada nivel vertical (Fig. </w:t>
      </w:r>
      <w:r>
        <w:t xml:space="preserve">4.1</w:t>
      </w:r>
      <w:r>
        <w:t xml:space="preserve">).</w:t>
      </w:r>
      <w:r>
        <w:t xml:space="preserve"> </w:t>
      </w:r>
      <w:r>
        <w:t xml:space="preserve">El índice SAM está correlacionado de forma estadísticamente significativa con la fase de 0º del cEOF1 en todos los niveles, y con la fase de 90º del cEOF1 y la fase de 90º del cEOF2 en la tropósfera.</w:t>
      </w:r>
      <w:r>
        <w:t xml:space="preserve"> </w:t>
      </w:r>
      <w:r>
        <w:t xml:space="preserve">Por otro lado, las correlaciones entre SAM y la fase de 0º del cEOF2 son prácticamente nulas.</w:t>
      </w:r>
    </w:p>
    <w:p>
      <w:pPr>
        <w:pStyle w:val="BodyText"/>
      </w:pPr>
      <w:r>
        <w:t xml:space="preserve">En la tropósfera la correlación de ambas fases del cEOF1 y el SAM es igual a su correlación con el S-SAM, y su correlación con el A-SAM es mucho más baja y no significativa.</w:t>
      </w:r>
      <w:r>
        <w:t xml:space="preserve"> </w:t>
      </w:r>
      <w:r>
        <w:t xml:space="preserve">Esto indica que la relación entre el SAM y el cEOF1 en la tropósfera se explica en su totalidad por la componente zonalmente simétrica del SAM.</w:t>
      </w:r>
      <w:r>
        <w:t xml:space="preserve"> </w:t>
      </w:r>
      <w:r>
        <w:t xml:space="preserve">En la estratosfera, la fase de 0º del cEOF1 está correlacionada tanto con la A-SAM como con la S-SAM, mientras que la fase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(Fig.</w:t>
      </w:r>
      <w:r>
        <w:t xml:space="preserve"> </w:t>
      </w:r>
      <w:r>
        <w:t xml:space="preserve">3.13</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El cEOF2 sólo tiene relación con el SAM en su fase de 90º y asociada a la parte asimétrica y únicamente en la tropósfera.</w:t>
      </w:r>
      <w:r>
        <w:t xml:space="preserve"> </w:t>
      </w:r>
      <w:r>
        <w:t xml:space="preserve">La correlación entre ambos índices es muy alta, con valores superiores al 75% de la varianza compartida en toda la tropósfera y un máximo de 94% en 225 hPa.</w:t>
      </w:r>
      <w:r>
        <w:t xml:space="preserve"> </w:t>
      </w:r>
      <w:r>
        <w:t xml:space="preserve">Esta altísima correlación es comparable a la correlación observada entre distintos índices del SAM (</w:t>
      </w:r>
      <w:r>
        <w:t xml:space="preserve">Ho et al. (2012)</w:t>
      </w:r>
      <w:r>
        <w:t xml:space="preserve">) y sugiere que esta fase es capaz de caracterizar la componente zonalmente asimétrica de la SAM prácticamente en su totalidad.</w:t>
      </w:r>
    </w:p>
    <w:bookmarkEnd w:id="192"/>
    <w:bookmarkStart w:id="198" w:name="psa"/>
    <w:p>
      <w:pPr>
        <w:pStyle w:val="Heading2"/>
      </w:pPr>
      <w:r>
        <w:rPr>
          <w:rStyle w:val="SectionNumber"/>
        </w:rPr>
        <w:t xml:space="preserve">4.2</w:t>
      </w:r>
      <w:r>
        <w:tab/>
      </w:r>
      <w:r>
        <w:t xml:space="preserve">PSA</w:t>
      </w:r>
    </w:p>
    <w:p>
      <w:pPr>
        <w:pStyle w:val="FirstParagraph"/>
      </w:pPr>
      <w:r>
        <w:t xml:space="preserve">(ref:psa-eof2-cap) Coeficiente de correlación entre las fases del cEOF2 y los modos PSA1 y PSA2 para el período 1979 – 2022.</w:t>
      </w:r>
      <w:r>
        <w:t xml:space="preserve"> </w:t>
      </w:r>
      <w:r>
        <w:t xml:space="preserve">Los intervalos de confianza de 95% se muestran en paréntesis.</w:t>
      </w:r>
      <w:r>
        <w:t xml:space="preserve"> </w:t>
      </w:r>
      <w:r>
        <w:t xml:space="preserve">Estimaciones con p-valor menor a 0.01 en negrita.</w:t>
      </w:r>
    </w:p>
    <w:p>
      <w:pPr>
        <w:pStyle w:val="TableCaption"/>
      </w:pPr>
      <w:bookmarkStart w:id="193" w:name="tab:psa-eof2"/>
      <w:bookmarkEnd w:id="193"/>
      <w:r>
        <w:t xml:space="preserve">Table 4.1:</w:t>
      </w:r>
      <w:r>
        <w:t xml:space="preserve"> </w:t>
      </w:r>
      <w:r>
        <w:t xml:space="preserve">(ref:psa-eof2-cap)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0.57 -- 0.86)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-0.48 -- 0.13)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 (CI: 0.02 -- 0.58)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 (CI: -0.7 -- -0.22)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-0.46 -- 0.14)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 (CI: -0.12 -- 0.48)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0.71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del PSA, estudiamos la relación entre ellos.</w:t>
      </w:r>
      <w:r>
        <w:t xml:space="preserve"> </w:t>
      </w:r>
      <w:r>
        <w:t xml:space="preserve">La tabla</w:t>
      </w:r>
      <w:r>
        <w:t xml:space="preserve"> </w:t>
      </w:r>
      <w:r>
        <w:t xml:space="preserve">4.1</w:t>
      </w:r>
      <w:r>
        <w:t xml:space="preserve"> </w:t>
      </w:r>
      <w:r>
        <w:t xml:space="preserve">muestra las correlaciones entre los dos índices del PSA y las series temporales para las fases de 0º y 90º del cEOF2.</w:t>
      </w:r>
      <w:r>
        <w:t xml:space="preserve"> </w:t>
      </w:r>
      <w:r>
        <w:t xml:space="preserve">Como se anticipaba visualmente la figura</w:t>
      </w:r>
      <w:r>
        <w:t xml:space="preserve"> </w:t>
      </w:r>
      <w:r>
        <w:t xml:space="preserve">2.6</w:t>
      </w:r>
      <w:r>
        <w:t xml:space="preserve">, en SON existe una gran correlación positiva entre el PSA1 y la fase de 90º y entre el PSA2 y la fase de 0º cEOF2.</w:t>
      </w:r>
      <w:r>
        <w:t xml:space="preserve"> </w:t>
      </w:r>
      <w:r>
        <w:t xml:space="preserve">Por otro lado, no existe una relación significativa entre el PSA1 y la fase de 0º ni entre el PSA2 y la fase de 90º cEOF2.</w:t>
      </w:r>
      <w:r>
        <w:t xml:space="preserve"> </w:t>
      </w:r>
      <w:r>
        <w:t xml:space="preserve">Estas relaciones también se mantienen en DJF, aunque no en los otros trimestres.</w:t>
      </w:r>
      <w:r>
        <w:t xml:space="preserve"> </w:t>
      </w:r>
      <w:r>
        <w:t xml:space="preserve">En consecuencia, cEOF2 representa bien tanto la estructura espacial como la evolución temporal de los modos PSA, por lo que es posible establecer una asociación entre sus dos fases y los dos modos del PSA.</w:t>
      </w:r>
      <w:r>
        <w:t xml:space="preserve"> </w:t>
      </w:r>
      <w:r>
        <w:t xml:space="preserve">Es decir, la elección de fase para cEOF2 que maximiza la relación entre ENSO y la fase de 90º del cEOF2, también maximiza la asociación entre los componentes de cEOF2 y los modos PSA (no mostrado).</w:t>
      </w:r>
    </w:p>
    <w:p>
      <w:pPr>
        <w:pStyle w:val="BodyText"/>
      </w:pPr>
      <w:r>
        <w:t xml:space="preserve">(ref:phase-histogram-cap) Histograma de la distribución de fases del cEOF2 para el periodo 1979 – 2022.</w:t>
      </w:r>
      <w:r>
        <w:t xml:space="preserve"> </w:t>
      </w:r>
      <w:r>
        <w:t xml:space="preserve">Los intervalos están centrados en 90º, 0º, -90º, -180º con un ancho del intervalo de 90º.</w:t>
      </w:r>
      <w:r>
        <w:t xml:space="preserve"> </w:t>
      </w:r>
      <w:r>
        <w:t xml:space="preserve">Las pequeñas líneas verticales cerca del eje horizontal marcan las observaciones.</w:t>
      </w:r>
    </w:p>
    <w:p>
      <w:pPr>
        <w:pStyle w:val="CaptionedFigure"/>
      </w:pPr>
      <w:r>
        <w:drawing>
          <wp:inline>
            <wp:extent cx="2435191" cy="2310063"/>
            <wp:effectExtent b="0" l="0" r="0" t="0"/>
            <wp:docPr descr="Figure 4.2: (ref:phase-histogram-cap)" title="" id="195" name="Picture"/>
            <a:graphic>
              <a:graphicData uri="http://schemas.openxmlformats.org/drawingml/2006/picture">
                <pic:pic>
                  <pic:nvPicPr>
                    <pic:cNvPr descr="figures/40-sam-ceof/phase-histogram-1.png" id="196" name="Picture"/>
                    <pic:cNvPicPr>
                      <a:picLocks noChangeArrowheads="1" noChangeAspect="1"/>
                    </pic:cNvPicPr>
                  </pic:nvPicPr>
                  <pic:blipFill>
                    <a:blip r:embed="rId194"/>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bookmarkStart w:id="197" w:name="fig:phase-histogram"/>
      <w:bookmarkEnd w:id="197"/>
      <w:r>
        <w:t xml:space="preserve">Figure 4.2: (ref:phase-histogram-cap)</w:t>
      </w:r>
    </w:p>
    <w:p>
      <w:pPr>
        <w:pStyle w:val="BodyText"/>
      </w:pPr>
      <w:r>
        <w:t xml:space="preserve">La Figura</w:t>
      </w:r>
      <w:r>
        <w:t xml:space="preserve"> </w:t>
      </w:r>
      <w:r>
        <w:t xml:space="preserve">4.2</w:t>
      </w:r>
      <w:r>
        <w:t xml:space="preserve"> </w:t>
      </w:r>
      <w:r>
        <w:t xml:space="preserve">muestra un histograma para cada trimestre con la distribución de la fase del cEOF2 con las observaciones marcadas con líneas verticales en el eje horizontal.</w:t>
      </w:r>
      <w:r>
        <w:t xml:space="preserve"> </w:t>
      </w:r>
      <w:r>
        <w:t xml:space="preserve">En SON (panel 4), el cEOF2 tiene una fase similar a</w:t>
      </w:r>
      <w:r>
        <w:t xml:space="preserve"> </w:t>
      </w:r>
      <m:oMath>
        <m:r>
          <m:rPr>
            <m:sty m:val="p"/>
          </m:rPr>
          <m:t>±</m:t>
        </m:r>
      </m:oMath>
      <w:r>
        <w:t xml:space="preserve"> </w:t>
      </w:r>
      <w:r>
        <w:t xml:space="preserve">90º un 61% de los años, indicando que es la fase más común.</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198"/>
    <w:bookmarkStart w:id="199" w:name="enso"/>
    <w:p>
      <w:pPr>
        <w:pStyle w:val="Heading2"/>
      </w:pPr>
      <w:r>
        <w:rPr>
          <w:rStyle w:val="SectionNumber"/>
        </w:rPr>
        <w:t xml:space="preserve">4.3</w:t>
      </w:r>
      <w:r>
        <w:tab/>
      </w:r>
      <w:r>
        <w:t xml:space="preserve">ENSO</w:t>
      </w:r>
    </w:p>
    <w:p>
      <w:pPr>
        <w:pStyle w:val="FirstParagraph"/>
      </w:pPr>
      <w:r>
        <w:rPr>
          <w:bCs/>
          <w:b/>
        </w:rPr>
        <w:t xml:space="preserve">TODO: Cambiar la nomenclatura de real e imaginaria a fase de 0º y 90º.</w:t>
      </w:r>
    </w:p>
    <w:bookmarkEnd w:id="199"/>
    <w:bookmarkEnd w:id="200"/>
    <w:bookmarkStart w:id="248" w:name="X644928d5239fe9e8fb7e02bc44d1d49aab37276"/>
    <w:p>
      <w:pPr>
        <w:pStyle w:val="Heading1"/>
      </w:pPr>
      <w:r>
        <w:rPr>
          <w:rStyle w:val="SectionNumber"/>
        </w:rPr>
        <w:t xml:space="preserve">5</w:t>
      </w:r>
      <w:r>
        <w:tab/>
      </w:r>
      <w:r>
        <w:t xml:space="preserve">Análisis de estos modos en los modelos de CMIP6</w:t>
      </w:r>
    </w:p>
    <w:bookmarkStart w:id="202" w:name="métodos"/>
    <w:p>
      <w:pPr>
        <w:pStyle w:val="Heading2"/>
      </w:pPr>
      <w:r>
        <w:rPr>
          <w:rStyle w:val="SectionNumber"/>
        </w:rPr>
        <w:t xml:space="preserve">5.1</w:t>
      </w:r>
      <w:r>
        <w:tab/>
      </w:r>
      <w:r>
        <w:t xml:space="preserve">Métodos</w:t>
      </w:r>
    </w:p>
    <w:p>
      <w:pPr>
        <w:pStyle w:val="TableCaption"/>
      </w:pPr>
      <w:bookmarkStart w:id="201" w:name="tab:modelos"/>
      <w:bookmarkEnd w:id="201"/>
      <w:r>
        <w:t xml:space="preserve">Table 5.1: Modelos analizados y la cantidad de miembros para cada experimento.</w:t>
      </w:r>
    </w:p>
    <w:tbl>
      <w:tblPr>
        <w:tblStyle w:val="Table"/>
        <w:tblW w:type="pct" w:w="5000"/>
        <w:tblLook w:firstRow="1" w:lastRow="0" w:firstColumn="0" w:lastColumn="0" w:noHBand="0" w:noVBand="0" w:val="0020"/>
        <w:tblCaption w:val="Table 5.1: Modelos analizados y la cantidad de miembros para cada experimento."/>
      </w:tblPr>
      <w:tblGrid>
        <w:gridCol w:w="4993"/>
        <w:gridCol w:w="631"/>
        <w:gridCol w:w="516"/>
        <w:gridCol w:w="516"/>
        <w:gridCol w:w="516"/>
        <w:gridCol w:w="746"/>
      </w:tblGrid>
      <w:tr>
        <w:trPr>
          <w:tblHeader w:val="true"/>
        </w:trPr>
        <w:tc>
          <w:tcPr/>
          <w:p>
            <w:pPr>
              <w:pStyle w:val="Compact"/>
              <w:jc w:val="left"/>
            </w:pPr>
            <w:r>
              <w:t xml:space="preserve">Modelo</w:t>
            </w:r>
          </w:p>
        </w:tc>
        <w:tc>
          <w:tcPr/>
          <w:p>
            <w:pPr>
              <w:pStyle w:val="Compact"/>
              <w:jc w:val="right"/>
            </w:pPr>
            <w:r>
              <w:t xml:space="preserve">historical</w:t>
            </w:r>
          </w:p>
        </w:tc>
        <w:tc>
          <w:tcPr/>
          <w:p>
            <w:pPr>
              <w:pStyle w:val="Compact"/>
              <w:jc w:val="right"/>
            </w:pPr>
            <w:r>
              <w:t xml:space="preserve">hist-GHG</w:t>
            </w:r>
          </w:p>
        </w:tc>
        <w:tc>
          <w:tcPr/>
          <w:p>
            <w:pPr>
              <w:pStyle w:val="Compact"/>
              <w:jc w:val="right"/>
            </w:pPr>
            <w:r>
              <w:t xml:space="preserve">hist-nat</w:t>
            </w:r>
          </w:p>
        </w:tc>
        <w:tc>
          <w:tcPr/>
          <w:p>
            <w:pPr>
              <w:pStyle w:val="Compact"/>
              <w:jc w:val="right"/>
            </w:pPr>
            <w:r>
              <w:t xml:space="preserve">hist-aer</w:t>
            </w:r>
          </w:p>
        </w:tc>
        <w:tc>
          <w:tcPr/>
          <w:p>
            <w:pPr>
              <w:pStyle w:val="Compact"/>
              <w:jc w:val="right"/>
            </w:pPr>
            <w:r>
              <w:t xml:space="preserve">hist-stratO3</w:t>
            </w:r>
          </w:p>
        </w:tc>
      </w:tr>
      <w:tr>
        <w:tc>
          <w:tcPr/>
          <w:p>
            <w:pPr>
              <w:pStyle w:val="Compact"/>
              <w:jc w:val="left"/>
            </w:pPr>
            <w:r>
              <w:t xml:space="preserve">AWI-CM-1-1-MR</w:t>
            </w:r>
            <w:r>
              <w:t xml:space="preserve"> </w:t>
            </w:r>
            <w:r>
              <w:t xml:space="preserve">(Semmler et al., 2018)</w:t>
            </w:r>
          </w:p>
        </w:tc>
        <w:tc>
          <w:tcPr/>
          <w:p>
            <w:pPr>
              <w:pStyle w:val="Compact"/>
              <w:jc w:val="right"/>
            </w:pPr>
            <w:r>
              <w:t xml:space="preserve">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FGOALS-g3</w:t>
            </w:r>
            <w:r>
              <w:t xml:space="preserve"> </w:t>
            </w:r>
            <w:r>
              <w:t xml:space="preserve">(Li, 2019, 2020)</w:t>
            </w:r>
          </w:p>
        </w:tc>
        <w:tc>
          <w:tcPr/>
          <w:p>
            <w:pPr>
              <w:pStyle w:val="Compact"/>
              <w:jc w:val="right"/>
            </w:pPr>
            <w:r>
              <w:t xml:space="preserve">12</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CanESM5</w:t>
            </w:r>
            <w:r>
              <w:t xml:space="preserve"> </w:t>
            </w:r>
            <w:r>
              <w:t xml:space="preserve">(Swart et al., 2019a, 2019b)</w:t>
            </w:r>
          </w:p>
        </w:tc>
        <w:tc>
          <w:tcPr/>
          <w:p>
            <w:pPr>
              <w:pStyle w:val="Compact"/>
              <w:jc w:val="right"/>
            </w:pPr>
            <w:r>
              <w:t xml:space="preserve">50</w:t>
            </w:r>
          </w:p>
        </w:tc>
        <w:tc>
          <w:tcPr/>
          <w:p>
            <w:pPr>
              <w:pStyle w:val="Compact"/>
              <w:jc w:val="right"/>
            </w:pPr>
            <w:r>
              <w:t xml:space="preserve">50</w:t>
            </w:r>
          </w:p>
        </w:tc>
        <w:tc>
          <w:tcPr/>
          <w:p>
            <w:pPr>
              <w:pStyle w:val="Compact"/>
              <w:jc w:val="right"/>
            </w:pPr>
            <w:r>
              <w:t xml:space="preserve">50</w:t>
            </w:r>
          </w:p>
        </w:tc>
        <w:tc>
          <w:tcPr/>
          <w:p>
            <w:pPr>
              <w:pStyle w:val="Compact"/>
              <w:jc w:val="right"/>
            </w:pPr>
            <w:r>
              <w:t xml:space="preserve">10</w:t>
            </w:r>
          </w:p>
        </w:tc>
        <w:tc>
          <w:tcPr/>
          <w:p>
            <w:pPr>
              <w:pStyle w:val="Compact"/>
              <w:jc w:val="right"/>
            </w:pPr>
            <w:r>
              <w:t xml:space="preserve">10</w:t>
            </w:r>
          </w:p>
        </w:tc>
      </w:tr>
      <w:tr>
        <w:tc>
          <w:tcPr/>
          <w:p>
            <w:pPr>
              <w:pStyle w:val="Compact"/>
              <w:jc w:val="left"/>
            </w:pPr>
            <w:r>
              <w:t xml:space="preserve">CNRM-CM6-1</w:t>
            </w:r>
            <w:r>
              <w:t xml:space="preserve"> </w:t>
            </w:r>
            <w:r>
              <w:t xml:space="preserve">(Voldoire, 2018, 2019)</w:t>
            </w:r>
          </w:p>
        </w:tc>
        <w:tc>
          <w:tcPr/>
          <w:p>
            <w:pPr>
              <w:pStyle w:val="Compact"/>
              <w:jc w:val="right"/>
            </w:pPr>
            <w:r>
              <w:t xml:space="preserve">60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0</w:t>
            </w:r>
          </w:p>
        </w:tc>
      </w:tr>
      <w:tr>
        <w:tc>
          <w:tcPr/>
          <w:p>
            <w:pPr>
              <w:pStyle w:val="Compact"/>
              <w:jc w:val="left"/>
            </w:pPr>
            <w:r>
              <w:t xml:space="preserve">CNRM-ESM2-1</w:t>
            </w:r>
            <w:r>
              <w:t xml:space="preserve"> </w:t>
            </w:r>
            <w:r>
              <w:t xml:space="preserve">(Seferian, 2018)</w:t>
            </w:r>
          </w:p>
        </w:tc>
        <w:tc>
          <w:tcPr/>
          <w:p>
            <w:pPr>
              <w:pStyle w:val="Compact"/>
              <w:jc w:val="right"/>
            </w:pPr>
            <w:r>
              <w:t xml:space="preserve">21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ACCESS-ESM1-5</w:t>
            </w:r>
            <w:r>
              <w:t xml:space="preserve"> </w:t>
            </w:r>
            <w:r>
              <w:t xml:space="preserve">(Ziehn et al., 2019, 2020)</w:t>
            </w:r>
          </w:p>
        </w:tc>
        <w:tc>
          <w:tcPr/>
          <w:p>
            <w:pPr>
              <w:pStyle w:val="Compact"/>
              <w:jc w:val="right"/>
            </w:pPr>
            <w:r>
              <w:t xml:space="preserve">80</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ACCESS-CM2</w:t>
            </w:r>
            <w:r>
              <w:t xml:space="preserve"> </w:t>
            </w:r>
            <w:r>
              <w:t xml:space="preserve">(Dix et al., 2019, 2020)</w:t>
            </w:r>
          </w:p>
        </w:tc>
        <w:tc>
          <w:tcPr/>
          <w:p>
            <w:pPr>
              <w:pStyle w:val="Compact"/>
              <w:jc w:val="right"/>
            </w:pPr>
            <w:r>
              <w:t xml:space="preserve">10</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IPSL-CM6A-LR</w:t>
            </w:r>
            <w:r>
              <w:t xml:space="preserve"> </w:t>
            </w:r>
            <w:r>
              <w:t xml:space="preserve">(Boucher et al., 2018a, 2018b)</w:t>
            </w:r>
          </w:p>
        </w:tc>
        <w:tc>
          <w:tcPr/>
          <w:p>
            <w:pPr>
              <w:pStyle w:val="Compact"/>
              <w:jc w:val="right"/>
            </w:pPr>
            <w:r>
              <w:t xml:space="preserve">66</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left"/>
            </w:pPr>
            <w:r>
              <w:t xml:space="preserve">MIROC6</w:t>
            </w:r>
            <w:r>
              <w:t xml:space="preserve"> </w:t>
            </w:r>
            <w:r>
              <w:t xml:space="preserve">(Tatebe and Watanabe, 2018; Shiogama, 2019)</w:t>
            </w:r>
          </w:p>
        </w:tc>
        <w:tc>
          <w:tcPr/>
          <w:p>
            <w:pPr>
              <w:pStyle w:val="Compact"/>
              <w:jc w:val="right"/>
            </w:pPr>
            <w:r>
              <w:t xml:space="preserve">100</w:t>
            </w:r>
          </w:p>
        </w:tc>
        <w:tc>
          <w:tcPr/>
          <w:p>
            <w:pPr>
              <w:pStyle w:val="Compact"/>
              <w:jc w:val="right"/>
            </w:pPr>
            <w:r>
              <w:t xml:space="preserve">50</w:t>
            </w:r>
          </w:p>
        </w:tc>
        <w:tc>
          <w:tcPr/>
          <w:p>
            <w:pPr>
              <w:pStyle w:val="Compact"/>
              <w:jc w:val="right"/>
            </w:pPr>
            <w:r>
              <w:t xml:space="preserve">50</w:t>
            </w:r>
          </w:p>
        </w:tc>
        <w:tc>
          <w:tcPr/>
          <w:p>
            <w:pPr>
              <w:pStyle w:val="Compact"/>
              <w:jc w:val="right"/>
            </w:pPr>
            <w:r>
              <w:t xml:space="preserve">3</w:t>
            </w:r>
          </w:p>
        </w:tc>
        <w:tc>
          <w:tcPr/>
          <w:p>
            <w:pPr>
              <w:pStyle w:val="Compact"/>
              <w:jc w:val="right"/>
            </w:pPr>
            <w:r>
              <w:t xml:space="preserve">10</w:t>
            </w:r>
          </w:p>
        </w:tc>
      </w:tr>
      <w:tr>
        <w:tc>
          <w:tcPr/>
          <w:p>
            <w:pPr>
              <w:pStyle w:val="Compact"/>
              <w:jc w:val="left"/>
            </w:pPr>
            <w:r>
              <w:t xml:space="preserve">HadGEM3-GC31-LL</w:t>
            </w:r>
            <w:r>
              <w:t xml:space="preserve"> </w:t>
            </w:r>
            <w:r>
              <w:t xml:space="preserve">(Ridley et al., 2018; Jones, 2019)</w:t>
            </w:r>
          </w:p>
        </w:tc>
        <w:tc>
          <w:tcPr/>
          <w:p>
            <w:pPr>
              <w:pStyle w:val="Compact"/>
              <w:jc w:val="right"/>
            </w:pPr>
            <w:r>
              <w:t xml:space="preserve">10</w:t>
            </w:r>
          </w:p>
        </w:tc>
        <w:tc>
          <w:tcPr/>
          <w:p>
            <w:pPr>
              <w:pStyle w:val="Compact"/>
              <w:jc w:val="right"/>
            </w:pPr>
            <w:r>
              <w:t xml:space="preserve">5</w:t>
            </w:r>
          </w:p>
        </w:tc>
        <w:tc>
          <w:tcPr/>
          <w:p>
            <w:pPr>
              <w:pStyle w:val="Compact"/>
              <w:jc w:val="right"/>
            </w:pPr>
            <w:r>
              <w:t xml:space="preserve">10</w:t>
            </w:r>
          </w:p>
        </w:tc>
        <w:tc>
          <w:tcPr/>
          <w:p>
            <w:pPr>
              <w:pStyle w:val="Compact"/>
              <w:jc w:val="right"/>
            </w:pPr>
            <w:r>
              <w:t xml:space="preserve">4</w:t>
            </w:r>
          </w:p>
        </w:tc>
        <w:tc>
          <w:tcPr/>
          <w:p>
            <w:pPr>
              <w:pStyle w:val="Compact"/>
              <w:jc w:val="right"/>
            </w:pPr>
            <w:r>
              <w:t xml:space="preserve">0</w:t>
            </w:r>
          </w:p>
        </w:tc>
      </w:tr>
      <w:tr>
        <w:tc>
          <w:tcPr/>
          <w:p>
            <w:pPr>
              <w:pStyle w:val="Compact"/>
              <w:jc w:val="left"/>
            </w:pPr>
            <w:r>
              <w:t xml:space="preserve">UKESM1-0-LL</w:t>
            </w:r>
            <w:r>
              <w:t xml:space="preserve"> </w:t>
            </w:r>
            <w:r>
              <w:t xml:space="preserve">(Tang et al., 2019; Shim et al., 2020)</w:t>
            </w:r>
          </w:p>
        </w:tc>
        <w:tc>
          <w:tcPr/>
          <w:p>
            <w:pPr>
              <w:pStyle w:val="Compact"/>
              <w:jc w:val="right"/>
            </w:pPr>
            <w:r>
              <w:t xml:space="preserve">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MPI-ESM1-2-HR</w:t>
            </w:r>
            <w:r>
              <w:t xml:space="preserve"> </w:t>
            </w:r>
            <w:r>
              <w:t xml:space="preserve">(Jungclaus et al., 2019)</w:t>
            </w:r>
          </w:p>
        </w:tc>
        <w:tc>
          <w:tcPr/>
          <w:p>
            <w:pPr>
              <w:pStyle w:val="Compact"/>
              <w:jc w:val="right"/>
            </w:pPr>
            <w:r>
              <w:t xml:space="preserve">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MPI-ESM1-2-LR</w:t>
            </w:r>
            <w:r>
              <w:t xml:space="preserve"> </w:t>
            </w:r>
            <w:r>
              <w:t xml:space="preserve">(Wieners et al., 2019)</w:t>
            </w:r>
          </w:p>
        </w:tc>
        <w:tc>
          <w:tcPr/>
          <w:p>
            <w:pPr>
              <w:pStyle w:val="Compact"/>
              <w:jc w:val="right"/>
            </w:pPr>
            <w:r>
              <w:t xml:space="preserve">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GISS-E2-1-G</w:t>
            </w:r>
            <w:r>
              <w:t xml:space="preserve"> </w:t>
            </w:r>
            <w:r>
              <w:t xml:space="preserve">(Space Studies (NASA/GISS), 2018a, 2018b)</w:t>
            </w:r>
          </w:p>
        </w:tc>
        <w:tc>
          <w:tcPr/>
          <w:p>
            <w:pPr>
              <w:pStyle w:val="Compact"/>
              <w:jc w:val="right"/>
            </w:pPr>
            <w:r>
              <w:t xml:space="preserve">24</w:t>
            </w:r>
          </w:p>
        </w:tc>
        <w:tc>
          <w:tcPr/>
          <w:p>
            <w:pPr>
              <w:pStyle w:val="Compact"/>
              <w:jc w:val="right"/>
            </w:pPr>
            <w:r>
              <w:t xml:space="preserve">10</w:t>
            </w:r>
          </w:p>
        </w:tc>
        <w:tc>
          <w:tcPr/>
          <w:p>
            <w:pPr>
              <w:pStyle w:val="Compact"/>
              <w:jc w:val="right"/>
            </w:pPr>
            <w:r>
              <w:t xml:space="preserve">20</w:t>
            </w:r>
          </w:p>
        </w:tc>
        <w:tc>
          <w:tcPr/>
          <w:p>
            <w:pPr>
              <w:pStyle w:val="Compact"/>
              <w:jc w:val="right"/>
            </w:pPr>
            <w:r>
              <w:t xml:space="preserve">0</w:t>
            </w:r>
          </w:p>
        </w:tc>
        <w:tc>
          <w:tcPr/>
          <w:p>
            <w:pPr>
              <w:pStyle w:val="Compact"/>
              <w:jc w:val="right"/>
            </w:pPr>
            <w:r>
              <w:t xml:space="preserve">5</w:t>
            </w:r>
          </w:p>
        </w:tc>
      </w:tr>
      <w:tr>
        <w:tc>
          <w:tcPr/>
          <w:p>
            <w:pPr>
              <w:pStyle w:val="Compact"/>
              <w:jc w:val="left"/>
            </w:pPr>
            <w:r>
              <w:t xml:space="preserve">CESM2</w:t>
            </w:r>
            <w:r>
              <w:t xml:space="preserve"> </w:t>
            </w:r>
            <w:r>
              <w:t xml:space="preserve">(Danabasoglu, 2019a, 2019b)</w:t>
            </w:r>
          </w:p>
        </w:tc>
        <w:tc>
          <w:tcPr/>
          <w:p>
            <w:pPr>
              <w:pStyle w:val="Compact"/>
              <w:jc w:val="right"/>
            </w:pPr>
            <w:r>
              <w:t xml:space="preserve">22</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NorCPM1</w:t>
            </w:r>
            <w:r>
              <w:t xml:space="preserve"> </w:t>
            </w:r>
            <w:r>
              <w:t xml:space="preserve">(Bethke et al., 2019)</w:t>
            </w:r>
          </w:p>
        </w:tc>
        <w:tc>
          <w:tcPr/>
          <w:p>
            <w:pPr>
              <w:pStyle w:val="Compact"/>
              <w:jc w:val="right"/>
            </w:pPr>
            <w:r>
              <w:t xml:space="preserve">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NESM3</w:t>
            </w:r>
            <w:r>
              <w:t xml:space="preserve"> </w:t>
            </w:r>
            <w:r>
              <w:t xml:space="preserve">(Cao and Wang, 2019)</w:t>
            </w:r>
          </w:p>
        </w:tc>
        <w:tc>
          <w:tcPr/>
          <w:p>
            <w:pPr>
              <w:pStyle w:val="Compact"/>
              <w:jc w:val="right"/>
            </w:pPr>
            <w:r>
              <w:t xml:space="preserve">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E3SM-1-0</w:t>
            </w:r>
            <w:r>
              <w:t xml:space="preserve"> </w:t>
            </w:r>
            <w:r>
              <w:t xml:space="preserve">(Bader et al., 2019; E3SM-project E3SM1.0 model output prepared for CMIP6 DAMIP, 2022)</w:t>
            </w:r>
          </w:p>
        </w:tc>
        <w:tc>
          <w:tcPr/>
          <w:p>
            <w:pPr>
              <w:pStyle w:val="Compact"/>
              <w:jc w:val="right"/>
            </w:pPr>
            <w:r>
              <w:t xml:space="preserve">10</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INM-CM5-0</w:t>
            </w:r>
            <w:r>
              <w:t xml:space="preserve"> </w:t>
            </w:r>
            <w:r>
              <w:t xml:space="preserve">(Volodin et al., 2019)</w:t>
            </w:r>
          </w:p>
        </w:tc>
        <w:tc>
          <w:tcPr/>
          <w:p>
            <w:pPr>
              <w:pStyle w:val="Compact"/>
              <w:jc w:val="right"/>
            </w:pPr>
            <w:r>
              <w:t xml:space="preserve">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BCC-CSM2-MR</w:t>
            </w:r>
            <w:r>
              <w:t xml:space="preserve"> </w:t>
            </w:r>
            <w:r>
              <w:t xml:space="preserve">(Xin et al., 2019)</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r>
      <w:tr>
        <w:tc>
          <w:tcPr/>
          <w:p>
            <w:pPr>
              <w:pStyle w:val="Compact"/>
              <w:jc w:val="left"/>
            </w:pPr>
            <w:r>
              <w:t xml:space="preserve">MRI-ESM2-0</w:t>
            </w:r>
            <w:r>
              <w:t xml:space="preserve"> </w:t>
            </w:r>
            <w:r>
              <w:t xml:space="preserve">(Yukimoto et al., 2019)</w:t>
            </w:r>
          </w:p>
        </w:tc>
        <w:tc>
          <w:tcPr/>
          <w:p>
            <w:pPr>
              <w:pStyle w:val="Compact"/>
              <w:jc w:val="right"/>
            </w:pPr>
            <w:r>
              <w:t xml:space="preserve">20</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c>
          <w:tcPr/>
          <w:p>
            <w:pPr>
              <w:pStyle w:val="Compact"/>
              <w:jc w:val="right"/>
            </w:pPr>
            <w:r>
              <w:t xml:space="preserve">3</w:t>
            </w:r>
          </w:p>
        </w:tc>
      </w:tr>
      <w:tr>
        <w:tc>
          <w:tcPr/>
          <w:p>
            <w:pPr>
              <w:pStyle w:val="Compact"/>
              <w:jc w:val="left"/>
            </w:pPr>
            <w:r>
              <w:t xml:space="preserve">NorESM2-LM</w:t>
            </w:r>
            <w:r>
              <w:t xml:space="preserve"> </w:t>
            </w:r>
            <w:r>
              <w:t xml:space="preserve">(Seland et al., 2019)</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GFDL-CM4</w:t>
            </w:r>
            <w:r>
              <w:t xml:space="preserve"> </w:t>
            </w:r>
            <w:r>
              <w:t xml:space="preserve">(Ploshay et al., 2018)</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GFDL-ESM4</w:t>
            </w:r>
            <w:r>
              <w:t xml:space="preserve"> </w:t>
            </w:r>
            <w:r>
              <w:t xml:space="preserve">(Horowitz et al., 2018)</w:t>
            </w:r>
          </w:p>
        </w:tc>
        <w:tc>
          <w:tcPr/>
          <w:p>
            <w:pPr>
              <w:pStyle w:val="Compact"/>
              <w:jc w:val="right"/>
            </w:pPr>
            <w:r>
              <w:t xml:space="preserve">0</w:t>
            </w:r>
          </w:p>
        </w:tc>
        <w:tc>
          <w:tcPr/>
          <w:p>
            <w:pPr>
              <w:pStyle w:val="Compact"/>
              <w:jc w:val="right"/>
            </w:pPr>
            <w:r>
              <w:t xml:space="preserve">1</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bl>
    <w:p>
      <w:pPr>
        <w:pStyle w:val="BodyText"/>
      </w:pPr>
      <w:r>
        <w:t xml:space="preserve">Los modelos usados se listan en la Tabla</w:t>
      </w:r>
      <w:r>
        <w:t xml:space="preserve"> </w:t>
      </w:r>
      <w:r>
        <w:t xml:space="preserve">5.1</w:t>
      </w:r>
      <w:r>
        <w:t xml:space="preserve"> </w:t>
      </w:r>
      <w:r>
        <w:t xml:space="preserve">se listan todos los modelos y la cantidad de miembros de cada uno.</w:t>
      </w:r>
      <w:r>
        <w:t xml:space="preserve"> </w:t>
      </w:r>
      <w:r>
        <w:t xml:space="preserve">Usamos todos los modelos de CMIP6 con 5 o más miembros en las corridas históricas (</w:t>
      </w:r>
      <w:r>
        <w:t xml:space="preserve">“</w:t>
      </w:r>
      <w:r>
        <w:t xml:space="preserve">historical</w:t>
      </w:r>
      <w:r>
        <w:t xml:space="preserve">”</w:t>
      </w:r>
      <w:r>
        <w:t xml:space="preserve">) y todos los modelos en los experimentos que contienen únicamente el efecto de los gases de efecto invernadero (</w:t>
      </w:r>
      <w:r>
        <w:t xml:space="preserve">“</w:t>
      </w:r>
      <w:r>
        <w:t xml:space="preserve">hist-GHG</w:t>
      </w:r>
      <w:r>
        <w:t xml:space="preserve">”</w:t>
      </w:r>
      <w:r>
        <w:t xml:space="preserve">), variabilidad natural sin forzantes antropogénicos (</w:t>
      </w:r>
      <w:r>
        <w:t xml:space="preserve">“</w:t>
      </w:r>
      <w:r>
        <w:t xml:space="preserve">hist-nat</w:t>
      </w:r>
      <w:r>
        <w:t xml:space="preserve">”</w:t>
      </w:r>
      <w:r>
        <w:t xml:space="preserve">) y sólo el efecto de el ozono estratosférico (</w:t>
      </w:r>
      <w:r>
        <w:t xml:space="preserve">“</w:t>
      </w:r>
      <w:r>
        <w:t xml:space="preserve">hist-stratO3</w:t>
      </w:r>
      <w:r>
        <w:t xml:space="preserve">”</w:t>
      </w:r>
      <w:r>
        <w:t xml:space="preserve">).</w:t>
      </w:r>
    </w:p>
    <w:p>
      <w:pPr>
        <w:pStyle w:val="BodyText"/>
      </w:pPr>
      <w:r>
        <w:t xml:space="preserve">Semmler et al. (2018)</w:t>
      </w:r>
    </w:p>
    <w:p>
      <w:pPr>
        <w:pStyle w:val="BodyText"/>
      </w:pPr>
      <w:r>
        <w:t xml:space="preserve">Algunos miembros tienen más de una inicialización, parametrización física o datos usados para el forzante.</w:t>
      </w:r>
      <w:r>
        <w:t xml:space="preserve"> </w:t>
      </w:r>
      <w:r>
        <w:t xml:space="preserve">Elegimos un único miembro de esos.</w:t>
      </w:r>
    </w:p>
    <w:p>
      <w:pPr>
        <w:pStyle w:val="BodyText"/>
      </w:pPr>
      <w:r>
        <w:t xml:space="preserve">Para calcular los cEOFs y evaluar su desempeño, concatenamos todos los miembros para computar un único set de cEOFs para cada modelo y experimento.</w:t>
      </w:r>
      <w:r>
        <w:t xml:space="preserve"> </w:t>
      </w:r>
      <w:r>
        <w:t xml:space="preserve">Este método trata k simulaciones de n años como una única simulación de k*n</w:t>
      </w:r>
      <w:r>
        <w:t xml:space="preserve"> </w:t>
      </w:r>
      <w:r>
        <w:t xml:space="preserve">Luego, calculamos los cEOFs siguiendo la metodología de la Sección XXX.</w:t>
      </w:r>
    </w:p>
    <w:p>
      <w:pPr>
        <w:pStyle w:val="BodyText"/>
      </w:pPr>
      <w:r>
        <w:t xml:space="preserve">Para que sea comparable al ERA5, computamos los cEOFs para el período moderno, entre 1979 y 2014 (el último año disponible para todos los miembros).</w:t>
      </w:r>
    </w:p>
    <w:p>
      <w:pPr>
        <w:pStyle w:val="BodyText"/>
      </w:pPr>
      <w:r>
        <w:t xml:space="preserve">Como se explicó anteriormente, los cEOFs no están definidos unívocamente ya que aceptan cualquier rotación en el plano complejo análogamente a como los EOFs aceptan cambios de signo.</w:t>
      </w:r>
      <w:r>
        <w:t xml:space="preserve"> </w:t>
      </w:r>
      <w:r>
        <w:t xml:space="preserve">Los cEOFs computados en ERA5 fueron rotados para maximizar la correlación con el ozono estatosférico o el ENSO como se describe en la Sección XXX.</w:t>
      </w:r>
      <w:r>
        <w:t xml:space="preserve"> </w:t>
      </w:r>
      <w:r>
        <w:t xml:space="preserve">Para los modelos de CMIP, rotamos los cEOFs para maximisar la correlación espacial de los patrones con el correspondiente cEOF de ERA5.</w:t>
      </w:r>
      <w:r>
        <w:t xml:space="preserve"> </w:t>
      </w:r>
      <w:r>
        <w:t xml:space="preserve">Esto busca que la localización del patrón sea parecido al observado.</w:t>
      </w:r>
    </w:p>
    <w:bookmarkEnd w:id="202"/>
    <w:bookmarkStart w:id="211" w:name="comparación-con-los-modos-observados"/>
    <w:p>
      <w:pPr>
        <w:pStyle w:val="Heading2"/>
      </w:pPr>
      <w:r>
        <w:rPr>
          <w:rStyle w:val="SectionNumber"/>
        </w:rPr>
        <w:t xml:space="preserve">5.2</w:t>
      </w:r>
      <w:r>
        <w:tab/>
      </w:r>
      <w:r>
        <w:t xml:space="preserve">Comparación con los modos observados</w:t>
      </w:r>
    </w:p>
    <w:p>
      <w:pPr>
        <w:pStyle w:val="FirstParagraph"/>
      </w:pPr>
      <w:r>
        <w:t xml:space="preserve">En esta sección, primero analizamos los modos en el experimento</w:t>
      </w:r>
      <w:r>
        <w:t xml:space="preserve"> </w:t>
      </w:r>
      <w:r>
        <w:t xml:space="preserve">“</w:t>
      </w:r>
      <w:r>
        <w:t xml:space="preserve">historical</w:t>
      </w:r>
      <w:r>
        <w:t xml:space="preserve">”</w:t>
      </w:r>
      <w:r>
        <w:t xml:space="preserve">.</w:t>
      </w:r>
    </w:p>
    <w:p>
      <w:pPr>
        <w:pStyle w:val="BodyText"/>
      </w:pPr>
      <w:r>
        <w:t xml:space="preserve">(ref:comparacion-r2-cap)</w:t>
      </w:r>
      <w:r>
        <w:t xml:space="preserve"> </w:t>
      </w:r>
      <m:oMath>
        <m:sSup>
          <m:e>
            <m:r>
              <m:t>r</m:t>
            </m:r>
          </m:e>
          <m:sup>
            <m:r>
              <m:t>2</m:t>
            </m:r>
          </m:sup>
        </m:sSup>
      </m:oMath>
      <w:r>
        <w:t xml:space="preserve"> </w:t>
      </w:r>
      <w:r>
        <w:t xml:space="preserve">de los patrones espaciales de cada modelo con ERA5 para cada cEOF.</w:t>
      </w:r>
    </w:p>
    <w:p>
      <w:pPr>
        <w:pStyle w:val="CaptionedFigure"/>
      </w:pPr>
      <w:r>
        <w:drawing>
          <wp:inline>
            <wp:extent cx="4620126" cy="3696101"/>
            <wp:effectExtent b="0" l="0" r="0" t="0"/>
            <wp:docPr descr="Figure 5.1: (ref:comparacion-r2-cap)" title="" id="204" name="Picture"/>
            <a:graphic>
              <a:graphicData uri="http://schemas.openxmlformats.org/drawingml/2006/picture">
                <pic:pic>
                  <pic:nvPicPr>
                    <pic:cNvPr descr="figures/50-cmip6/comparacion-r2-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06" w:name="fig:comparacion-r2"/>
      <w:bookmarkEnd w:id="206"/>
      <w:r>
        <w:t xml:space="preserve">Figure 5.1: (ref:comparacion-r2-cap)</w:t>
      </w:r>
    </w:p>
    <w:p>
      <w:pPr>
        <w:pStyle w:val="BodyText"/>
      </w:pPr>
      <w:r>
        <w:t xml:space="preserve">La Figura </w:t>
      </w:r>
      <w:r>
        <w:t xml:space="preserve">5.1</w:t>
      </w:r>
      <w:r>
        <w:t xml:space="preserve"> </w:t>
      </w:r>
      <w:r>
        <w:t xml:space="preserve">muestra el</w:t>
      </w:r>
      <w:r>
        <w:t xml:space="preserve"> </w:t>
      </w:r>
      <m:oMath>
        <m:sSup>
          <m:e>
            <m:r>
              <m:t>r</m:t>
            </m:r>
          </m:e>
          <m:sup>
            <m:r>
              <m:t>2</m:t>
            </m:r>
          </m:sup>
        </m:sSup>
      </m:oMath>
      <w:r>
        <w:t xml:space="preserve"> </w:t>
      </w:r>
      <w:r>
        <w:t xml:space="preserve">de los modelos para los dos cEOFs.</w:t>
      </w:r>
      <w:r>
        <w:t xml:space="preserve"> </w:t>
      </w:r>
      <w:r>
        <w:t xml:space="preserve">La correlación entre los modos simulados y los observados es alta, indicando que los modelos logran capturar los modos correctamente, aunque mejor el cEOF1 que el cEOF2.</w:t>
      </w:r>
    </w:p>
    <w:p>
      <w:pPr>
        <w:pStyle w:val="BodyText"/>
      </w:pPr>
      <w:r>
        <w:rPr>
          <w:bCs/>
          <w:b/>
        </w:rPr>
        <w:t xml:space="preserve">TODO: ¿Debería agregar la figura gigante con los cEOFs de cada modelo? Creo que es mucho</w:t>
      </w:r>
    </w:p>
    <w:p>
      <w:pPr>
        <w:pStyle w:val="CaptionedFigure"/>
      </w:pPr>
      <w:r>
        <w:drawing>
          <wp:inline>
            <wp:extent cx="4620126" cy="3696101"/>
            <wp:effectExtent b="0" l="0" r="0" t="0"/>
            <wp:docPr descr="Figure 5.2: (ref:mmm-cap)" title="" id="208" name="Picture"/>
            <a:graphic>
              <a:graphicData uri="http://schemas.openxmlformats.org/drawingml/2006/picture">
                <pic:pic>
                  <pic:nvPicPr>
                    <pic:cNvPr descr="figures/50-cmip6/mmm-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10" w:name="fig:mmm"/>
      <w:bookmarkEnd w:id="210"/>
      <w:r>
        <w:t xml:space="preserve">Figure 5.2: (ref:mmm-cap)</w:t>
      </w:r>
    </w:p>
    <w:p>
      <w:pPr>
        <w:pStyle w:val="BodyText"/>
      </w:pPr>
      <w:r>
        <w:t xml:space="preserve">(ref:mmm-cap) Media multimodelo (sombreado) de los campos espaciales de cada cEOF, parte y nivel. Los contornos marcan los patrones de ERA5. El</w:t>
      </w:r>
      <w:r>
        <w:t xml:space="preserve"> </w:t>
      </w:r>
      <m:oMath>
        <m:sSup>
          <m:e>
            <m:r>
              <m:t>r</m:t>
            </m:r>
          </m:e>
          <m:sup>
            <m:r>
              <m:t>2</m:t>
            </m:r>
          </m:sup>
        </m:sSup>
      </m:oMath>
      <w:r>
        <w:t xml:space="preserve"> </w:t>
      </w:r>
      <w:r>
        <w:t xml:space="preserve">entre ERA5 y la media multimodelo está entre paréntesis.</w:t>
      </w:r>
    </w:p>
    <w:p>
      <w:pPr>
        <w:pStyle w:val="BodyText"/>
      </w:pPr>
      <w:r>
        <w:t xml:space="preserve">La Figura</w:t>
      </w:r>
      <w:r>
        <w:t xml:space="preserve"> </w:t>
      </w:r>
      <w:r>
        <w:t xml:space="preserve">5.2</w:t>
      </w:r>
      <w:r>
        <w:t xml:space="preserve"> </w:t>
      </w:r>
      <w:r>
        <w:t xml:space="preserve">muestra los patrones promedio multimodelo para cada cEOF y cada parte (es decir, el promedio de los patrones espaciales de cada modelo).</w:t>
      </w:r>
      <w:r>
        <w:t xml:space="preserve"> </w:t>
      </w:r>
      <w:r>
        <w:t xml:space="preserve">El patrón medio multimodelo es increíblemente similar al patrón de ERA5, con niveles de</w:t>
      </w:r>
      <w:r>
        <w:t xml:space="preserve"> </w:t>
      </w:r>
      <m:oMath>
        <m:sSup>
          <m:e>
            <m:r>
              <m:t>r</m:t>
            </m:r>
          </m:e>
          <m:sup>
            <m:r>
              <m:t>2</m:t>
            </m:r>
          </m:sup>
        </m:sSup>
      </m:oMath>
      <w:r>
        <w:t xml:space="preserve"> </w:t>
      </w:r>
      <w:r>
        <w:t xml:space="preserve">del orden del 90%.</w:t>
      </w:r>
    </w:p>
    <w:bookmarkEnd w:id="211"/>
    <w:bookmarkStart w:id="220" w:name="parte-temporal"/>
    <w:p>
      <w:pPr>
        <w:pStyle w:val="Heading2"/>
      </w:pPr>
      <w:r>
        <w:rPr>
          <w:rStyle w:val="SectionNumber"/>
        </w:rPr>
        <w:t xml:space="preserve">5.3</w:t>
      </w:r>
      <w:r>
        <w:tab/>
      </w:r>
      <w:r>
        <w:t xml:space="preserve">Parte temporal</w:t>
      </w:r>
    </w:p>
    <w:p>
      <w:pPr>
        <w:pStyle w:val="FirstParagraph"/>
      </w:pPr>
      <w:r>
        <w:t xml:space="preserve">Para analizar las propiedades de los modos de cada modelo uso las series temporales propias de cada modelo.</w:t>
      </w:r>
    </w:p>
    <w:p>
      <w:pPr>
        <w:pStyle w:val="CaptionedFigure"/>
      </w:pPr>
      <w:r>
        <w:drawing>
          <wp:inline>
            <wp:extent cx="5334000" cy="4741333"/>
            <wp:effectExtent b="0" l="0" r="0" t="0"/>
            <wp:docPr descr="Figure 5.3: (ref:fft-ceof2-cap)" title="" id="213" name="Picture"/>
            <a:graphic>
              <a:graphicData uri="http://schemas.openxmlformats.org/drawingml/2006/picture">
                <pic:pic>
                  <pic:nvPicPr>
                    <pic:cNvPr descr="figures/50-cmip6/fft-ceof2-1.png" id="214" name="Picture"/>
                    <pic:cNvPicPr>
                      <a:picLocks noChangeArrowheads="1" noChangeAspect="1"/>
                    </pic:cNvPicPr>
                  </pic:nvPicPr>
                  <pic:blipFill>
                    <a:blip r:embed="rId212"/>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bookmarkStart w:id="215" w:name="fig:fft-ceof2"/>
      <w:bookmarkEnd w:id="215"/>
      <w:r>
        <w:t xml:space="preserve">Figure 5.3: (ref:fft-ceof2-cap)</w:t>
      </w:r>
    </w:p>
    <w:p>
      <w:pPr>
        <w:pStyle w:val="BodyText"/>
      </w:pPr>
      <w:r>
        <w:t xml:space="preserve">(ref:fft-ceof2-cap) Espectros de Fourier para la parte Real e Imaginaria del cEOF1.</w:t>
      </w:r>
      <w:r>
        <w:t xml:space="preserve"> </w:t>
      </w:r>
      <w:r>
        <w:t xml:space="preserve">En línea obscura es el espectro promedio de todos los miembros, que se muestran en líneas translúcidas.</w:t>
      </w:r>
    </w:p>
    <w:p>
      <w:pPr>
        <w:pStyle w:val="BodyText"/>
      </w:pPr>
      <w:r>
        <w:t xml:space="preserve">La Figura</w:t>
      </w:r>
      <w:r>
        <w:t xml:space="preserve"> </w:t>
      </w:r>
      <w:r>
        <w:t xml:space="preserve">5.3</w:t>
      </w:r>
      <w:r>
        <w:t xml:space="preserve"> </w:t>
      </w:r>
      <w:r>
        <w:t xml:space="preserve">muestra el periodograma para el cEOF2 con una línea por miembro y una línea gruesa marcando el periodograma promedio.</w:t>
      </w:r>
      <w:r>
        <w:t xml:space="preserve"> </w:t>
      </w:r>
      <w:r>
        <w:t xml:space="preserve">ERA5 tiene una señal claraen ~3 años en la parte imaginaria del cEOF2.</w:t>
      </w:r>
      <w:r>
        <w:t xml:space="preserve"> </w:t>
      </w:r>
      <w:r>
        <w:t xml:space="preserve">Esta señal es representada sólo en algunos modelos (destacados en la figura con recuadro negro).</w:t>
      </w:r>
    </w:p>
    <w:p>
      <w:pPr>
        <w:pStyle w:val="BodyText"/>
      </w:pPr>
      <w:r>
        <w:t xml:space="preserve">Esta periodicidad muy probablamente esté asociada con la periodicidad deL ENSO, dada la relación entre ENSO y la parte imaginaria del cEOF2 descrita en la Sección XXX.</w:t>
      </w:r>
    </w:p>
    <w:p>
      <w:pPr>
        <w:pStyle w:val="BodyText"/>
      </w:pPr>
      <w:r>
        <w:t xml:space="preserve">(ref:ensofft-cap) Espectros de Fourier para los índices ENSO34 de cada modelo. En línea obscura es el espectro promedio de todos los miembros, que se muestran en líneas translúcidas. En recuadro negro, los mismos modelos recuadrados en la Figura</w:t>
      </w:r>
      <w:r>
        <w:t xml:space="preserve"> </w:t>
      </w:r>
      <w:r>
        <w:t xml:space="preserve">??</w:t>
      </w:r>
      <w:r>
        <w:t xml:space="preserve">.</w:t>
      </w:r>
    </w:p>
    <w:p>
      <w:pPr>
        <w:pStyle w:val="CaptionedFigure"/>
      </w:pPr>
      <w:r>
        <w:drawing>
          <wp:inline>
            <wp:extent cx="5334000" cy="4741333"/>
            <wp:effectExtent b="0" l="0" r="0" t="0"/>
            <wp:docPr descr="Figure 5.4: (ref:ensofft-cap)" title="" id="217" name="Picture"/>
            <a:graphic>
              <a:graphicData uri="http://schemas.openxmlformats.org/drawingml/2006/picture">
                <pic:pic>
                  <pic:nvPicPr>
                    <pic:cNvPr descr="figures/50-cmip6/ensofft-1.png" id="218" name="Picture"/>
                    <pic:cNvPicPr>
                      <a:picLocks noChangeArrowheads="1" noChangeAspect="1"/>
                    </pic:cNvPicPr>
                  </pic:nvPicPr>
                  <pic:blipFill>
                    <a:blip r:embed="rId216"/>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bookmarkStart w:id="219" w:name="fig:ensofft"/>
      <w:bookmarkEnd w:id="219"/>
      <w:r>
        <w:t xml:space="preserve">Figure 5.4: (ref:ensofft-cap)</w:t>
      </w:r>
    </w:p>
    <w:p>
      <w:pPr>
        <w:pStyle w:val="BodyText"/>
      </w:pPr>
      <w:r>
        <w:t xml:space="preserve">La Figura</w:t>
      </w:r>
      <w:r>
        <w:t xml:space="preserve"> </w:t>
      </w:r>
      <w:r>
        <w:t xml:space="preserve">5.4</w:t>
      </w:r>
      <w:r>
        <w:t xml:space="preserve"> </w:t>
      </w:r>
      <w:r>
        <w:t xml:space="preserve">muestra el periodograma del índice ENSO34 de cada modelo y miembro, incluyendo a ERA5.</w:t>
      </w:r>
      <w:r>
        <w:t xml:space="preserve"> </w:t>
      </w:r>
      <w:r>
        <w:t xml:space="preserve">La mayoría de los modelos tiene una periodicidad de ~3 años similar a la observada en ERA5, aunque la intensidad y período máximo varía significativamente.</w:t>
      </w:r>
    </w:p>
    <w:p>
      <w:pPr>
        <w:pStyle w:val="BodyText"/>
      </w:pPr>
      <w:r>
        <w:t xml:space="preserve">Todos los los modelos que tienen una periodicidad clara en ~3 años en la parte imaginaria del cEOF2 también tienen una periodicidad del ENSO muy clara y además tienden a tener una correlación entre la parte imaginaria del cEOF2 y el ENSO más alta.</w:t>
      </w:r>
      <w:r>
        <w:t xml:space="preserve"> </w:t>
      </w:r>
      <w:r>
        <w:t xml:space="preserve">Por otro lado, ninguno de los modelos con muy baja correlación con el ENSO pero periodicidad del ENSO clara presenta periocididad clara en el cEOF2.</w:t>
      </w:r>
    </w:p>
    <w:p>
      <w:pPr>
        <w:pStyle w:val="BodyText"/>
      </w:pPr>
      <w:r>
        <w:t xml:space="preserve">Sin embargo existen modelos con periodicidad del ENSO clara y correlación relativamente alta que no tienen periodicidad del cEOF2 clara.</w:t>
      </w:r>
      <w:r>
        <w:t xml:space="preserve"> </w:t>
      </w:r>
      <w:r>
        <w:t xml:space="preserve">MRI-ENSM2-0, UKESM1-0-LL, MPI-ESM1-2-LR son algunos ejemplos.</w:t>
      </w:r>
    </w:p>
    <w:p>
      <w:pPr>
        <w:pStyle w:val="BodyText"/>
      </w:pPr>
      <w:r>
        <w:t xml:space="preserve">Estas observaciones sugieren que el ENSO es la fuente de periodicidad del cEOF2 en los modelos de CMIP6 pero que su capacidad para representar la periodicidad observada no sólo depende de la periodiciad del ENSO y del grado de correlación entre los índices.</w:t>
      </w:r>
    </w:p>
    <w:bookmarkEnd w:id="220"/>
    <w:bookmarkStart w:id="229" w:name="sst"/>
    <w:p>
      <w:pPr>
        <w:pStyle w:val="Heading2"/>
      </w:pPr>
      <w:r>
        <w:rPr>
          <w:rStyle w:val="SectionNumber"/>
        </w:rPr>
        <w:t xml:space="preserve">5.4</w:t>
      </w:r>
      <w:r>
        <w:tab/>
      </w:r>
      <w:r>
        <w:t xml:space="preserve">SST</w:t>
      </w:r>
    </w:p>
    <w:p>
      <w:pPr>
        <w:pStyle w:val="CaptionedFigure"/>
      </w:pPr>
      <w:r>
        <w:drawing>
          <wp:inline>
            <wp:extent cx="4620126" cy="3696101"/>
            <wp:effectExtent b="0" l="0" r="0" t="0"/>
            <wp:docPr descr="Figure 5.5: Media multimodelo de regresión de SST con los cEOFs. El área sombreada muestra las zonas donde más de la mitad de los modelos tienen p-valor menor a 0.01. Los contornos negros muestran la regresión de SST observada en ERA5." title="" id="222" name="Picture"/>
            <a:graphic>
              <a:graphicData uri="http://schemas.openxmlformats.org/drawingml/2006/picture">
                <pic:pic>
                  <pic:nvPicPr>
                    <pic:cNvPr descr="figures/50-cmip6/sst-mmm-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24" w:name="fig:sst-mmm"/>
      <w:bookmarkEnd w:id="224"/>
      <w:r>
        <w:t xml:space="preserve">Figure 5.5: Media multimodelo de regresión de SST con los cEOFs. El área sombreada muestra las zonas donde más de la mitad de los modelos tienen p-valor menor a 0.01. Los contornos negros muestran la regresión de SST observada en ERA5.</w:t>
      </w:r>
    </w:p>
    <w:p>
      <w:pPr>
        <w:pStyle w:val="BodyText"/>
      </w:pPr>
      <w:r>
        <w:t xml:space="preserve">También es relevante evaluar si los modelos capturan correctamente la relación entre los modos y las anomalías de temperatura de la superficie del mar.</w:t>
      </w:r>
      <w:r>
        <w:t xml:space="preserve"> </w:t>
      </w:r>
      <w:r>
        <w:t xml:space="preserve">La Figura</w:t>
      </w:r>
      <w:r>
        <w:t xml:space="preserve"> </w:t>
      </w:r>
      <w:r>
        <w:t xml:space="preserve">5.5</w:t>
      </w:r>
      <w:r>
        <w:t xml:space="preserve"> </w:t>
      </w:r>
      <w:r>
        <w:t xml:space="preserve">muestra la media multimodelo de la regresión entre SST y las dos fases de cada cEOF, marcando las zonas donde más de la mitad de los modelos tienen p-valores menores a 0.01.</w:t>
      </w:r>
      <w:r>
        <w:t xml:space="preserve"> </w:t>
      </w:r>
      <w:r>
        <w:t xml:space="preserve">Los modelos de CMIP6 reproducen los patrones de regresión el cEOF2 relativamente bien.</w:t>
      </w:r>
      <w:r>
        <w:t xml:space="preserve"> </w:t>
      </w:r>
      <w:r>
        <w:t xml:space="preserve">Se observa un exceso de señal en el Pacífico ecuatorial en la parte Real del cEOF2 que probablemente se deba a que estos modos no están alineados para minimizar esta relación.</w:t>
      </w:r>
      <w:r>
        <w:t xml:space="preserve"> </w:t>
      </w:r>
      <w:r>
        <w:t xml:space="preserve">Por otro lado, la señal asociada a la parte imaginaria del cEOF1 sí muestra valores excesivamente altos no observados en ERA5.</w:t>
      </w:r>
    </w:p>
    <w:p>
      <w:pPr>
        <w:pStyle w:val="BodyText"/>
      </w:pPr>
      <w:r>
        <w:t xml:space="preserve">(ref:cor-sst-regr-cap) R^2 entre los patrones de regresión de SST cada modelo y el patrón de regresión de SST en ERA5.</w:t>
      </w:r>
    </w:p>
    <w:p>
      <w:pPr>
        <w:pStyle w:val="CaptionedFigure"/>
      </w:pPr>
      <w:r>
        <w:drawing>
          <wp:inline>
            <wp:extent cx="4620126" cy="3696101"/>
            <wp:effectExtent b="0" l="0" r="0" t="0"/>
            <wp:docPr descr="Figure 5.6: (ref:cor-sst-regr-cap)" title="" id="226" name="Picture"/>
            <a:graphic>
              <a:graphicData uri="http://schemas.openxmlformats.org/drawingml/2006/picture">
                <pic:pic>
                  <pic:nvPicPr>
                    <pic:cNvPr descr="figures/50-cmip6/cor-sst-regr-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28" w:name="fig:cor-sst-regr"/>
      <w:bookmarkEnd w:id="228"/>
      <w:r>
        <w:t xml:space="preserve">Figure 5.6: (ref:cor-sst-regr-cap)</w:t>
      </w:r>
    </w:p>
    <w:p>
      <w:pPr>
        <w:pStyle w:val="BodyText"/>
      </w:pPr>
      <w:r>
        <w:t xml:space="preserve">La Figura</w:t>
      </w:r>
      <w:r>
        <w:t xml:space="preserve"> </w:t>
      </w:r>
      <w:r>
        <w:t xml:space="preserve">??</w:t>
      </w:r>
      <w:r>
        <w:t xml:space="preserve"> </w:t>
      </w:r>
      <w:r>
        <w:t xml:space="preserve">muestra el r^2 los campos de regresión de cada modelo y el campo de regresión de ERA5.</w:t>
      </w:r>
      <w:r>
        <w:t xml:space="preserve"> </w:t>
      </w:r>
      <w:r>
        <w:t xml:space="preserve">La figura confirma que lo observado para la media multimodelo se cumple para casi todos los modelos individuales.</w:t>
      </w:r>
      <w:r>
        <w:t xml:space="preserve"> </w:t>
      </w:r>
      <w:r>
        <w:t xml:space="preserve">La mayoría de los modelos tiene un campo de regresión similar a ERA5 para el cEOF2, aunque más para la fase imaginaria que para la fase real.</w:t>
      </w:r>
      <w:r>
        <w:t xml:space="preserve"> </w:t>
      </w:r>
      <w:r>
        <w:t xml:space="preserve">Para la parte real del cEOF1, las similitudes son muy bajas, pero esto principalmente refleja que ni los modelos ni ERA5 tienen mucha señal.</w:t>
      </w:r>
      <w:r>
        <w:t xml:space="preserve"> </w:t>
      </w:r>
      <w:r>
        <w:t xml:space="preserve">Para la parte imaginaria, en cambio, los valores de correlación espacial son esencialmente nulos, fruto de la señal presente en los modelos que está ausente en las observaciones.</w:t>
      </w:r>
    </w:p>
    <w:bookmarkEnd w:id="229"/>
    <w:bookmarkStart w:id="234" w:name="relación-con-el-sam"/>
    <w:p>
      <w:pPr>
        <w:pStyle w:val="Heading2"/>
      </w:pPr>
      <w:r>
        <w:rPr>
          <w:rStyle w:val="SectionNumber"/>
        </w:rPr>
        <w:t xml:space="preserve">5.5</w:t>
      </w:r>
      <w:r>
        <w:tab/>
      </w:r>
      <w:r>
        <w:t xml:space="preserve">Relación con el SAM</w:t>
      </w:r>
    </w:p>
    <w:p>
      <w:pPr>
        <w:pStyle w:val="CaptionedFigure"/>
      </w:pPr>
      <w:r>
        <w:drawing>
          <wp:inline>
            <wp:extent cx="4620126" cy="3696101"/>
            <wp:effectExtent b="0" l="0" r="0" t="0"/>
            <wp:docPr descr="Figure 5.7: Igual que la Figura 4.1 pero para los modelos del CMIP6." title="" id="231" name="Picture"/>
            <a:graphic>
              <a:graphicData uri="http://schemas.openxmlformats.org/drawingml/2006/picture">
                <pic:pic>
                  <pic:nvPicPr>
                    <pic:cNvPr descr="figures/50-cmip6/cor-sam-cmip6-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33" w:name="fig:cor-sam-cmip6"/>
      <w:bookmarkEnd w:id="233"/>
      <w:r>
        <w:t xml:space="preserve">Figure 5.7: Igual que la Figura</w:t>
      </w:r>
      <w:r>
        <w:t xml:space="preserve"> </w:t>
      </w:r>
      <w:r>
        <w:t xml:space="preserve">4.1</w:t>
      </w:r>
      <w:r>
        <w:t xml:space="preserve"> </w:t>
      </w:r>
      <w:r>
        <w:t xml:space="preserve">pero para los modelos del CMIP6.</w:t>
      </w:r>
    </w:p>
    <w:p>
      <w:pPr>
        <w:pStyle w:val="BodyText"/>
      </w:pPr>
      <w:r>
        <w:t xml:space="preserve">Otra característica interesante de los cEOFs es su relación con el SAM (Sección XXX).</w:t>
      </w:r>
      <w:r>
        <w:t xml:space="preserve"> </w:t>
      </w:r>
      <w:r>
        <w:t xml:space="preserve">En la Figura</w:t>
      </w:r>
      <w:r>
        <w:t xml:space="preserve"> </w:t>
      </w:r>
      <w:r>
        <w:t xml:space="preserve">5.7</w:t>
      </w:r>
      <w:r>
        <w:t xml:space="preserve"> </w:t>
      </w:r>
      <w:r>
        <w:t xml:space="preserve">se muestra el coeficiente de determinación entre las componentes del SAM y las fases de los cEOFs.</w:t>
      </w:r>
      <w:r>
        <w:t xml:space="preserve"> </w:t>
      </w:r>
      <w:r>
        <w:t xml:space="preserve">Las líneas translúcidas son los valores promedio de cada modelo y las áreas llenas representan el promedio multimodelo y su intervalo de confianza del 95%; la línea gruesa es el valor de ERA5.</w:t>
      </w:r>
    </w:p>
    <w:p>
      <w:pPr>
        <w:pStyle w:val="BodyText"/>
      </w:pPr>
      <w:r>
        <w:t xml:space="preserve">Se observa que la relación entre el SAM y el cEOF2 en los modelos del CMIP6 es prácticamente nula en todos los niveles de la atmósfera, sugiriendo que éstos no capturan esta interacción entre el PSA2 y el SAM.</w:t>
      </w:r>
      <w:r>
        <w:t xml:space="preserve"> </w:t>
      </w:r>
      <w:r>
        <w:t xml:space="preserve">Sin embargo, sí logran capturar su relación con el A-SAM en la tropósfera; y aunque esta relación tiene menor magnitud en promedio, se observa que ciertos modelos sí consiguen correlaciones comparables con las observadas.</w:t>
      </w:r>
    </w:p>
    <w:bookmarkEnd w:id="234"/>
    <w:bookmarkStart w:id="247" w:name="tendencias"/>
    <w:p>
      <w:pPr>
        <w:pStyle w:val="Heading2"/>
      </w:pPr>
      <w:r>
        <w:rPr>
          <w:rStyle w:val="SectionNumber"/>
        </w:rPr>
        <w:t xml:space="preserve">5.6</w:t>
      </w:r>
      <w:r>
        <w:tab/>
      </w:r>
      <w:r>
        <w:t xml:space="preserve">Tendencias</w:t>
      </w:r>
    </w:p>
    <w:p>
      <w:pPr>
        <w:pStyle w:val="FirstParagraph"/>
      </w:pPr>
      <w:r>
        <w:t xml:space="preserve">Para extender las series temporales de estos modos para todo el período disponible en CMIP6, proyectamos los campos espaciales del período moderno en los campos desde 19850 hasta 2014.</w:t>
      </w:r>
    </w:p>
    <w:p>
      <w:pPr>
        <w:pStyle w:val="CaptionedFigure"/>
      </w:pPr>
      <w:r>
        <w:drawing>
          <wp:inline>
            <wp:extent cx="5334000" cy="3556000"/>
            <wp:effectExtent b="0" l="0" r="0" t="0"/>
            <wp:docPr descr="Figure 5.8: (ref:series-largas-cap)" title="" id="236" name="Picture"/>
            <a:graphic>
              <a:graphicData uri="http://schemas.openxmlformats.org/drawingml/2006/picture">
                <pic:pic>
                  <pic:nvPicPr>
                    <pic:cNvPr descr="figures/50-cmip6/series-largas-1.png" id="237" name="Picture"/>
                    <pic:cNvPicPr>
                      <a:picLocks noChangeArrowheads="1" noChangeAspect="1"/>
                    </pic:cNvPicPr>
                  </pic:nvPicPr>
                  <pic:blipFill>
                    <a:blip r:embed="rId2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38" w:name="fig:series-largas"/>
      <w:bookmarkEnd w:id="238"/>
      <w:r>
        <w:t xml:space="preserve">Figure 5.8: (ref:series-largas-cap)</w:t>
      </w:r>
    </w:p>
    <w:p>
      <w:pPr>
        <w:pStyle w:val="BodyText"/>
      </w:pPr>
      <w:r>
        <w:t xml:space="preserve">(ref:series-largas-cap) Series temporales de anomalías estandarizadas de los cEOFs computados usando el período 1850 – 2014.</w:t>
      </w:r>
      <w:r>
        <w:t xml:space="preserve"> </w:t>
      </w:r>
      <w:r>
        <w:t xml:space="preserve">Las anomalías están computadas sobre el período 1850 – 1900.</w:t>
      </w:r>
      <w:r>
        <w:t xml:space="preserve"> </w:t>
      </w:r>
      <w:r>
        <w:t xml:space="preserve">En líneas translúcidas, las series promedio de cada modelo.</w:t>
      </w:r>
      <w:r>
        <w:t xml:space="preserve"> </w:t>
      </w:r>
      <w:r>
        <w:t xml:space="preserve">En línea oscura, la media multimodelo.</w:t>
      </w:r>
      <w:r>
        <w:t xml:space="preserve"> </w:t>
      </w:r>
      <w:r>
        <w:t xml:space="preserve">La línea azul es un loess smooth de la media multimodelo.</w:t>
      </w:r>
    </w:p>
    <w:p>
      <w:pPr>
        <w:pStyle w:val="BodyText"/>
      </w:pPr>
      <w:r>
        <w:t xml:space="preserve">La Figura</w:t>
      </w:r>
      <w:r>
        <w:t xml:space="preserve"> </w:t>
      </w:r>
      <w:r>
        <w:t xml:space="preserve">5.8</w:t>
      </w:r>
      <w:r>
        <w:t xml:space="preserve"> </w:t>
      </w:r>
      <w:r>
        <w:t xml:space="preserve">muestra las series temporales durante todo el período.</w:t>
      </w:r>
      <w:r>
        <w:t xml:space="preserve"> </w:t>
      </w:r>
      <w:r>
        <w:t xml:space="preserve">Se observa que la parte real del cEOF1 tiene una tendencia positiva comenzando al rededor de 1950, consistente con la tendencia observada en ERA5 (Fig.</w:t>
      </w:r>
      <w:r>
        <w:t xml:space="preserve"> </w:t>
      </w:r>
      <w:r>
        <w:t xml:space="preserve">2.4</w:t>
      </w:r>
      <w:r>
        <w:t xml:space="preserve">).</w:t>
      </w:r>
      <w:r>
        <w:t xml:space="preserve"> </w:t>
      </w:r>
      <w:r>
        <w:t xml:space="preserve">El resto de las series no presentan tendencias.</w:t>
      </w:r>
    </w:p>
    <w:p>
      <w:pPr>
        <w:pStyle w:val="CaptionedFigure"/>
      </w:pPr>
      <w:r>
        <w:drawing>
          <wp:inline>
            <wp:extent cx="4620126" cy="3696101"/>
            <wp:effectExtent b="0" l="0" r="0" t="0"/>
            <wp:docPr descr="Figure 5.9: (ref:ceof-damip-cap)" title="" id="240" name="Picture"/>
            <a:graphic>
              <a:graphicData uri="http://schemas.openxmlformats.org/drawingml/2006/picture">
                <pic:pic>
                  <pic:nvPicPr>
                    <pic:cNvPr descr="figures/50-cmip6/ceof-damip-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42" w:name="fig:ceof-damip"/>
      <w:bookmarkEnd w:id="242"/>
      <w:r>
        <w:t xml:space="preserve">Figure 5.9: (ref:ceof-damip-cap)</w:t>
      </w:r>
    </w:p>
    <w:p>
      <w:pPr>
        <w:pStyle w:val="BodyText"/>
      </w:pPr>
      <w:r>
        <w:t xml:space="preserve">Para tratar de atribuir esta tendencia, computamos los mismos cEOFs para experimentos de DAMIP.</w:t>
      </w:r>
      <w:r>
        <w:t xml:space="preserve"> </w:t>
      </w:r>
      <w:r>
        <w:t xml:space="preserve">La Figura</w:t>
      </w:r>
      <w:r>
        <w:t xml:space="preserve"> </w:t>
      </w:r>
      <w:r>
        <w:t xml:space="preserve">5.9</w:t>
      </w:r>
      <w:r>
        <w:t xml:space="preserve"> </w:t>
      </w:r>
      <w:r>
        <w:t xml:space="preserve">muestra las series temporales para los experimentos hist-GHG, hist-nat, hist-stratO3 e hist-aer junto a las corridas históricas.</w:t>
      </w:r>
    </w:p>
    <w:p>
      <w:pPr>
        <w:pStyle w:val="BodyText"/>
      </w:pPr>
      <w:r>
        <w:t xml:space="preserve">Para el cOEF1, el experimento hist-nat no presenta la tendencia observada, sugiriendo que ésta no se debe a variabilidad natural sino a forzantes externos.</w:t>
      </w:r>
      <w:r>
        <w:t xml:space="preserve"> </w:t>
      </w:r>
      <w:r>
        <w:t xml:space="preserve">La tendencia sí se detecta en el experimento hist-GHG y, más levemente, en el experimento hist-stratO3.</w:t>
      </w:r>
      <w:r>
        <w:t xml:space="preserve"> </w:t>
      </w:r>
      <w:r>
        <w:t xml:space="preserve">Esto sugiere que tanto las emisiones de gases de efecto invernadero como los cambios en el ozono estatosférico juegan un rol en la tendencia observada.</w:t>
      </w:r>
      <w:r>
        <w:t xml:space="preserve"> </w:t>
      </w:r>
      <w:r>
        <w:t xml:space="preserve">Por otro lado, el experimento hist-aer muestra una tendencia negativa comenzando al rededor de 1900, indicando que el aumento de los aerosoles compensa el efecto de los dos forzantes anteriores.</w:t>
      </w:r>
      <w:r>
        <w:t xml:space="preserve"> </w:t>
      </w:r>
      <w:r>
        <w:t xml:space="preserve">Esto podría explicar por qué la tendencia positiva en hist-GHG comienza también en 1900, mucho antes de que se observada la tendencia en la corrida histórica.</w:t>
      </w:r>
    </w:p>
    <w:p>
      <w:pPr>
        <w:pStyle w:val="BodyText"/>
      </w:pPr>
      <w:r>
        <w:t xml:space="preserve">La parte imaginaria del cEOF1, que tanto en las observaciones como en la corrida histórica no presenta tendencia, sí tiene tendencias en los experimentos hist-GHG e hist-stratO3, aunque en direcciones opuestas y de magnitud similar.</w:t>
      </w:r>
      <w:r>
        <w:t xml:space="preserve"> </w:t>
      </w:r>
      <w:r>
        <w:t xml:space="preserve">Parecería que el cambio en el ozono estatosférico está contrarrestando el efecto del aumento de los gases de efecto invernadero.</w:t>
      </w:r>
      <w:r>
        <w:t xml:space="preserve"> </w:t>
      </w:r>
      <w:r>
        <w:t xml:space="preserve">Dado que se espera que en las próximas décadas el ozono estratosférico empiece a recuperarse, es posible que este efecto se revierta y la parte imaginaria del cEOF2 comience a presentar una tendencia negativa.</w:t>
      </w:r>
    </w:p>
    <w:p>
      <w:pPr>
        <w:pStyle w:val="BodyText"/>
      </w:pPr>
      <w:r>
        <w:t xml:space="preserve">(ref:suma-cap)</w:t>
      </w:r>
    </w:p>
    <w:p>
      <w:pPr>
        <w:pStyle w:val="CaptionedFigure"/>
      </w:pPr>
      <w:r>
        <w:drawing>
          <wp:inline>
            <wp:extent cx="4620126" cy="3696101"/>
            <wp:effectExtent b="0" l="0" r="0" t="0"/>
            <wp:docPr descr="Figure 5.10: (ref:suma-cap)" title="" id="244" name="Picture"/>
            <a:graphic>
              <a:graphicData uri="http://schemas.openxmlformats.org/drawingml/2006/picture">
                <pic:pic>
                  <pic:nvPicPr>
                    <pic:cNvPr descr="figures/50-cmip6/suma-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46" w:name="fig:suma"/>
      <w:bookmarkEnd w:id="246"/>
      <w:r>
        <w:t xml:space="preserve">Figure 5.10: (ref:suma-cap)</w:t>
      </w:r>
    </w:p>
    <w:p>
      <w:pPr>
        <w:pStyle w:val="BodyText"/>
      </w:pPr>
      <w:r>
        <w:t xml:space="preserve">Como una aproximación, la Figura</w:t>
      </w:r>
      <w:r>
        <w:t xml:space="preserve"> </w:t>
      </w:r>
      <w:r>
        <w:t xml:space="preserve">5.10</w:t>
      </w:r>
      <w:r>
        <w:t xml:space="preserve"> </w:t>
      </w:r>
      <w:r>
        <w:t xml:space="preserve">muestra la media multimodelo de la corrida histórica junto con la suma de las medias multimodelo de las corridas hist-GHG, hist-stratO3 e hist-aer.</w:t>
      </w:r>
      <w:r>
        <w:t xml:space="preserve"> </w:t>
      </w:r>
      <w:r>
        <w:t xml:space="preserve">Sorpendentemente ambas series presentan una variabilidad a largo plazo virtualmente id éntica, sugiriendo que el efecto de los forzantes es aproximadamente lineal.</w:t>
      </w:r>
    </w:p>
    <w:bookmarkEnd w:id="247"/>
    <w:bookmarkEnd w:id="248"/>
    <w:bookmarkStart w:id="249" w:name="conclusiones"/>
    <w:p>
      <w:pPr>
        <w:pStyle w:val="Heading1"/>
      </w:pPr>
      <w:r>
        <w:rPr>
          <w:rStyle w:val="SectionNumber"/>
        </w:rPr>
        <w:t xml:space="preserve">6</w:t>
      </w:r>
      <w:r>
        <w:tab/>
      </w:r>
      <w:r>
        <w:t xml:space="preserve">Conclusiones</w:t>
      </w:r>
    </w:p>
    <w:bookmarkEnd w:id="249"/>
    <w:bookmarkStart w:id="438" w:name="referencias"/>
    <w:p>
      <w:pPr>
        <w:pStyle w:val="Heading1"/>
      </w:pPr>
      <w:r>
        <w:t xml:space="preserve">Referencias</w:t>
      </w:r>
    </w:p>
    <w:p>
      <w:pPr>
        <w:pStyle w:val="FirstParagraph"/>
      </w:pPr>
    </w:p>
    <w:bookmarkStart w:id="437" w:name="refs"/>
    <w:bookmarkStart w:id="251" w:name="ref-arblaster2006"/>
    <w:p>
      <w:pPr>
        <w:pStyle w:val="Bibliography"/>
      </w:pPr>
      <w:r>
        <w:t xml:space="preserve">Arblaster, J.M., and Meehl, G.A., 2006.</w:t>
      </w:r>
      <w:r>
        <w:t xml:space="preserve"> </w:t>
      </w:r>
      <w:hyperlink r:id="rId250">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251"/>
    <w:bookmarkStart w:id="253" w:name="ref-CMIP6.CMIP.E3SM-Project.E3SM-1-0"/>
    <w:p>
      <w:pPr>
        <w:pStyle w:val="Bibliography"/>
      </w:pPr>
      <w:r>
        <w:t xml:space="preserve">Bader, D.C., Leung, R., Taylor, M., and McCoy, R.B., 2019.</w:t>
      </w:r>
      <w:r>
        <w:t xml:space="preserve"> </w:t>
      </w:r>
      <w:hyperlink r:id="rId252">
        <w:r>
          <w:rPr>
            <w:rStyle w:val="Hyperlink"/>
          </w:rPr>
          <w:t xml:space="preserve">E3SM-project E3SM1.0 model output prepared for CMIP6 CMIP</w:t>
        </w:r>
      </w:hyperlink>
      <w:r>
        <w:t xml:space="preserve">.</w:t>
      </w:r>
    </w:p>
    <w:bookmarkEnd w:id="253"/>
    <w:bookmarkStart w:id="255" w:name="ref-baldwin2001"/>
    <w:p>
      <w:pPr>
        <w:pStyle w:val="Bibliography"/>
      </w:pPr>
      <w:r>
        <w:t xml:space="preserve">Baldwin, M.P., 2001.</w:t>
      </w:r>
      <w:r>
        <w:t xml:space="preserve"> </w:t>
      </w:r>
      <w:hyperlink r:id="rId254">
        <w:r>
          <w:rPr>
            <w:rStyle w:val="Hyperlink"/>
          </w:rPr>
          <w:t xml:space="preserve">Annular modes in global daily surface pressure</w:t>
        </w:r>
      </w:hyperlink>
      <w:r>
        <w:t xml:space="preserve">. Geophysical Research Letters, 28, 21, 4115–4118.</w:t>
      </w:r>
    </w:p>
    <w:bookmarkEnd w:id="255"/>
    <w:bookmarkStart w:id="257" w:name="ref-baldwin2001a"/>
    <w:p>
      <w:pPr>
        <w:pStyle w:val="Bibliography"/>
      </w:pPr>
      <w:r>
        <w:t xml:space="preserve">Baldwin, M.P., and Dunkerton, T.J., 2001.</w:t>
      </w:r>
      <w:r>
        <w:t xml:space="preserve"> </w:t>
      </w:r>
      <w:hyperlink r:id="rId256">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257"/>
    <w:bookmarkStart w:id="259" w:name="ref-baldwin2009"/>
    <w:p>
      <w:pPr>
        <w:pStyle w:val="Bibliography"/>
      </w:pPr>
      <w:r>
        <w:t xml:space="preserve">Baldwin, M.P., and Thompson, D.W.J., 2009.</w:t>
      </w:r>
      <w:r>
        <w:t xml:space="preserve"> </w:t>
      </w:r>
      <w:hyperlink r:id="rId258">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259"/>
    <w:bookmarkStart w:id="261" w:name="ref-baldwin2001b"/>
    <w:p>
      <w:pPr>
        <w:pStyle w:val="Bibliography"/>
      </w:pPr>
      <w:r>
        <w:t xml:space="preserve">Baldwin, M.P., Gray, L.J., Dunkerton, T.J., Hamilton, K., Haynes, P.H., Randel, W.J., Holton, J.R., Alexander, M.J., Hirota, I., Horinouchi, T., and others, 2001.</w:t>
      </w:r>
      <w:r>
        <w:t xml:space="preserve"> </w:t>
      </w:r>
      <w:hyperlink r:id="rId260">
        <w:r>
          <w:rPr>
            <w:rStyle w:val="Hyperlink"/>
          </w:rPr>
          <w:t xml:space="preserve">The quasi-biennial oscillation</w:t>
        </w:r>
      </w:hyperlink>
      <w:r>
        <w:t xml:space="preserve">. Reviews of Geophysics, 39, 2, 179–229.</w:t>
      </w:r>
    </w:p>
    <w:bookmarkEnd w:id="261"/>
    <w:bookmarkStart w:id="263" w:name="ref-bamston1997"/>
    <w:p>
      <w:pPr>
        <w:pStyle w:val="Bibliography"/>
      </w:pPr>
      <w:r>
        <w:t xml:space="preserve">Bamston, A.G., Chelliah, M., and Goldenberg, S.B., 1997.</w:t>
      </w:r>
      <w:r>
        <w:t xml:space="preserve"> </w:t>
      </w:r>
      <w:hyperlink r:id="rId262">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263"/>
    <w:bookmarkStart w:id="265" w:name="ref-benjamini1995"/>
    <w:p>
      <w:pPr>
        <w:pStyle w:val="Bibliography"/>
      </w:pPr>
      <w:r>
        <w:t xml:space="preserve">Benjamini, Y., and Hochberg, Y., 1995.</w:t>
      </w:r>
      <w:r>
        <w:t xml:space="preserve"> </w:t>
      </w:r>
      <w:hyperlink r:id="rId264">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265"/>
    <w:bookmarkStart w:id="267" w:name="ref-CMIP6.CMIP.NCC.NorCPM1"/>
    <w:p>
      <w:pPr>
        <w:pStyle w:val="Bibliography"/>
      </w:pPr>
      <w:r>
        <w:t xml:space="preserve">Bethke, I., Wang, Y., Counillon, F., Kimmritz, M., Fransner, F., Samuelsen, A., Langehaug, H.R., Chiu, P.-G., Bentsen, M., Guo, C., and others, 2019.</w:t>
      </w:r>
      <w:r>
        <w:t xml:space="preserve"> </w:t>
      </w:r>
      <w:hyperlink r:id="rId266">
        <w:r>
          <w:rPr>
            <w:rStyle w:val="Hyperlink"/>
          </w:rPr>
          <w:t xml:space="preserve">NCC NorCPM1 model output prepared for CMIP6 CMIP</w:t>
        </w:r>
      </w:hyperlink>
      <w:r>
        <w:t xml:space="preserve">.</w:t>
      </w:r>
    </w:p>
    <w:bookmarkEnd w:id="267"/>
    <w:bookmarkStart w:id="269" w:name="ref-CMIP6.CMIP.IPSL.IPSL-CM6A-LR"/>
    <w:p>
      <w:pPr>
        <w:pStyle w:val="Bibliography"/>
      </w:pPr>
      <w:r>
        <w:t xml:space="preserve">Boucher, O., Denvil, S., Levavasseur, G., Cozic, A., Caubel, A., Foujols, M.-A., Meurdesoif, Y., Cadule, P., Devilliers, M., Ghattas, J., and others, 2018a.</w:t>
      </w:r>
      <w:r>
        <w:t xml:space="preserve"> </w:t>
      </w:r>
      <w:hyperlink r:id="rId268">
        <w:r>
          <w:rPr>
            <w:rStyle w:val="Hyperlink"/>
          </w:rPr>
          <w:t xml:space="preserve">IPSL IPSL-CM6A-LR model output prepared for CMIP6 CMIP</w:t>
        </w:r>
      </w:hyperlink>
      <w:r>
        <w:t xml:space="preserve">.</w:t>
      </w:r>
    </w:p>
    <w:bookmarkEnd w:id="269"/>
    <w:bookmarkStart w:id="271" w:name="ref-CMIP6.DAMIP.IPSL.IPSL-CM6A-LR"/>
    <w:p>
      <w:pPr>
        <w:pStyle w:val="Bibliography"/>
      </w:pPr>
      <w:r>
        <w:t xml:space="preserve">Boucher, O., Denvil, S., Levavasseur, G., Cozic, A., Caubel, A., Foujols, M.-A., Meurdesoif, Y., and Gastineau, G., 2018b.</w:t>
      </w:r>
      <w:r>
        <w:t xml:space="preserve"> </w:t>
      </w:r>
      <w:hyperlink r:id="rId270">
        <w:r>
          <w:rPr>
            <w:rStyle w:val="Hyperlink"/>
          </w:rPr>
          <w:t xml:space="preserve">IPSL IPSL-CM6A-LR model output prepared for CMIP6 DAMIP</w:t>
        </w:r>
      </w:hyperlink>
      <w:r>
        <w:t xml:space="preserve">.</w:t>
      </w:r>
    </w:p>
    <w:bookmarkEnd w:id="271"/>
    <w:bookmarkStart w:id="273" w:name="ref-cai2011"/>
    <w:p>
      <w:pPr>
        <w:pStyle w:val="Bibliography"/>
      </w:pPr>
      <w:r>
        <w:t xml:space="preserve">Cai, W., Rensch, P. van, Cowan, T., and Hendon, H.H., 2011.</w:t>
      </w:r>
      <w:r>
        <w:t xml:space="preserve"> </w:t>
      </w:r>
      <w:hyperlink r:id="rId272">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273"/>
    <w:bookmarkStart w:id="275" w:name="ref-cai2020a"/>
    <w:p>
      <w:pPr>
        <w:pStyle w:val="Bibliography"/>
      </w:pPr>
      <w:r>
        <w:t xml:space="preserve">Cai, W., McPhaden, M.J., Grimm, A.M., Rodrigues, R.R., Taschetto, A.S., Garreaud, R.D., Dewitte, B., Poveda, G., Ham, Y.-G., Santoso, A., and others, 2020.</w:t>
      </w:r>
      <w:r>
        <w:t xml:space="preserve"> </w:t>
      </w:r>
      <w:hyperlink r:id="rId274">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275"/>
    <w:bookmarkStart w:id="277" w:name="ref-campitelli2022"/>
    <w:p>
      <w:pPr>
        <w:pStyle w:val="Bibliography"/>
      </w:pPr>
      <w:r>
        <w:t xml:space="preserve">Campitelli, E., Díaz, L.B., and Vera, C., 2022.</w:t>
      </w:r>
      <w:r>
        <w:t xml:space="preserve"> </w:t>
      </w:r>
      <w:hyperlink r:id="rId276">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277"/>
    <w:bookmarkStart w:id="279" w:name="ref-CMIP6.CMIP.NUIST.NESM3"/>
    <w:p>
      <w:pPr>
        <w:pStyle w:val="Bibliography"/>
      </w:pPr>
      <w:r>
        <w:t xml:space="preserve">Cao, J., and Wang, B., 2019.</w:t>
      </w:r>
      <w:r>
        <w:t xml:space="preserve"> </w:t>
      </w:r>
      <w:hyperlink r:id="rId278">
        <w:r>
          <w:rPr>
            <w:rStyle w:val="Hyperlink"/>
          </w:rPr>
          <w:t xml:space="preserve">NUIST NESMv3 model output prepared for CMIP6 CMIP</w:t>
        </w:r>
      </w:hyperlink>
      <w:r>
        <w:t xml:space="preserve">.</w:t>
      </w:r>
    </w:p>
    <w:bookmarkEnd w:id="279"/>
    <w:bookmarkStart w:id="281" w:name="ref-chung1999"/>
    <w:p>
      <w:pPr>
        <w:pStyle w:val="Bibliography"/>
      </w:pPr>
      <w:r>
        <w:t xml:space="preserve">Chung, C., and Nigam, S., 1999.</w:t>
      </w:r>
      <w:r>
        <w:t xml:space="preserve"> </w:t>
      </w:r>
      <w:hyperlink r:id="rId280">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281"/>
    <w:bookmarkStart w:id="283" w:name="ref-clem2013"/>
    <w:p>
      <w:pPr>
        <w:pStyle w:val="Bibliography"/>
      </w:pPr>
      <w:r>
        <w:t xml:space="preserve">Clem, K.R., and Fogt, R.L., 2013.</w:t>
      </w:r>
      <w:r>
        <w:t xml:space="preserve"> </w:t>
      </w:r>
      <w:hyperlink r:id="rId282">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283"/>
    <w:bookmarkStart w:id="285" w:name="ref-CMIP6.CMIP.NCAR.CESM2"/>
    <w:p>
      <w:pPr>
        <w:pStyle w:val="Bibliography"/>
      </w:pPr>
      <w:r>
        <w:t xml:space="preserve">Danabasoglu, G., 2019a.</w:t>
      </w:r>
      <w:r>
        <w:t xml:space="preserve"> </w:t>
      </w:r>
      <w:hyperlink r:id="rId284">
        <w:r>
          <w:rPr>
            <w:rStyle w:val="Hyperlink"/>
          </w:rPr>
          <w:t xml:space="preserve">NCAR CESM2 model output prepared for CMIP6 CMIP</w:t>
        </w:r>
      </w:hyperlink>
      <w:r>
        <w:t xml:space="preserve">.</w:t>
      </w:r>
    </w:p>
    <w:bookmarkEnd w:id="285"/>
    <w:bookmarkStart w:id="287" w:name="ref-CMIP6.DAMIP.NCAR.CESM2"/>
    <w:p>
      <w:pPr>
        <w:pStyle w:val="Bibliography"/>
      </w:pPr>
      <w:r>
        <w:t xml:space="preserve">———, 2019b.</w:t>
      </w:r>
      <w:r>
        <w:t xml:space="preserve"> </w:t>
      </w:r>
      <w:hyperlink r:id="rId286">
        <w:r>
          <w:rPr>
            <w:rStyle w:val="Hyperlink"/>
          </w:rPr>
          <w:t xml:space="preserve">NCAR CESM2 model output prepared for CMIP6 DAMIP</w:t>
        </w:r>
      </w:hyperlink>
      <w:r>
        <w:t xml:space="preserve">.</w:t>
      </w:r>
    </w:p>
    <w:bookmarkEnd w:id="287"/>
    <w:bookmarkStart w:id="289" w:name="ref-CMIP6.CMIP.CSIRO-ARCCSS.ACCESS-CM2"/>
    <w:p>
      <w:pPr>
        <w:pStyle w:val="Bibliography"/>
      </w:pPr>
      <w:r>
        <w:t xml:space="preserve">Dix, M., Bi, D., Dobrohotoff, P., Fiedler, R., Harman, I., Law, R., Mackallah, C., Marsland, S., O’Farrell, S., Rashid, H., and others, 2019.</w:t>
      </w:r>
      <w:r>
        <w:t xml:space="preserve"> </w:t>
      </w:r>
      <w:hyperlink r:id="rId288">
        <w:r>
          <w:rPr>
            <w:rStyle w:val="Hyperlink"/>
          </w:rPr>
          <w:t xml:space="preserve">CSIRO-ARCCSS ACCESS-CM2 model output prepared for CMIP6 CMIP</w:t>
        </w:r>
      </w:hyperlink>
      <w:r>
        <w:t xml:space="preserve">.</w:t>
      </w:r>
    </w:p>
    <w:bookmarkEnd w:id="289"/>
    <w:bookmarkStart w:id="291" w:name="ref-CMIP6.DAMIP.CSIRO-ARCCSS.ACCESS-CM2"/>
    <w:p>
      <w:pPr>
        <w:pStyle w:val="Bibliography"/>
      </w:pPr>
      <w:r>
        <w:t xml:space="preserve">Dix, M., Mackallah, C., Bi, D., Bodman, R., Marsland, S., Rashid, H., Woodhouse, M., and Druken, K., 2020.</w:t>
      </w:r>
      <w:r>
        <w:t xml:space="preserve"> </w:t>
      </w:r>
      <w:hyperlink r:id="rId290">
        <w:r>
          <w:rPr>
            <w:rStyle w:val="Hyperlink"/>
          </w:rPr>
          <w:t xml:space="preserve">CSIRO-ARCCSS ACCESS-CM2 model output prepared for CMIP6 DAMIP</w:t>
        </w:r>
      </w:hyperlink>
      <w:r>
        <w:t xml:space="preserve">.</w:t>
      </w:r>
    </w:p>
    <w:bookmarkEnd w:id="291"/>
    <w:bookmarkStart w:id="293" w:name="ref-CMIP6.DAMIP.E3SM-Project.E3SM-1-0"/>
    <w:p>
      <w:pPr>
        <w:pStyle w:val="Bibliography"/>
      </w:pPr>
      <w:hyperlink r:id="rId292">
        <w:r>
          <w:rPr>
            <w:rStyle w:val="Hyperlink"/>
          </w:rPr>
          <w:t xml:space="preserve">E3SM-project E3SM1.0 model output prepared for CMIP6 DAMIP</w:t>
        </w:r>
      </w:hyperlink>
      <w:r>
        <w:t xml:space="preserve">, 2022.</w:t>
      </w:r>
    </w:p>
    <w:bookmarkEnd w:id="293"/>
    <w:bookmarkStart w:id="295" w:name="ref-fan2007"/>
    <w:p>
      <w:pPr>
        <w:pStyle w:val="Bibliography"/>
      </w:pPr>
      <w:r>
        <w:t xml:space="preserve">Fan, K., 2007.</w:t>
      </w:r>
      <w:r>
        <w:t xml:space="preserve"> </w:t>
      </w:r>
      <w:hyperlink r:id="rId294">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295"/>
    <w:bookmarkStart w:id="297" w:name="ref-fogt2006"/>
    <w:p>
      <w:pPr>
        <w:pStyle w:val="Bibliography"/>
      </w:pPr>
      <w:r>
        <w:t xml:space="preserve">Fogt, R.L., and Bromwich, D.H., 2006.</w:t>
      </w:r>
      <w:r>
        <w:t xml:space="preserve"> </w:t>
      </w:r>
      <w:hyperlink r:id="rId296">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97"/>
    <w:bookmarkStart w:id="299" w:name="ref-fogt2020"/>
    <w:p>
      <w:pPr>
        <w:pStyle w:val="Bibliography"/>
      </w:pPr>
      <w:r>
        <w:t xml:space="preserve">Fogt, R.L., and Marshall, G.J., 2020.</w:t>
      </w:r>
      <w:r>
        <w:t xml:space="preserve"> </w:t>
      </w:r>
      <w:hyperlink r:id="rId298">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99"/>
    <w:bookmarkStart w:id="301" w:name="ref-fogt2011a"/>
    <w:p>
      <w:pPr>
        <w:pStyle w:val="Bibliography"/>
      </w:pPr>
      <w:r>
        <w:t xml:space="preserve">Fogt, R.L., Bromwich, D.H., and Hines, K.M., 2011.</w:t>
      </w:r>
      <w:r>
        <w:t xml:space="preserve"> </w:t>
      </w:r>
      <w:hyperlink r:id="rId300">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301"/>
    <w:bookmarkStart w:id="303" w:name="ref-fogt2012"/>
    <w:p>
      <w:pPr>
        <w:pStyle w:val="Bibliography"/>
      </w:pPr>
      <w:r>
        <w:t xml:space="preserve">Fogt, R.L., Jones, J.M., and Renwick, J., 2012.</w:t>
      </w:r>
      <w:r>
        <w:t xml:space="preserve"> </w:t>
      </w:r>
      <w:hyperlink r:id="rId302">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303"/>
    <w:bookmarkStart w:id="305" w:name="ref-garreaud2007"/>
    <w:p>
      <w:pPr>
        <w:pStyle w:val="Bibliography"/>
      </w:pPr>
      <w:r>
        <w:t xml:space="preserve">Garreaud, R., 2007.</w:t>
      </w:r>
      <w:r>
        <w:t xml:space="preserve"> </w:t>
      </w:r>
      <w:hyperlink r:id="rId304">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305"/>
    <w:bookmarkStart w:id="307" w:name="ref-gillett2005"/>
    <w:p>
      <w:pPr>
        <w:pStyle w:val="Bibliography"/>
      </w:pPr>
      <w:r>
        <w:t xml:space="preserve">Gillett, N.P., Allan, R.J., and Ansell, T.J., 2005.</w:t>
      </w:r>
      <w:r>
        <w:t xml:space="preserve"> </w:t>
      </w:r>
      <w:hyperlink r:id="rId306">
        <w:r>
          <w:rPr>
            <w:rStyle w:val="Hyperlink"/>
          </w:rPr>
          <w:t xml:space="preserve">Detection of external influence on sea level pressure with a multi-model ensemble</w:t>
        </w:r>
      </w:hyperlink>
      <w:r>
        <w:t xml:space="preserve">. Geophysical Research Letters, 32, 19.</w:t>
      </w:r>
    </w:p>
    <w:bookmarkEnd w:id="307"/>
    <w:bookmarkStart w:id="309" w:name="ref-gillett2006"/>
    <w:p>
      <w:pPr>
        <w:pStyle w:val="Bibliography"/>
      </w:pPr>
      <w:r>
        <w:t xml:space="preserve">Gillett, N.P., Kell, T.D., and Jones, P.D., 2006.</w:t>
      </w:r>
      <w:r>
        <w:t xml:space="preserve"> </w:t>
      </w:r>
      <w:hyperlink r:id="rId308">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309"/>
    <w:bookmarkStart w:id="311" w:name="ref-gillett2013"/>
    <w:p>
      <w:pPr>
        <w:pStyle w:val="Bibliography"/>
      </w:pPr>
      <w:r>
        <w:t xml:space="preserve">Gillett, N.P., Fyfe, J.C., and Parker, D.E., 2013.</w:t>
      </w:r>
      <w:r>
        <w:t xml:space="preserve"> </w:t>
      </w:r>
      <w:hyperlink r:id="rId310">
        <w:r>
          <w:rPr>
            <w:rStyle w:val="Hyperlink"/>
          </w:rPr>
          <w:t xml:space="preserve">Attribution of observed sea level pressure trends to greenhouse gas, aerosol, and ozone changes</w:t>
        </w:r>
      </w:hyperlink>
      <w:r>
        <w:t xml:space="preserve">. Geophysical Research Letters, 40, 10, 2302–2306.</w:t>
      </w:r>
    </w:p>
    <w:bookmarkEnd w:id="311"/>
    <w:bookmarkStart w:id="313" w:name="ref-gong1999"/>
    <w:p>
      <w:pPr>
        <w:pStyle w:val="Bibliography"/>
      </w:pPr>
      <w:r>
        <w:t xml:space="preserve">Gong, D., and Wang, S., 1999.</w:t>
      </w:r>
      <w:r>
        <w:t xml:space="preserve"> </w:t>
      </w:r>
      <w:hyperlink r:id="rId312">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313"/>
    <w:bookmarkStart w:id="315" w:name="ref-grytsai2011"/>
    <w:p>
      <w:pPr>
        <w:pStyle w:val="Bibliography"/>
      </w:pPr>
      <w:r>
        <w:t xml:space="preserve">Grytsai, A., 2011.</w:t>
      </w:r>
      <w:r>
        <w:t xml:space="preserve"> </w:t>
      </w:r>
      <w:hyperlink r:id="rId314">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315"/>
    <w:bookmarkStart w:id="317" w:name="ref-hartmann1979"/>
    <w:p>
      <w:pPr>
        <w:pStyle w:val="Bibliography"/>
      </w:pPr>
      <w:r>
        <w:t xml:space="preserve">Hartmann, D.L., and Garcia, R.R., 1979.</w:t>
      </w:r>
      <w:r>
        <w:t xml:space="preserve"> </w:t>
      </w:r>
      <w:hyperlink r:id="rId316">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317"/>
    <w:bookmarkStart w:id="319" w:name="ref-hendon2007"/>
    <w:p>
      <w:pPr>
        <w:pStyle w:val="Bibliography"/>
      </w:pPr>
      <w:r>
        <w:t xml:space="preserve">Hendon, H.H., Thompson, D.W.J., and Wheeler, M.C., 2007.</w:t>
      </w:r>
      <w:r>
        <w:t xml:space="preserve"> </w:t>
      </w:r>
      <w:hyperlink r:id="rId318">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319"/>
    <w:bookmarkStart w:id="321" w:name="ref-hendon2014"/>
    <w:p>
      <w:pPr>
        <w:pStyle w:val="Bibliography"/>
      </w:pPr>
      <w:r>
        <w:t xml:space="preserve">Hendon, H.H., Lim, E.-P., and Nguyen, H., 2014.</w:t>
      </w:r>
      <w:r>
        <w:t xml:space="preserve"> </w:t>
      </w:r>
      <w:hyperlink r:id="rId320">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321"/>
    <w:bookmarkStart w:id="323" w:name="ref-ho2012"/>
    <w:p>
      <w:pPr>
        <w:pStyle w:val="Bibliography"/>
      </w:pPr>
      <w:r>
        <w:t xml:space="preserve">Ho, M., Kiem, A.S., and Verdon-Kidd, D.C., 2012.</w:t>
      </w:r>
      <w:r>
        <w:t xml:space="preserve"> </w:t>
      </w:r>
      <w:hyperlink r:id="rId322">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323"/>
    <w:bookmarkStart w:id="325" w:name="ref-horel1984"/>
    <w:p>
      <w:pPr>
        <w:pStyle w:val="Bibliography"/>
      </w:pPr>
      <w:r>
        <w:t xml:space="preserve">Horel, J.D., 1984.</w:t>
      </w:r>
      <w:r>
        <w:t xml:space="preserve"> </w:t>
      </w:r>
      <w:hyperlink r:id="rId324">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325"/>
    <w:bookmarkStart w:id="327" w:name="ref-CMIP6.DAMIP.NOAA-GFDL.GFDL-ESM4"/>
    <w:p>
      <w:pPr>
        <w:pStyle w:val="Bibliography"/>
      </w:pPr>
      <w:r>
        <w:t xml:space="preserve">Horowitz, L.W., John, J.G., Blanton, C., McHugh, C., Radhakrishnan, A., Rand, K., Vahlenkamp, H., Zadeh, N.T., Wilson, C., Dunne, J.P., and others, 2018.</w:t>
      </w:r>
      <w:r>
        <w:t xml:space="preserve"> </w:t>
      </w:r>
      <w:hyperlink r:id="rId326">
        <w:r>
          <w:rPr>
            <w:rStyle w:val="Hyperlink"/>
          </w:rPr>
          <w:t xml:space="preserve">NOAA-GFDL GFDL-ESM4 model output prepared for CMIP6 DAMIP</w:t>
        </w:r>
      </w:hyperlink>
      <w:r>
        <w:t xml:space="preserve">.</w:t>
      </w:r>
    </w:p>
    <w:bookmarkEnd w:id="327"/>
    <w:bookmarkStart w:id="329" w:name="ref-irving2016"/>
    <w:p>
      <w:pPr>
        <w:pStyle w:val="Bibliography"/>
      </w:pPr>
      <w:r>
        <w:t xml:space="preserve">Irving, D., and Simmonds, I., 2016.</w:t>
      </w:r>
      <w:r>
        <w:t xml:space="preserve"> </w:t>
      </w:r>
      <w:hyperlink r:id="rId328">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329"/>
    <w:bookmarkStart w:id="331" w:name="ref-CMIP6.DAMIP.MOHC.HadGEM3-GC31-LL"/>
    <w:p>
      <w:pPr>
        <w:pStyle w:val="Bibliography"/>
      </w:pPr>
      <w:r>
        <w:t xml:space="preserve">Jones, G., 2019.</w:t>
      </w:r>
      <w:r>
        <w:t xml:space="preserve"> </w:t>
      </w:r>
      <w:hyperlink r:id="rId330">
        <w:r>
          <w:rPr>
            <w:rStyle w:val="Hyperlink"/>
          </w:rPr>
          <w:t xml:space="preserve">MOHC HadGEM3-GC31-LL model output prepared for CMIP6 DAMIP</w:t>
        </w:r>
      </w:hyperlink>
      <w:r>
        <w:t xml:space="preserve">.</w:t>
      </w:r>
    </w:p>
    <w:bookmarkEnd w:id="331"/>
    <w:bookmarkStart w:id="333" w:name="ref-jones2009"/>
    <w:p>
      <w:pPr>
        <w:pStyle w:val="Bibliography"/>
      </w:pPr>
      <w:r>
        <w:t xml:space="preserve">Jones, J.M., Fogt, R.L., Widmann, M., Marshall, G.J., Jones, P.D., and Visbeck, M., 2009.</w:t>
      </w:r>
      <w:r>
        <w:t xml:space="preserve"> </w:t>
      </w:r>
      <w:hyperlink r:id="rId332">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333"/>
    <w:bookmarkStart w:id="335" w:name="ref-jones2019"/>
    <w:p>
      <w:pPr>
        <w:pStyle w:val="Bibliography"/>
      </w:pPr>
      <w:r>
        <w:t xml:space="preserve">Jones, M.E., Bromwich, D.H., Nicolas, J.P., Carrasco, J., Plavcová, E., Zou, X., and Wang, S.-H., 2019.</w:t>
      </w:r>
      <w:r>
        <w:t xml:space="preserve"> </w:t>
      </w:r>
      <w:hyperlink r:id="rId334">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335"/>
    <w:bookmarkStart w:id="337" w:name="ref-CMIP6.CMIP.MPI-M.MPI-ESM1-2-HR"/>
    <w:p>
      <w:pPr>
        <w:pStyle w:val="Bibliography"/>
      </w:pPr>
      <w:r>
        <w:t xml:space="preserve">Jungclaus, J., Bittner, M., Wieners, K.-H., Wachsmann, F., Schupfner, M., Legutke, S., Giorgetta, M., Reick, C., Gayler, V., Haak, H., and others, 2019.</w:t>
      </w:r>
      <w:r>
        <w:t xml:space="preserve"> </w:t>
      </w:r>
      <w:hyperlink r:id="rId336">
        <w:r>
          <w:rPr>
            <w:rStyle w:val="Hyperlink"/>
          </w:rPr>
          <w:t xml:space="preserve">MPI-m MPIESM1.2-HR model output prepared for CMIP6 CMIP</w:t>
        </w:r>
      </w:hyperlink>
      <w:r>
        <w:t xml:space="preserve">.</w:t>
      </w:r>
    </w:p>
    <w:bookmarkEnd w:id="337"/>
    <w:bookmarkStart w:id="339" w:name="ref-kao2009"/>
    <w:p>
      <w:pPr>
        <w:pStyle w:val="Bibliography"/>
      </w:pPr>
      <w:r>
        <w:t xml:space="preserve">Kao, H.-Y., and Yu, J.-Y., 2009.</w:t>
      </w:r>
      <w:r>
        <w:t xml:space="preserve"> </w:t>
      </w:r>
      <w:hyperlink r:id="rId338">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339"/>
    <w:bookmarkStart w:id="341" w:name="ref-karoly1989"/>
    <w:p>
      <w:pPr>
        <w:pStyle w:val="Bibliography"/>
      </w:pPr>
      <w:r>
        <w:t xml:space="preserve">Karoly, D.J., 1989.</w:t>
      </w:r>
      <w:r>
        <w:t xml:space="preserve"> </w:t>
      </w:r>
      <w:hyperlink r:id="rId340">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341"/>
    <w:bookmarkStart w:id="343" w:name="ref-katz1991"/>
    <w:p>
      <w:pPr>
        <w:pStyle w:val="Bibliography"/>
      </w:pPr>
      <w:r>
        <w:t xml:space="preserve">Katz, R.W., and Brown, B.G., 1991.</w:t>
      </w:r>
      <w:r>
        <w:t xml:space="preserve"> </w:t>
      </w:r>
      <w:hyperlink r:id="rId342">
        <w:r>
          <w:rPr>
            <w:rStyle w:val="Hyperlink"/>
          </w:rPr>
          <w:t xml:space="preserve">The problem of multiplicity in research on teleconnections</w:t>
        </w:r>
      </w:hyperlink>
      <w:r>
        <w:t xml:space="preserve">. International Journal of Climatology, 11, 5, 505–513.</w:t>
      </w:r>
    </w:p>
    <w:bookmarkEnd w:id="343"/>
    <w:bookmarkStart w:id="345" w:name="ref-kidson1988"/>
    <w:p>
      <w:pPr>
        <w:pStyle w:val="Bibliography"/>
      </w:pPr>
      <w:r>
        <w:t xml:space="preserve">Kidson, J.W., 1988.</w:t>
      </w:r>
      <w:r>
        <w:t xml:space="preserve"> </w:t>
      </w:r>
      <w:hyperlink r:id="rId344">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345"/>
    <w:bookmarkStart w:id="347" w:name="ref-CMIP6.CMIP.CAS.FGOALS-g3"/>
    <w:p>
      <w:pPr>
        <w:pStyle w:val="Bibliography"/>
      </w:pPr>
      <w:r>
        <w:t xml:space="preserve">Li, L., 2019.</w:t>
      </w:r>
      <w:r>
        <w:t xml:space="preserve"> </w:t>
      </w:r>
      <w:hyperlink r:id="rId346">
        <w:r>
          <w:rPr>
            <w:rStyle w:val="Hyperlink"/>
          </w:rPr>
          <w:t xml:space="preserve">CAS FGOALS-g3 model output prepared for CMIP6 CMIP</w:t>
        </w:r>
      </w:hyperlink>
      <w:r>
        <w:t xml:space="preserve">.</w:t>
      </w:r>
    </w:p>
    <w:bookmarkEnd w:id="347"/>
    <w:bookmarkStart w:id="349" w:name="ref-CMIP6.DAMIP.CAS.FGOALS-g3"/>
    <w:p>
      <w:pPr>
        <w:pStyle w:val="Bibliography"/>
      </w:pPr>
      <w:r>
        <w:t xml:space="preserve">———, 2020.</w:t>
      </w:r>
      <w:r>
        <w:t xml:space="preserve"> </w:t>
      </w:r>
      <w:hyperlink r:id="rId348">
        <w:r>
          <w:rPr>
            <w:rStyle w:val="Hyperlink"/>
          </w:rPr>
          <w:t xml:space="preserve">CAS FGOALS-g3 model output prepared for CMIP6 DAMIP</w:t>
        </w:r>
      </w:hyperlink>
      <w:r>
        <w:t xml:space="preserve">.</w:t>
      </w:r>
    </w:p>
    <w:bookmarkEnd w:id="349"/>
    <w:bookmarkStart w:id="351" w:name="ref-lim2016"/>
    <w:p>
      <w:pPr>
        <w:pStyle w:val="Bibliography"/>
      </w:pPr>
      <w:r>
        <w:t xml:space="preserve">Lim, E.-P., Hendon, H.H., Arblaster, J.M., Delage, F., Nguyen, H., Min, S.-K., and Wheeler, M.C., 2016.</w:t>
      </w:r>
      <w:r>
        <w:t xml:space="preserve"> </w:t>
      </w:r>
      <w:hyperlink r:id="rId350">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351"/>
    <w:bookmarkStart w:id="353" w:name="ref-marshall2003"/>
    <w:p>
      <w:pPr>
        <w:pStyle w:val="Bibliography"/>
      </w:pPr>
      <w:r>
        <w:t xml:space="preserve">Marshall, G.J., 2003.</w:t>
      </w:r>
      <w:r>
        <w:t xml:space="preserve"> </w:t>
      </w:r>
      <w:hyperlink r:id="rId352">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353"/>
    <w:bookmarkStart w:id="355" w:name="ref-marshall2016"/>
    <w:p>
      <w:pPr>
        <w:pStyle w:val="Bibliography"/>
      </w:pPr>
      <w:r>
        <w:t xml:space="preserve">Marshall, G.J., and Thompson, D.W.J., 2016.</w:t>
      </w:r>
      <w:r>
        <w:t xml:space="preserve"> </w:t>
      </w:r>
      <w:hyperlink r:id="rId354">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355"/>
    <w:bookmarkStart w:id="357" w:name="ref-marshall2004"/>
    <w:p>
      <w:pPr>
        <w:pStyle w:val="Bibliography"/>
      </w:pPr>
      <w:r>
        <w:t xml:space="preserve">Marshall, G.J., Stott, P.A., Turner, J., Connolley, W.M., King, J.C., and Lachlan-Cope, T.A., 2004.</w:t>
      </w:r>
      <w:r>
        <w:t xml:space="preserve"> </w:t>
      </w:r>
      <w:hyperlink r:id="rId356">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357"/>
    <w:bookmarkStart w:id="359" w:name="ref-mo2000"/>
    <w:p>
      <w:pPr>
        <w:pStyle w:val="Bibliography"/>
      </w:pPr>
      <w:r>
        <w:t xml:space="preserve">Mo, K.C., 2000.</w:t>
      </w:r>
      <w:r>
        <w:t xml:space="preserve"> </w:t>
      </w:r>
      <w:hyperlink r:id="rId358">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359"/>
    <w:bookmarkStart w:id="361" w:name="ref-mo1987"/>
    <w:p>
      <w:pPr>
        <w:pStyle w:val="Bibliography"/>
      </w:pPr>
      <w:r>
        <w:t xml:space="preserve">Mo, K.C., and Ghil, M., 1987.</w:t>
      </w:r>
      <w:r>
        <w:t xml:space="preserve"> </w:t>
      </w:r>
      <w:hyperlink r:id="rId360">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361"/>
    <w:bookmarkStart w:id="363" w:name="ref-mo2001"/>
    <w:p>
      <w:pPr>
        <w:pStyle w:val="Bibliography"/>
      </w:pPr>
      <w:r>
        <w:t xml:space="preserve">Mo, K.C., and Paegle, J.N., 2001.</w:t>
      </w:r>
      <w:r>
        <w:t xml:space="preserve"> </w:t>
      </w:r>
      <w:hyperlink r:id="rId362">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363"/>
    <w:bookmarkStart w:id="365" w:name="ref-nicolas2014"/>
    <w:p>
      <w:pPr>
        <w:pStyle w:val="Bibliography"/>
      </w:pPr>
      <w:r>
        <w:t xml:space="preserve">Nicolas, J.P., and Bromwich, D.H., 2014.</w:t>
      </w:r>
      <w:r>
        <w:t xml:space="preserve"> </w:t>
      </w:r>
      <w:hyperlink r:id="rId364">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365"/>
    <w:bookmarkStart w:id="367" w:name="ref-nuncio2015"/>
    <w:p>
      <w:pPr>
        <w:pStyle w:val="Bibliography"/>
      </w:pPr>
      <w:r>
        <w:t xml:space="preserve">Nuncio, M., and Yuan, X., 2015.</w:t>
      </w:r>
      <w:r>
        <w:t xml:space="preserve"> </w:t>
      </w:r>
      <w:hyperlink r:id="rId366">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367"/>
    <w:bookmarkStart w:id="369" w:name="ref-CMIP6.DAMIP.NOAA-GFDL.GFDL-CM4"/>
    <w:p>
      <w:pPr>
        <w:pStyle w:val="Bibliography"/>
      </w:pPr>
      <w:r>
        <w:t xml:space="preserve">Ploshay, J., Hurlin, W., John, J.G., Blanton, C., McHugh, C., Radhakrishnan, A., Rand, K., Vahlenkamp, H., Zadeh, N.T., Wilson, C., and others, 2018.</w:t>
      </w:r>
      <w:r>
        <w:t xml:space="preserve"> </w:t>
      </w:r>
      <w:hyperlink r:id="rId368">
        <w:r>
          <w:rPr>
            <w:rStyle w:val="Hyperlink"/>
          </w:rPr>
          <w:t xml:space="preserve">NOAA-GFDL GFDL-CM4 model output prepared for CMIP6 DAMIP</w:t>
        </w:r>
      </w:hyperlink>
      <w:r>
        <w:t xml:space="preserve">.</w:t>
      </w:r>
    </w:p>
    <w:bookmarkEnd w:id="369"/>
    <w:bookmarkStart w:id="371" w:name="ref-raphael2004"/>
    <w:p>
      <w:pPr>
        <w:pStyle w:val="Bibliography"/>
      </w:pPr>
      <w:r>
        <w:t xml:space="preserve">Raphael, M.N., 2004.</w:t>
      </w:r>
      <w:r>
        <w:t xml:space="preserve"> </w:t>
      </w:r>
      <w:hyperlink r:id="rId370">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371"/>
    <w:bookmarkStart w:id="373" w:name="ref-CMIP6.CMIP.MOHC.HadGEM3-GC31-LL"/>
    <w:p>
      <w:pPr>
        <w:pStyle w:val="Bibliography"/>
      </w:pPr>
      <w:r>
        <w:t xml:space="preserve">Ridley, J., Menary, M., Kuhlbrodt, T., Andrews, M., and Andrews, T., 2018.</w:t>
      </w:r>
      <w:r>
        <w:t xml:space="preserve"> </w:t>
      </w:r>
      <w:hyperlink r:id="rId372">
        <w:r>
          <w:rPr>
            <w:rStyle w:val="Hyperlink"/>
          </w:rPr>
          <w:t xml:space="preserve">MOHC HadGEM3-GC31-LL model output prepared for CMIP6 CMIP</w:t>
        </w:r>
      </w:hyperlink>
      <w:r>
        <w:t xml:space="preserve">.</w:t>
      </w:r>
    </w:p>
    <w:bookmarkEnd w:id="373"/>
    <w:bookmarkStart w:id="375" w:name="ref-rogers1982"/>
    <w:p>
      <w:pPr>
        <w:pStyle w:val="Bibliography"/>
      </w:pPr>
      <w:r>
        <w:t xml:space="preserve">Rogers, J.C., and van Loon, H., 1982.</w:t>
      </w:r>
      <w:r>
        <w:t xml:space="preserve"> </w:t>
      </w:r>
      <w:hyperlink r:id="rId374">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375"/>
    <w:bookmarkStart w:id="377" w:name="ref-ropelewski1987"/>
    <w:p>
      <w:pPr>
        <w:pStyle w:val="Bibliography"/>
      </w:pPr>
      <w:r>
        <w:t xml:space="preserve">Ropelewski, C.F., and Jones, P.D., 1987.</w:t>
      </w:r>
      <w:r>
        <w:t xml:space="preserve"> </w:t>
      </w:r>
      <w:hyperlink r:id="rId376">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377"/>
    <w:bookmarkStart w:id="379" w:name="ref-rosso2018"/>
    <w:p>
      <w:pPr>
        <w:pStyle w:val="Bibliography"/>
      </w:pPr>
      <w:r>
        <w:t xml:space="preserve">Rosso, F.V., Boiaski, N.T., Ferraz, S.E.T., and Robles, T.C., 2018.</w:t>
      </w:r>
      <w:r>
        <w:t xml:space="preserve"> </w:t>
      </w:r>
      <w:hyperlink r:id="rId378">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379"/>
    <w:bookmarkStart w:id="381" w:name="ref-saji1999"/>
    <w:p>
      <w:pPr>
        <w:pStyle w:val="Bibliography"/>
      </w:pPr>
      <w:r>
        <w:t xml:space="preserve">Saji, N.H., Goswami, B.N., Vinayachandran, P.N., and Yamagata, T., 1999.</w:t>
      </w:r>
      <w:r>
        <w:t xml:space="preserve"> </w:t>
      </w:r>
      <w:hyperlink r:id="rId380">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381"/>
    <w:bookmarkStart w:id="383" w:name="ref-CMIP6.CMIP.CNRM-CERFACS.CNRM-ESM2-1"/>
    <w:p>
      <w:pPr>
        <w:pStyle w:val="Bibliography"/>
      </w:pPr>
      <w:r>
        <w:t xml:space="preserve">Seferian, R., 2018.</w:t>
      </w:r>
      <w:r>
        <w:t xml:space="preserve"> </w:t>
      </w:r>
      <w:hyperlink r:id="rId382">
        <w:r>
          <w:rPr>
            <w:rStyle w:val="Hyperlink"/>
          </w:rPr>
          <w:t xml:space="preserve">CNRM-CERFACS CNRM-ESM2-1 model output prepared for CMIP6 CMIP</w:t>
        </w:r>
      </w:hyperlink>
      <w:r>
        <w:t xml:space="preserve">.</w:t>
      </w:r>
    </w:p>
    <w:bookmarkEnd w:id="383"/>
    <w:bookmarkStart w:id="385" w:name="ref-CMIP6.DAMIP.NCC.NorESM2-LM"/>
    <w:p>
      <w:pPr>
        <w:pStyle w:val="Bibliography"/>
      </w:pPr>
      <w:r>
        <w:t xml:space="preserve">Seland, ?yvind., Bentsen, M., Oliviè, D.J.L., Toniazzo, T., Gjermundsen, A., Graff, L.S., Debernard, J.B., Gupta, A.K., He, Y., Kirkevåg, A., and others, 2019.</w:t>
      </w:r>
      <w:r>
        <w:t xml:space="preserve"> </w:t>
      </w:r>
      <w:hyperlink r:id="rId384">
        <w:r>
          <w:rPr>
            <w:rStyle w:val="Hyperlink"/>
          </w:rPr>
          <w:t xml:space="preserve">NCC NorESM2-LM model output prepared for CMIP6 DAMIP</w:t>
        </w:r>
      </w:hyperlink>
      <w:r>
        <w:t xml:space="preserve">.</w:t>
      </w:r>
    </w:p>
    <w:bookmarkEnd w:id="385"/>
    <w:bookmarkStart w:id="387" w:name="ref-CMIP6.CMIP.AWI.AWI-CM-1-1-MR"/>
    <w:p>
      <w:pPr>
        <w:pStyle w:val="Bibliography"/>
      </w:pPr>
      <w:r>
        <w:t xml:space="preserve">Semmler, T., Danilov, S., Rackow, T., Sidorenko, D., Barbi, D., Hegewald, J., Sein, D., Wang, Q., and Jung, T., 2018.</w:t>
      </w:r>
      <w:r>
        <w:t xml:space="preserve"> </w:t>
      </w:r>
      <w:hyperlink r:id="rId386">
        <w:r>
          <w:rPr>
            <w:rStyle w:val="Hyperlink"/>
          </w:rPr>
          <w:t xml:space="preserve">AWI AWI-CM1.1MR model output prepared for CMIP6 CMIP</w:t>
        </w:r>
      </w:hyperlink>
      <w:r>
        <w:t xml:space="preserve">.</w:t>
      </w:r>
    </w:p>
    <w:bookmarkEnd w:id="387"/>
    <w:bookmarkStart w:id="389" w:name="ref-sheather1991"/>
    <w:p>
      <w:pPr>
        <w:pStyle w:val="Bibliography"/>
      </w:pPr>
      <w:r>
        <w:t xml:space="preserve">Sheather, S.J., and Jones, M.C., 1991.</w:t>
      </w:r>
      <w:r>
        <w:t xml:space="preserve"> </w:t>
      </w:r>
      <w:hyperlink r:id="rId388">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389"/>
    <w:bookmarkStart w:id="391" w:name="ref-CMIP6.CMIP.NIMS-KMA.UKESM1-0-LL"/>
    <w:p>
      <w:pPr>
        <w:pStyle w:val="Bibliography"/>
      </w:pPr>
      <w:r>
        <w:t xml:space="preserve">Shim, S., Lim, Y.-J., Byun, Y.-H., Seo, J., Kwon, S., and Kim, B.-H., 2020.</w:t>
      </w:r>
      <w:r>
        <w:t xml:space="preserve"> </w:t>
      </w:r>
      <w:hyperlink r:id="rId390">
        <w:r>
          <w:rPr>
            <w:rStyle w:val="Hyperlink"/>
          </w:rPr>
          <w:t xml:space="preserve">NIMS-KMA UKESM1.0-LL model output prepared for CMIP6 CMIP</w:t>
        </w:r>
      </w:hyperlink>
      <w:r>
        <w:t xml:space="preserve">.</w:t>
      </w:r>
    </w:p>
    <w:bookmarkEnd w:id="391"/>
    <w:bookmarkStart w:id="393" w:name="ref-CMIP6.DAMIP.MIROC.MIROC6"/>
    <w:p>
      <w:pPr>
        <w:pStyle w:val="Bibliography"/>
      </w:pPr>
      <w:r>
        <w:t xml:space="preserve">Shiogama, H., 2019.</w:t>
      </w:r>
      <w:r>
        <w:t xml:space="preserve"> </w:t>
      </w:r>
      <w:hyperlink r:id="rId392">
        <w:r>
          <w:rPr>
            <w:rStyle w:val="Hyperlink"/>
          </w:rPr>
          <w:t xml:space="preserve">MIROC MIROC6 model output prepared for CMIP6 DAMIP</w:t>
        </w:r>
      </w:hyperlink>
      <w:r>
        <w:t xml:space="preserve">.</w:t>
      </w:r>
    </w:p>
    <w:bookmarkEnd w:id="393"/>
    <w:bookmarkStart w:id="395" w:name="ref-silvestri2009"/>
    <w:p>
      <w:pPr>
        <w:pStyle w:val="Bibliography"/>
      </w:pPr>
      <w:r>
        <w:t xml:space="preserve">Silvestri, G., and Vera, C., 2009.</w:t>
      </w:r>
      <w:r>
        <w:t xml:space="preserve"> </w:t>
      </w:r>
      <w:hyperlink r:id="rId394">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395"/>
    <w:bookmarkStart w:id="397" w:name="ref-smith1995"/>
    <w:p>
      <w:pPr>
        <w:pStyle w:val="Bibliography"/>
      </w:pPr>
      <w:r>
        <w:t xml:space="preserve">Smith, A.K., 1995.</w:t>
      </w:r>
      <w:r>
        <w:t xml:space="preserve"> </w:t>
      </w:r>
      <w:hyperlink r:id="rId396">
        <w:r>
          <w:rPr>
            <w:rStyle w:val="Hyperlink"/>
          </w:rPr>
          <w:t xml:space="preserve">Numerical simulation of global variations of temperature, ozone, and trace species in the stratosphere</w:t>
        </w:r>
      </w:hyperlink>
      <w:r>
        <w:t xml:space="preserve">. Journal of Geophysical Research: Atmospheres, 100, D1, 1253–1269.</w:t>
      </w:r>
    </w:p>
    <w:bookmarkEnd w:id="397"/>
    <w:bookmarkStart w:id="399" w:name="ref-CMIP6.CMIP.NASA-GISS.GISS-E2-1-G"/>
    <w:p>
      <w:pPr>
        <w:pStyle w:val="Bibliography"/>
      </w:pPr>
      <w:r>
        <w:t xml:space="preserve">Space Studies (NASA/GISS), N.G.I. for, 2018a.</w:t>
      </w:r>
      <w:r>
        <w:t xml:space="preserve"> </w:t>
      </w:r>
      <w:hyperlink r:id="rId398">
        <w:r>
          <w:rPr>
            <w:rStyle w:val="Hyperlink"/>
          </w:rPr>
          <w:t xml:space="preserve">NASA-GISS GISS-E2.1G model output prepared for CMIP6 CMIP</w:t>
        </w:r>
      </w:hyperlink>
      <w:r>
        <w:t xml:space="preserve">.</w:t>
      </w:r>
    </w:p>
    <w:bookmarkEnd w:id="399"/>
    <w:bookmarkStart w:id="401" w:name="ref-CMIP6.DAMIP.NASA-GISS.GISS-E2-1-G"/>
    <w:p>
      <w:pPr>
        <w:pStyle w:val="Bibliography"/>
      </w:pPr>
      <w:r>
        <w:t xml:space="preserve">———, 2018b.</w:t>
      </w:r>
      <w:r>
        <w:t xml:space="preserve"> </w:t>
      </w:r>
      <w:hyperlink r:id="rId400">
        <w:r>
          <w:rPr>
            <w:rStyle w:val="Hyperlink"/>
          </w:rPr>
          <w:t xml:space="preserve">NASA-GISS GISS-E2.1G model output prepared for CMIP6 DAMIP</w:t>
        </w:r>
      </w:hyperlink>
      <w:r>
        <w:t xml:space="preserve">.</w:t>
      </w:r>
    </w:p>
    <w:bookmarkEnd w:id="401"/>
    <w:bookmarkStart w:id="403" w:name="ref-CMIP6.CMIP.CCCma.CanESM5"/>
    <w:p>
      <w:pPr>
        <w:pStyle w:val="Bibliography"/>
      </w:pPr>
      <w:r>
        <w:t xml:space="preserve">Swart, N.C., Cole, J.N.S., Kharin, V.V., Lazare, M., Scinocca, J.F., Gillett, N.P., Anstey, J., Arora, V., Christian, J.R., Jiao, Y., and others, 2019a.</w:t>
      </w:r>
      <w:r>
        <w:t xml:space="preserve"> </w:t>
      </w:r>
      <w:hyperlink r:id="rId402">
        <w:r>
          <w:rPr>
            <w:rStyle w:val="Hyperlink"/>
          </w:rPr>
          <w:t xml:space="preserve">CCCma CanESM5 model output prepared for CMIP6 CMIP</w:t>
        </w:r>
      </w:hyperlink>
      <w:r>
        <w:t xml:space="preserve">.</w:t>
      </w:r>
    </w:p>
    <w:bookmarkEnd w:id="403"/>
    <w:bookmarkStart w:id="405" w:name="ref-CMIP6.DAMIP.CCCma.CanESM5"/>
    <w:p>
      <w:pPr>
        <w:pStyle w:val="Bibliography"/>
      </w:pPr>
      <w:r>
        <w:t xml:space="preserve">———, and others, 2019b.</w:t>
      </w:r>
      <w:r>
        <w:t xml:space="preserve"> </w:t>
      </w:r>
      <w:hyperlink r:id="rId404">
        <w:r>
          <w:rPr>
            <w:rStyle w:val="Hyperlink"/>
          </w:rPr>
          <w:t xml:space="preserve">CCCma CanESM5 model output prepared for CMIP6 DAMIP</w:t>
        </w:r>
      </w:hyperlink>
      <w:r>
        <w:t xml:space="preserve">.</w:t>
      </w:r>
    </w:p>
    <w:bookmarkEnd w:id="405"/>
    <w:bookmarkStart w:id="407" w:name="ref-CMIP6.CMIP.MOHC.UKESM1-0-LL"/>
    <w:p>
      <w:pPr>
        <w:pStyle w:val="Bibliography"/>
      </w:pPr>
      <w:r>
        <w:t xml:space="preserve">Tang, Y., Rumbold, S., Ellis, R., Kelley, D., Mulcahy, J., Sellar, A., Walton, J., and Jones, C., 2019.</w:t>
      </w:r>
      <w:r>
        <w:t xml:space="preserve"> </w:t>
      </w:r>
      <w:hyperlink r:id="rId406">
        <w:r>
          <w:rPr>
            <w:rStyle w:val="Hyperlink"/>
          </w:rPr>
          <w:t xml:space="preserve">MOHC UKESM1.0-LL model output prepared for CMIP6 CMIP</w:t>
        </w:r>
      </w:hyperlink>
      <w:r>
        <w:t xml:space="preserve">.</w:t>
      </w:r>
    </w:p>
    <w:bookmarkEnd w:id="407"/>
    <w:bookmarkStart w:id="409" w:name="ref-CMIP6.CMIP.MIROC.MIROC6"/>
    <w:p>
      <w:pPr>
        <w:pStyle w:val="Bibliography"/>
      </w:pPr>
      <w:r>
        <w:t xml:space="preserve">Tatebe, H., and Watanabe, M., 2018.</w:t>
      </w:r>
      <w:r>
        <w:t xml:space="preserve"> </w:t>
      </w:r>
      <w:hyperlink r:id="rId408">
        <w:r>
          <w:rPr>
            <w:rStyle w:val="Hyperlink"/>
          </w:rPr>
          <w:t xml:space="preserve">MIROC MIROC6 model output prepared for CMIP6 CMIP</w:t>
        </w:r>
      </w:hyperlink>
      <w:r>
        <w:t xml:space="preserve">.</w:t>
      </w:r>
    </w:p>
    <w:bookmarkEnd w:id="409"/>
    <w:bookmarkStart w:id="411" w:name="ref-vasconcellos2022"/>
    <w:p>
      <w:pPr>
        <w:pStyle w:val="Bibliography"/>
      </w:pPr>
      <w:r>
        <w:t xml:space="preserve">Vasconcellos, F.C., Mattos-Gava, M.L.L., and Sansigolo, C.A., 2022.</w:t>
      </w:r>
      <w:r>
        <w:t xml:space="preserve"> </w:t>
      </w:r>
      <w:hyperlink r:id="rId410">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411"/>
    <w:bookmarkStart w:id="413" w:name="ref-CMIP6.CMIP.CNRM-CERFACS.CNRM-CM6-1"/>
    <w:p>
      <w:pPr>
        <w:pStyle w:val="Bibliography"/>
      </w:pPr>
      <w:r>
        <w:t xml:space="preserve">Voldoire, A., 2018.</w:t>
      </w:r>
      <w:r>
        <w:t xml:space="preserve"> </w:t>
      </w:r>
      <w:hyperlink r:id="rId412">
        <w:r>
          <w:rPr>
            <w:rStyle w:val="Hyperlink"/>
          </w:rPr>
          <w:t xml:space="preserve">CNRM-CERFACS CNRM-CM6-1 model output prepared for CMIP6 CMIP</w:t>
        </w:r>
      </w:hyperlink>
      <w:r>
        <w:t xml:space="preserve">.</w:t>
      </w:r>
    </w:p>
    <w:bookmarkEnd w:id="413"/>
    <w:bookmarkStart w:id="415" w:name="ref-CMIP6.DAMIP.CNRM-CERFACS.CNRM-CM6-1"/>
    <w:p>
      <w:pPr>
        <w:pStyle w:val="Bibliography"/>
      </w:pPr>
      <w:r>
        <w:t xml:space="preserve">———, 2019.</w:t>
      </w:r>
      <w:r>
        <w:t xml:space="preserve"> </w:t>
      </w:r>
      <w:hyperlink r:id="rId414">
        <w:r>
          <w:rPr>
            <w:rStyle w:val="Hyperlink"/>
          </w:rPr>
          <w:t xml:space="preserve">CNRM-CERFACS CNRM-CM6-1 model output prepared for CMIP6 DAMIP</w:t>
        </w:r>
      </w:hyperlink>
      <w:r>
        <w:t xml:space="preserve">.</w:t>
      </w:r>
    </w:p>
    <w:bookmarkEnd w:id="415"/>
    <w:bookmarkStart w:id="417" w:name="ref-CMIP6.CMIP.INM.INM-CM5-0"/>
    <w:p>
      <w:pPr>
        <w:pStyle w:val="Bibliography"/>
      </w:pPr>
      <w:r>
        <w:t xml:space="preserve">Volodin, E., Mortikov, E., Gritsun, A., Lykossov, V., Galin, V., Diansky, N., Gusev, A., Kostrykin, S., Iakovlev, N., Shestakova, A., and others, 2019.</w:t>
      </w:r>
      <w:r>
        <w:t xml:space="preserve"> </w:t>
      </w:r>
      <w:hyperlink r:id="rId416">
        <w:r>
          <w:rPr>
            <w:rStyle w:val="Hyperlink"/>
          </w:rPr>
          <w:t xml:space="preserve">INM INM-CM5-0 model output prepared for CMIP6 CMIP</w:t>
        </w:r>
      </w:hyperlink>
      <w:r>
        <w:t xml:space="preserve">.</w:t>
      </w:r>
    </w:p>
    <w:bookmarkEnd w:id="417"/>
    <w:bookmarkStart w:id="418"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418"/>
    <w:bookmarkStart w:id="420" w:name="ref-CMIP6.CMIP.MPI-M.MPI-ESM1-2-LR"/>
    <w:p>
      <w:pPr>
        <w:pStyle w:val="Bibliography"/>
      </w:pPr>
      <w:r>
        <w:t xml:space="preserve">Wieners, K.-H., Giorgetta, M., Jungclaus, J., Reick, C., Esch, M., Bittner, M., Legutke, S., Schupfner, M., Wachsmann, F., Gayler, V., and others, 2019.</w:t>
      </w:r>
      <w:r>
        <w:t xml:space="preserve"> </w:t>
      </w:r>
      <w:hyperlink r:id="rId419">
        <w:r>
          <w:rPr>
            <w:rStyle w:val="Hyperlink"/>
          </w:rPr>
          <w:t xml:space="preserve">MPI-m MPIESM1.2-LR model output prepared for CMIP6 CMIP</w:t>
        </w:r>
      </w:hyperlink>
      <w:r>
        <w:t xml:space="preserve">.</w:t>
      </w:r>
    </w:p>
    <w:bookmarkEnd w:id="420"/>
    <w:bookmarkStart w:id="422" w:name="ref-wilks2016"/>
    <w:p>
      <w:pPr>
        <w:pStyle w:val="Bibliography"/>
      </w:pPr>
      <w:r>
        <w:t xml:space="preserve">Wilks, D.S., 2016.</w:t>
      </w:r>
      <w:r>
        <w:t xml:space="preserve"> </w:t>
      </w:r>
      <w:hyperlink r:id="rId421">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422"/>
    <w:bookmarkStart w:id="424" w:name="ref-wirth1993"/>
    <w:p>
      <w:pPr>
        <w:pStyle w:val="Bibliography"/>
      </w:pPr>
      <w:r>
        <w:t xml:space="preserve">Wirth, V., 1993.</w:t>
      </w:r>
      <w:r>
        <w:t xml:space="preserve"> </w:t>
      </w:r>
      <w:hyperlink r:id="rId423">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424"/>
    <w:bookmarkStart w:id="426" w:name="ref-wolter2011"/>
    <w:p>
      <w:pPr>
        <w:pStyle w:val="Bibliography"/>
      </w:pPr>
      <w:r>
        <w:t xml:space="preserve">Wolter, K., and Timlin, M.S., 2011.</w:t>
      </w:r>
      <w:r>
        <w:t xml:space="preserve"> </w:t>
      </w:r>
      <w:hyperlink r:id="rId425">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426"/>
    <w:bookmarkStart w:id="428" w:name="ref-CMIP6.DAMIP.BCC.BCC-CSM2-MR"/>
    <w:p>
      <w:pPr>
        <w:pStyle w:val="Bibliography"/>
      </w:pPr>
      <w:r>
        <w:t xml:space="preserve">Xin, X., Wu, T., Shi, X., Zhang, F., Li, J., Chu, M., Liu, Q., Yan, J., Ma, Q., and Wei, M., 2019.</w:t>
      </w:r>
      <w:r>
        <w:t xml:space="preserve"> </w:t>
      </w:r>
      <w:hyperlink r:id="rId427">
        <w:r>
          <w:rPr>
            <w:rStyle w:val="Hyperlink"/>
          </w:rPr>
          <w:t xml:space="preserve">BCC BCC-CSM2MR model output prepared for CMIP6 DAMIP</w:t>
        </w:r>
      </w:hyperlink>
      <w:r>
        <w:t xml:space="preserve">.</w:t>
      </w:r>
    </w:p>
    <w:bookmarkEnd w:id="428"/>
    <w:bookmarkStart w:id="430" w:name="ref-CMIP6.DAMIP.MRI.MRI-ESM2-0"/>
    <w:p>
      <w:pPr>
        <w:pStyle w:val="Bibliography"/>
      </w:pPr>
      <w:r>
        <w:t xml:space="preserve">Yukimoto, S., Koshiro, T., Kawai, H., Oshima, N., Yoshida, K., Urakawa, S., Tsujino, H., Deushi, M., Tanaka, T., Hosaka, M., and others, 2019.</w:t>
      </w:r>
      <w:r>
        <w:t xml:space="preserve"> </w:t>
      </w:r>
      <w:hyperlink r:id="rId429">
        <w:r>
          <w:rPr>
            <w:rStyle w:val="Hyperlink"/>
          </w:rPr>
          <w:t xml:space="preserve">MRI MRI-ESM2.0 model output prepared for CMIP6 DAMIP</w:t>
        </w:r>
      </w:hyperlink>
      <w:r>
        <w:t xml:space="preserve">.</w:t>
      </w:r>
    </w:p>
    <w:bookmarkEnd w:id="430"/>
    <w:bookmarkStart w:id="432" w:name="ref-zamboni2010"/>
    <w:p>
      <w:pPr>
        <w:pStyle w:val="Bibliography"/>
      </w:pPr>
      <w:r>
        <w:t xml:space="preserve">Zamboni, L., Mechoso, C.R., and Kucharski, F., 2010.</w:t>
      </w:r>
      <w:r>
        <w:t xml:space="preserve"> </w:t>
      </w:r>
      <w:hyperlink r:id="rId431">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432"/>
    <w:bookmarkStart w:id="434" w:name="ref-CMIP6.CMIP.CSIRO.ACCESS-ESM1-5"/>
    <w:p>
      <w:pPr>
        <w:pStyle w:val="Bibliography"/>
      </w:pPr>
      <w:r>
        <w:t xml:space="preserve">Ziehn, T., Chamberlain, M., Lenton, A., Law, R., Bodman, R., Dix, M., Wang, Y., Dobrohotoff, P., Srbinovsky, J., Stevens, L., and others, 2019.</w:t>
      </w:r>
      <w:r>
        <w:t xml:space="preserve"> </w:t>
      </w:r>
      <w:hyperlink r:id="rId433">
        <w:r>
          <w:rPr>
            <w:rStyle w:val="Hyperlink"/>
          </w:rPr>
          <w:t xml:space="preserve">CSIRO ACCESS-ESM1.5 model output prepared for CMIP6 CMIP</w:t>
        </w:r>
      </w:hyperlink>
      <w:r>
        <w:t xml:space="preserve">.</w:t>
      </w:r>
    </w:p>
    <w:bookmarkEnd w:id="434"/>
    <w:bookmarkStart w:id="436" w:name="ref-CMIP6.DAMIP.CSIRO.ACCESS-ESM1-5"/>
    <w:p>
      <w:pPr>
        <w:pStyle w:val="Bibliography"/>
      </w:pPr>
      <w:r>
        <w:t xml:space="preserve">Ziehn, T., Dix, M., Mackallah, C., Chamberlain, M., Lenton, A., Law, R., Druken, K., and Ridzwan, S.M., 2020.</w:t>
      </w:r>
      <w:r>
        <w:t xml:space="preserve"> </w:t>
      </w:r>
      <w:hyperlink r:id="rId435">
        <w:r>
          <w:rPr>
            <w:rStyle w:val="Hyperlink"/>
          </w:rPr>
          <w:t xml:space="preserve">CSIRO ACCESS-ESM1.5 model output prepared for CMIP6 DAMIP</w:t>
        </w:r>
      </w:hyperlink>
      <w:r>
        <w:t xml:space="preserve">.</w:t>
      </w:r>
    </w:p>
    <w:bookmarkEnd w:id="436"/>
    <w:bookmarkEnd w:id="437"/>
    <w:bookmarkEnd w:id="4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81" Target="media/rId81.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77" Target="media/rId77.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69" Target="media/rId69.png" /><Relationship Type="http://schemas.openxmlformats.org/officeDocument/2006/relationships/image" Id="rId85" Target="media/rId85.png" /><Relationship Type="http://schemas.openxmlformats.org/officeDocument/2006/relationships/image" Id="rId73" Target="media/rId73.png" /><Relationship Type="http://schemas.openxmlformats.org/officeDocument/2006/relationships/image" Id="rId59" Target="media/rId59.png" /><Relationship Type="http://schemas.openxmlformats.org/officeDocument/2006/relationships/image" Id="rId155" Target="media/rId155.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74" Target="media/rId174.png" /><Relationship Type="http://schemas.openxmlformats.org/officeDocument/2006/relationships/image" Id="rId102" Target="media/rId102.png" /><Relationship Type="http://schemas.openxmlformats.org/officeDocument/2006/relationships/image" Id="rId182" Target="media/rId182.png" /><Relationship Type="http://schemas.openxmlformats.org/officeDocument/2006/relationships/image" Id="rId178" Target="media/rId178.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70" Target="media/rId170.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30" Target="media/rId130.png" /><Relationship Type="http://schemas.openxmlformats.org/officeDocument/2006/relationships/image" Id="rId142" Target="media/rId142.png" /><Relationship Type="http://schemas.openxmlformats.org/officeDocument/2006/relationships/image" Id="rId163" Target="media/rId163.png" /><Relationship Type="http://schemas.openxmlformats.org/officeDocument/2006/relationships/image" Id="rId159" Target="media/rId159.png" /><Relationship Type="http://schemas.openxmlformats.org/officeDocument/2006/relationships/image" Id="rId194" Target="media/rId194.png" /><Relationship Type="http://schemas.openxmlformats.org/officeDocument/2006/relationships/image" Id="rId188" Target="media/rId188.png" /><Relationship Type="http://schemas.openxmlformats.org/officeDocument/2006/relationships/image" Id="rId239" Target="media/rId239.png" /><Relationship Type="http://schemas.openxmlformats.org/officeDocument/2006/relationships/image" Id="rId203" Target="media/rId203.png" /><Relationship Type="http://schemas.openxmlformats.org/officeDocument/2006/relationships/image" Id="rId230" Target="media/rId230.png" /><Relationship Type="http://schemas.openxmlformats.org/officeDocument/2006/relationships/image" Id="rId225" Target="media/rId225.png" /><Relationship Type="http://schemas.openxmlformats.org/officeDocument/2006/relationships/image" Id="rId216" Target="media/rId216.png" /><Relationship Type="http://schemas.openxmlformats.org/officeDocument/2006/relationships/image" Id="rId212" Target="media/rId212.png" /><Relationship Type="http://schemas.openxmlformats.org/officeDocument/2006/relationships/image" Id="rId207" Target="media/rId207.png" /><Relationship Type="http://schemas.openxmlformats.org/officeDocument/2006/relationships/image" Id="rId235" Target="media/rId235.png" /><Relationship Type="http://schemas.openxmlformats.org/officeDocument/2006/relationships/image" Id="rId221" Target="media/rId221.png" /><Relationship Type="http://schemas.openxmlformats.org/officeDocument/2006/relationships/image" Id="rId243" Target="media/rId243.png" /><Relationship Type="http://schemas.openxmlformats.org/officeDocument/2006/relationships/hyperlink" Id="rId292" Target="http://cera-www.dkrz.de/WDCC/meta/CMIP6/CMIP6.DAMIP.E3SM-Project.E3SM-1-0" TargetMode="External"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354" Target="https://doi.org/10.1002/2015JD024665" TargetMode="External" /><Relationship Type="http://schemas.openxmlformats.org/officeDocument/2006/relationships/hyperlink" Id="rId350" Target="https://doi.org/10.1002/2016GL069453" TargetMode="External" /><Relationship Type="http://schemas.openxmlformats.org/officeDocument/2006/relationships/hyperlink" Id="rId310" Target="https://doi.org/10.1002/grl.50500" TargetMode="External" /><Relationship Type="http://schemas.openxmlformats.org/officeDocument/2006/relationships/hyperlink" Id="rId282" Target="https://doi.org/10.1002/jgrd.50860" TargetMode="External" /><Relationship Type="http://schemas.openxmlformats.org/officeDocument/2006/relationships/hyperlink" Id="rId425" Target="https://doi.org/10.1002/joc.2336" TargetMode="External" /><Relationship Type="http://schemas.openxmlformats.org/officeDocument/2006/relationships/hyperlink" Id="rId342" Target="https://doi.org/10.1002/joc.3370110504" TargetMode="External" /><Relationship Type="http://schemas.openxmlformats.org/officeDocument/2006/relationships/hyperlink" Id="rId362" Target="https://doi.org/10.1002/joc.685" TargetMode="External" /><Relationship Type="http://schemas.openxmlformats.org/officeDocument/2006/relationships/hyperlink" Id="rId258" Target="https://doi.org/10.1002/qj.479" TargetMode="External" /><Relationship Type="http://schemas.openxmlformats.org/officeDocument/2006/relationships/hyperlink" Id="rId298" Target="https://doi.org/10.1002/wcc.652" TargetMode="External" /><Relationship Type="http://schemas.openxmlformats.org/officeDocument/2006/relationships/hyperlink" Id="rId300" Target="https://doi.org/10.1007/s00382-010-0905-0" TargetMode="External" /><Relationship Type="http://schemas.openxmlformats.org/officeDocument/2006/relationships/hyperlink" Id="rId276" Target="https://doi.org/10.1007/s00382-021-05896-5" TargetMode="External" /><Relationship Type="http://schemas.openxmlformats.org/officeDocument/2006/relationships/hyperlink" Id="rId312" Target="https://doi.org/10.1029/1999GL900003" TargetMode="External" /><Relationship Type="http://schemas.openxmlformats.org/officeDocument/2006/relationships/hyperlink" Id="rId280" Target="https://doi.org/10.1029/1999JD900234" TargetMode="External" /><Relationship Type="http://schemas.openxmlformats.org/officeDocument/2006/relationships/hyperlink" Id="rId260" Target="https://doi.org/10.1029/1999RG000073" TargetMode="External" /><Relationship Type="http://schemas.openxmlformats.org/officeDocument/2006/relationships/hyperlink" Id="rId254" Target="https://doi.org/10.1029/2001GL013564" TargetMode="External" /><Relationship Type="http://schemas.openxmlformats.org/officeDocument/2006/relationships/hyperlink" Id="rId356" Target="https://doi.org/10.1029/2004GL019952" TargetMode="External" /><Relationship Type="http://schemas.openxmlformats.org/officeDocument/2006/relationships/hyperlink" Id="rId370" Target="https://doi.org/10.1029/2004GL020365" TargetMode="External" /><Relationship Type="http://schemas.openxmlformats.org/officeDocument/2006/relationships/hyperlink" Id="rId306" Target="https://doi.org/10.1029/2005GL023640" TargetMode="External" /><Relationship Type="http://schemas.openxmlformats.org/officeDocument/2006/relationships/hyperlink" Id="rId308" Target="https://doi.org/10.1029/2006GL027721" TargetMode="External" /><Relationship Type="http://schemas.openxmlformats.org/officeDocument/2006/relationships/hyperlink" Id="rId294" Target="https://doi.org/10.1029/2006GL028045" TargetMode="External" /><Relationship Type="http://schemas.openxmlformats.org/officeDocument/2006/relationships/hyperlink" Id="rId423" Target="https://doi.org/10.1029/92JD02820" TargetMode="External" /><Relationship Type="http://schemas.openxmlformats.org/officeDocument/2006/relationships/hyperlink" Id="rId396" Target="https://doi.org/10.1029/94JD02395" TargetMode="External" /><Relationship Type="http://schemas.openxmlformats.org/officeDocument/2006/relationships/hyperlink" Id="rId380" Target="https://doi.org/10.1038/43854" TargetMode="External" /><Relationship Type="http://schemas.openxmlformats.org/officeDocument/2006/relationships/hyperlink" Id="rId274" Target="https://doi.org/10.1038/s43017-020-0040-3" TargetMode="External" /><Relationship Type="http://schemas.openxmlformats.org/officeDocument/2006/relationships/hyperlink" Id="rId314" Target="https://doi.org/10.1080/01431161.2010.541518" TargetMode="External" /><Relationship Type="http://schemas.openxmlformats.org/officeDocument/2006/relationships/hyperlink" Id="rId262" Target="https://doi.org/10.1080/07055900.1997.9649597" TargetMode="External" /><Relationship Type="http://schemas.openxmlformats.org/officeDocument/2006/relationships/hyperlink" Id="rId264" Target="https://doi.org/10.1111/j.2517-6161.1995.tb02031.x" TargetMode="External" /><Relationship Type="http://schemas.openxmlformats.org/officeDocument/2006/relationships/hyperlink" Id="rId256" Target="https://doi.org/10.1126/science.1063315" TargetMode="External" /><Relationship Type="http://schemas.openxmlformats.org/officeDocument/2006/relationships/hyperlink" Id="rId344" Target="https://doi.org/10.1175/1520-0442(1988)001&lt;1177:IVITSH&gt;2.0.CO;2" TargetMode="External" /><Relationship Type="http://schemas.openxmlformats.org/officeDocument/2006/relationships/hyperlink" Id="rId340" Target="https://doi.org/10.1175/1520-0442(1989)002&lt;1239:SHCFAW&gt;2.0.CO;2" TargetMode="External" /><Relationship Type="http://schemas.openxmlformats.org/officeDocument/2006/relationships/hyperlink" Id="rId358" Target="https://doi.org/10.1175/1520-0442(2000)013&lt;3599:RBLFVI&gt;2.0.CO;2" TargetMode="External" /><Relationship Type="http://schemas.openxmlformats.org/officeDocument/2006/relationships/hyperlink" Id="rId352" Target="https://doi.org/10.1175/1520-0442(2003)016&lt;4134:TITSAM&gt;2.0.CO;2" TargetMode="External" /><Relationship Type="http://schemas.openxmlformats.org/officeDocument/2006/relationships/hyperlink" Id="rId324" Target="https://doi.org/10.1175/1520-0450(1984)023&lt;1660:CPCATA&gt;2.0.CO;2" TargetMode="External" /><Relationship Type="http://schemas.openxmlformats.org/officeDocument/2006/relationships/hyperlink" Id="rId316" Target="https://doi.org/10.1175/1520-0469(1979)036&lt;0350:AMMOOT&gt;2.0.CO;2" TargetMode="External" /><Relationship Type="http://schemas.openxmlformats.org/officeDocument/2006/relationships/hyperlink" Id="rId360" Target="https://doi.org/10.1175/1520-0469(1987)044&lt;0877:SADOPA&gt;2.0.CO;2" TargetMode="External" /><Relationship Type="http://schemas.openxmlformats.org/officeDocument/2006/relationships/hyperlink" Id="rId374" Target="https://doi.org/10.1175/1520-0493(1982)110&lt;1375:SVOSLP&gt;2.0.CO;2" TargetMode="External" /><Relationship Type="http://schemas.openxmlformats.org/officeDocument/2006/relationships/hyperlink" Id="rId376" Target="https://doi.org/10.1175/1520-0493(1987)115&lt;2161:AEOTTS&gt;2.0.CO;2" TargetMode="External" /><Relationship Type="http://schemas.openxmlformats.org/officeDocument/2006/relationships/hyperlink" Id="rId338" Target="https://doi.org/10.1175/2008JCLI2309.1" TargetMode="External" /><Relationship Type="http://schemas.openxmlformats.org/officeDocument/2006/relationships/hyperlink" Id="rId332" Target="https://doi.org/10.1175/2009JCLI2785.1" TargetMode="External" /><Relationship Type="http://schemas.openxmlformats.org/officeDocument/2006/relationships/hyperlink" Id="rId394" Target="https://doi.org/10.1175/2009JCLI3036.1" TargetMode="External" /><Relationship Type="http://schemas.openxmlformats.org/officeDocument/2006/relationships/hyperlink" Id="rId431" Target="https://doi.org/10.1175/2009JCLI3129.1" TargetMode="External" /><Relationship Type="http://schemas.openxmlformats.org/officeDocument/2006/relationships/hyperlink" Id="rId272" Target="https://doi.org/10.1175/2011JCLI4129.1" TargetMode="External" /><Relationship Type="http://schemas.openxmlformats.org/officeDocument/2006/relationships/hyperlink" Id="rId421" Target="https://doi.org/10.1175/BAMS-D-15-00267.1" TargetMode="External" /><Relationship Type="http://schemas.openxmlformats.org/officeDocument/2006/relationships/hyperlink" Id="rId302" Target="https://doi.org/10.1175/JCLI-D-11-00474.1" TargetMode="External" /><Relationship Type="http://schemas.openxmlformats.org/officeDocument/2006/relationships/hyperlink" Id="rId320" Target="https://doi.org/10.1175/JCLI-D-13-00550.1" TargetMode="External" /><Relationship Type="http://schemas.openxmlformats.org/officeDocument/2006/relationships/hyperlink" Id="rId364" Target="https://doi.org/10.1175/JCLI-D-13-00733.1" TargetMode="External" /><Relationship Type="http://schemas.openxmlformats.org/officeDocument/2006/relationships/hyperlink" Id="rId366" Target="https://doi.org/10.1175/JCLI-D-14-00390.1" TargetMode="External" /><Relationship Type="http://schemas.openxmlformats.org/officeDocument/2006/relationships/hyperlink" Id="rId328" Target="https://doi.org/10.1175/JCLI-D-15-0843.1" TargetMode="External" /><Relationship Type="http://schemas.openxmlformats.org/officeDocument/2006/relationships/hyperlink" Id="rId334" Target="https://doi.org/10.1175/JCLI-D-18-0565.1" TargetMode="External" /><Relationship Type="http://schemas.openxmlformats.org/officeDocument/2006/relationships/hyperlink" Id="rId296" Target="https://doi.org/10.1175/JCLI3671.1" TargetMode="External" /><Relationship Type="http://schemas.openxmlformats.org/officeDocument/2006/relationships/hyperlink" Id="rId250" Target="https://doi.org/10.1175/JCLI3774.1" TargetMode="External" /><Relationship Type="http://schemas.openxmlformats.org/officeDocument/2006/relationships/hyperlink" Id="rId318" Target="https://doi.org/10.1175/JCLI4134.1" TargetMode="External" /><Relationship Type="http://schemas.openxmlformats.org/officeDocument/2006/relationships/hyperlink" Id="rId304" Target="https://doi.org/10.1175/JCLI4257.1" TargetMode="External" /><Relationship Type="http://schemas.openxmlformats.org/officeDocument/2006/relationships/hyperlink" Id="rId410" Target="https://doi.org/10.20937/ATM.52910" TargetMode="External" /><Relationship Type="http://schemas.openxmlformats.org/officeDocument/2006/relationships/hyperlink" Id="rId266" Target="https://doi.org/10.22033/ESGF/CMIP6.10843" TargetMode="External" /><Relationship Type="http://schemas.openxmlformats.org/officeDocument/2006/relationships/hyperlink" Id="rId368" Target="https://doi.org/10.22033/ESGF/CMIP6.11383" TargetMode="External" /><Relationship Type="http://schemas.openxmlformats.org/officeDocument/2006/relationships/hyperlink" Id="rId402" Target="https://doi.org/10.22033/ESGF/CMIP6.1303" TargetMode="External" /><Relationship Type="http://schemas.openxmlformats.org/officeDocument/2006/relationships/hyperlink" Id="rId404" Target="https://doi.org/10.22033/ESGF/CMIP6.1305" TargetMode="External" /><Relationship Type="http://schemas.openxmlformats.org/officeDocument/2006/relationships/hyperlink" Id="rId412" Target="https://doi.org/10.22033/ESGF/CMIP6.1375" TargetMode="External" /><Relationship Type="http://schemas.openxmlformats.org/officeDocument/2006/relationships/hyperlink" Id="rId414" Target="https://doi.org/10.22033/ESGF/CMIP6.1376" TargetMode="External" /><Relationship Type="http://schemas.openxmlformats.org/officeDocument/2006/relationships/hyperlink" Id="rId270" Target="https://doi.org/10.22033/ESGF/CMIP6.13801" TargetMode="External" /><Relationship Type="http://schemas.openxmlformats.org/officeDocument/2006/relationships/hyperlink" Id="rId382" Target="https://doi.org/10.22033/ESGF/CMIP6.1391" TargetMode="External" /><Relationship Type="http://schemas.openxmlformats.org/officeDocument/2006/relationships/hyperlink" Id="rId398" Target="https://doi.org/10.22033/ESGF/CMIP6.1400" TargetMode="External" /><Relationship Type="http://schemas.openxmlformats.org/officeDocument/2006/relationships/hyperlink" Id="rId326" Target="https://doi.org/10.22033/ESGF/CMIP6.1408" TargetMode="External" /><Relationship Type="http://schemas.openxmlformats.org/officeDocument/2006/relationships/hyperlink" Id="rId416" Target="https://doi.org/10.22033/ESGF/CMIP6.1423" TargetMode="External" /><Relationship Type="http://schemas.openxmlformats.org/officeDocument/2006/relationships/hyperlink" Id="rId290" Target="https://doi.org/10.22033/ESGF/CMIP6.14361" TargetMode="External" /><Relationship Type="http://schemas.openxmlformats.org/officeDocument/2006/relationships/hyperlink" Id="rId435" Target="https://doi.org/10.22033/ESGF/CMIP6.14362" TargetMode="External" /><Relationship Type="http://schemas.openxmlformats.org/officeDocument/2006/relationships/hyperlink" Id="rId268" Target="https://doi.org/10.22033/ESGF/CMIP6.1534" TargetMode="External" /><Relationship Type="http://schemas.openxmlformats.org/officeDocument/2006/relationships/hyperlink" Id="rId406" Target="https://doi.org/10.22033/ESGF/CMIP6.1569" TargetMode="External" /><Relationship Type="http://schemas.openxmlformats.org/officeDocument/2006/relationships/hyperlink" Id="rId427" Target="https://doi.org/10.22033/ESGF/CMIP6.1726" TargetMode="External" /><Relationship Type="http://schemas.openxmlformats.org/officeDocument/2006/relationships/hyperlink" Id="rId346" Target="https://doi.org/10.22033/ESGF/CMIP6.1783" TargetMode="External" /><Relationship Type="http://schemas.openxmlformats.org/officeDocument/2006/relationships/hyperlink" Id="rId278" Target="https://doi.org/10.22033/ESGF/CMIP6.2021" TargetMode="External" /><Relationship Type="http://schemas.openxmlformats.org/officeDocument/2006/relationships/hyperlink" Id="rId348" Target="https://doi.org/10.22033/ESGF/CMIP6.2048" TargetMode="External" /><Relationship Type="http://schemas.openxmlformats.org/officeDocument/2006/relationships/hyperlink" Id="rId400" Target="https://doi.org/10.22033/ESGF/CMIP6.2062" TargetMode="External" /><Relationship Type="http://schemas.openxmlformats.org/officeDocument/2006/relationships/hyperlink" Id="rId284" Target="https://doi.org/10.22033/ESGF/CMIP6.2185" TargetMode="External" /><Relationship Type="http://schemas.openxmlformats.org/officeDocument/2006/relationships/hyperlink" Id="rId286" Target="https://doi.org/10.22033/ESGF/CMIP6.2187" TargetMode="External" /><Relationship Type="http://schemas.openxmlformats.org/officeDocument/2006/relationships/hyperlink" Id="rId390" Target="https://doi.org/10.22033/ESGF/CMIP6.2245" TargetMode="External" /><Relationship Type="http://schemas.openxmlformats.org/officeDocument/2006/relationships/hyperlink" Id="rId288" Target="https://doi.org/10.22033/ESGF/CMIP6.2281" TargetMode="External" /><Relationship Type="http://schemas.openxmlformats.org/officeDocument/2006/relationships/hyperlink" Id="rId433" Target="https://doi.org/10.22033/ESGF/CMIP6.2288" TargetMode="External" /><Relationship Type="http://schemas.openxmlformats.org/officeDocument/2006/relationships/hyperlink" Id="rId252" Target="https://doi.org/10.22033/ESGF/CMIP6.2294" TargetMode="External" /><Relationship Type="http://schemas.openxmlformats.org/officeDocument/2006/relationships/hyperlink" Id="rId386" Target="https://doi.org/10.22033/ESGF/CMIP6.359" TargetMode="External" /><Relationship Type="http://schemas.openxmlformats.org/officeDocument/2006/relationships/hyperlink" Id="rId372" Target="https://doi.org/10.22033/ESGF/CMIP6.419" TargetMode="External" /><Relationship Type="http://schemas.openxmlformats.org/officeDocument/2006/relationships/hyperlink" Id="rId330" Target="https://doi.org/10.22033/ESGF/CMIP6.471" TargetMode="External" /><Relationship Type="http://schemas.openxmlformats.org/officeDocument/2006/relationships/hyperlink" Id="rId384" Target="https://doi.org/10.22033/ESGF/CMIP6.580" TargetMode="External" /><Relationship Type="http://schemas.openxmlformats.org/officeDocument/2006/relationships/hyperlink" Id="rId429" Target="https://doi.org/10.22033/ESGF/CMIP6.634" TargetMode="External" /><Relationship Type="http://schemas.openxmlformats.org/officeDocument/2006/relationships/hyperlink" Id="rId336" Target="https://doi.org/10.22033/ESGF/CMIP6.741" TargetMode="External" /><Relationship Type="http://schemas.openxmlformats.org/officeDocument/2006/relationships/hyperlink" Id="rId419" Target="https://doi.org/10.22033/ESGF/CMIP6.742" TargetMode="External" /><Relationship Type="http://schemas.openxmlformats.org/officeDocument/2006/relationships/hyperlink" Id="rId408" Target="https://doi.org/10.22033/ESGF/CMIP6.881" TargetMode="External" /><Relationship Type="http://schemas.openxmlformats.org/officeDocument/2006/relationships/hyperlink" Id="rId392" Target="https://doi.org/10.22033/ESGF/CMIP6.894" TargetMode="External" /><Relationship Type="http://schemas.openxmlformats.org/officeDocument/2006/relationships/hyperlink" Id="rId378" Target="https://doi.org/10.3390/atmos9110431" TargetMode="External" /><Relationship Type="http://schemas.openxmlformats.org/officeDocument/2006/relationships/hyperlink" Id="rId322"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388"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92" Target="http://cera-www.dkrz.de/WDCC/meta/CMIP6/CMIP6.DAMIP.E3SM-Project.E3SM-1-0" TargetMode="External"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354" Target="https://doi.org/10.1002/2015JD024665" TargetMode="External" /><Relationship Type="http://schemas.openxmlformats.org/officeDocument/2006/relationships/hyperlink" Id="rId350" Target="https://doi.org/10.1002/2016GL069453" TargetMode="External" /><Relationship Type="http://schemas.openxmlformats.org/officeDocument/2006/relationships/hyperlink" Id="rId310" Target="https://doi.org/10.1002/grl.50500" TargetMode="External" /><Relationship Type="http://schemas.openxmlformats.org/officeDocument/2006/relationships/hyperlink" Id="rId282" Target="https://doi.org/10.1002/jgrd.50860" TargetMode="External" /><Relationship Type="http://schemas.openxmlformats.org/officeDocument/2006/relationships/hyperlink" Id="rId425" Target="https://doi.org/10.1002/joc.2336" TargetMode="External" /><Relationship Type="http://schemas.openxmlformats.org/officeDocument/2006/relationships/hyperlink" Id="rId342" Target="https://doi.org/10.1002/joc.3370110504" TargetMode="External" /><Relationship Type="http://schemas.openxmlformats.org/officeDocument/2006/relationships/hyperlink" Id="rId362" Target="https://doi.org/10.1002/joc.685" TargetMode="External" /><Relationship Type="http://schemas.openxmlformats.org/officeDocument/2006/relationships/hyperlink" Id="rId258" Target="https://doi.org/10.1002/qj.479" TargetMode="External" /><Relationship Type="http://schemas.openxmlformats.org/officeDocument/2006/relationships/hyperlink" Id="rId298" Target="https://doi.org/10.1002/wcc.652" TargetMode="External" /><Relationship Type="http://schemas.openxmlformats.org/officeDocument/2006/relationships/hyperlink" Id="rId300" Target="https://doi.org/10.1007/s00382-010-0905-0" TargetMode="External" /><Relationship Type="http://schemas.openxmlformats.org/officeDocument/2006/relationships/hyperlink" Id="rId276" Target="https://doi.org/10.1007/s00382-021-05896-5" TargetMode="External" /><Relationship Type="http://schemas.openxmlformats.org/officeDocument/2006/relationships/hyperlink" Id="rId312" Target="https://doi.org/10.1029/1999GL900003" TargetMode="External" /><Relationship Type="http://schemas.openxmlformats.org/officeDocument/2006/relationships/hyperlink" Id="rId280" Target="https://doi.org/10.1029/1999JD900234" TargetMode="External" /><Relationship Type="http://schemas.openxmlformats.org/officeDocument/2006/relationships/hyperlink" Id="rId260" Target="https://doi.org/10.1029/1999RG000073" TargetMode="External" /><Relationship Type="http://schemas.openxmlformats.org/officeDocument/2006/relationships/hyperlink" Id="rId254" Target="https://doi.org/10.1029/2001GL013564" TargetMode="External" /><Relationship Type="http://schemas.openxmlformats.org/officeDocument/2006/relationships/hyperlink" Id="rId356" Target="https://doi.org/10.1029/2004GL019952" TargetMode="External" /><Relationship Type="http://schemas.openxmlformats.org/officeDocument/2006/relationships/hyperlink" Id="rId370" Target="https://doi.org/10.1029/2004GL020365" TargetMode="External" /><Relationship Type="http://schemas.openxmlformats.org/officeDocument/2006/relationships/hyperlink" Id="rId306" Target="https://doi.org/10.1029/2005GL023640" TargetMode="External" /><Relationship Type="http://schemas.openxmlformats.org/officeDocument/2006/relationships/hyperlink" Id="rId308" Target="https://doi.org/10.1029/2006GL027721" TargetMode="External" /><Relationship Type="http://schemas.openxmlformats.org/officeDocument/2006/relationships/hyperlink" Id="rId294" Target="https://doi.org/10.1029/2006GL028045" TargetMode="External" /><Relationship Type="http://schemas.openxmlformats.org/officeDocument/2006/relationships/hyperlink" Id="rId423" Target="https://doi.org/10.1029/92JD02820" TargetMode="External" /><Relationship Type="http://schemas.openxmlformats.org/officeDocument/2006/relationships/hyperlink" Id="rId396" Target="https://doi.org/10.1029/94JD02395" TargetMode="External" /><Relationship Type="http://schemas.openxmlformats.org/officeDocument/2006/relationships/hyperlink" Id="rId380" Target="https://doi.org/10.1038/43854" TargetMode="External" /><Relationship Type="http://schemas.openxmlformats.org/officeDocument/2006/relationships/hyperlink" Id="rId274" Target="https://doi.org/10.1038/s43017-020-0040-3" TargetMode="External" /><Relationship Type="http://schemas.openxmlformats.org/officeDocument/2006/relationships/hyperlink" Id="rId314" Target="https://doi.org/10.1080/01431161.2010.541518" TargetMode="External" /><Relationship Type="http://schemas.openxmlformats.org/officeDocument/2006/relationships/hyperlink" Id="rId262" Target="https://doi.org/10.1080/07055900.1997.9649597" TargetMode="External" /><Relationship Type="http://schemas.openxmlformats.org/officeDocument/2006/relationships/hyperlink" Id="rId264" Target="https://doi.org/10.1111/j.2517-6161.1995.tb02031.x" TargetMode="External" /><Relationship Type="http://schemas.openxmlformats.org/officeDocument/2006/relationships/hyperlink" Id="rId256" Target="https://doi.org/10.1126/science.1063315" TargetMode="External" /><Relationship Type="http://schemas.openxmlformats.org/officeDocument/2006/relationships/hyperlink" Id="rId344" Target="https://doi.org/10.1175/1520-0442(1988)001&lt;1177:IVITSH&gt;2.0.CO;2" TargetMode="External" /><Relationship Type="http://schemas.openxmlformats.org/officeDocument/2006/relationships/hyperlink" Id="rId340" Target="https://doi.org/10.1175/1520-0442(1989)002&lt;1239:SHCFAW&gt;2.0.CO;2" TargetMode="External" /><Relationship Type="http://schemas.openxmlformats.org/officeDocument/2006/relationships/hyperlink" Id="rId358" Target="https://doi.org/10.1175/1520-0442(2000)013&lt;3599:RBLFVI&gt;2.0.CO;2" TargetMode="External" /><Relationship Type="http://schemas.openxmlformats.org/officeDocument/2006/relationships/hyperlink" Id="rId352" Target="https://doi.org/10.1175/1520-0442(2003)016&lt;4134:TITSAM&gt;2.0.CO;2" TargetMode="External" /><Relationship Type="http://schemas.openxmlformats.org/officeDocument/2006/relationships/hyperlink" Id="rId324" Target="https://doi.org/10.1175/1520-0450(1984)023&lt;1660:CPCATA&gt;2.0.CO;2" TargetMode="External" /><Relationship Type="http://schemas.openxmlformats.org/officeDocument/2006/relationships/hyperlink" Id="rId316" Target="https://doi.org/10.1175/1520-0469(1979)036&lt;0350:AMMOOT&gt;2.0.CO;2" TargetMode="External" /><Relationship Type="http://schemas.openxmlformats.org/officeDocument/2006/relationships/hyperlink" Id="rId360" Target="https://doi.org/10.1175/1520-0469(1987)044&lt;0877:SADOPA&gt;2.0.CO;2" TargetMode="External" /><Relationship Type="http://schemas.openxmlformats.org/officeDocument/2006/relationships/hyperlink" Id="rId374" Target="https://doi.org/10.1175/1520-0493(1982)110&lt;1375:SVOSLP&gt;2.0.CO;2" TargetMode="External" /><Relationship Type="http://schemas.openxmlformats.org/officeDocument/2006/relationships/hyperlink" Id="rId376" Target="https://doi.org/10.1175/1520-0493(1987)115&lt;2161:AEOTTS&gt;2.0.CO;2" TargetMode="External" /><Relationship Type="http://schemas.openxmlformats.org/officeDocument/2006/relationships/hyperlink" Id="rId338" Target="https://doi.org/10.1175/2008JCLI2309.1" TargetMode="External" /><Relationship Type="http://schemas.openxmlformats.org/officeDocument/2006/relationships/hyperlink" Id="rId332" Target="https://doi.org/10.1175/2009JCLI2785.1" TargetMode="External" /><Relationship Type="http://schemas.openxmlformats.org/officeDocument/2006/relationships/hyperlink" Id="rId394" Target="https://doi.org/10.1175/2009JCLI3036.1" TargetMode="External" /><Relationship Type="http://schemas.openxmlformats.org/officeDocument/2006/relationships/hyperlink" Id="rId431" Target="https://doi.org/10.1175/2009JCLI3129.1" TargetMode="External" /><Relationship Type="http://schemas.openxmlformats.org/officeDocument/2006/relationships/hyperlink" Id="rId272" Target="https://doi.org/10.1175/2011JCLI4129.1" TargetMode="External" /><Relationship Type="http://schemas.openxmlformats.org/officeDocument/2006/relationships/hyperlink" Id="rId421" Target="https://doi.org/10.1175/BAMS-D-15-00267.1" TargetMode="External" /><Relationship Type="http://schemas.openxmlformats.org/officeDocument/2006/relationships/hyperlink" Id="rId302" Target="https://doi.org/10.1175/JCLI-D-11-00474.1" TargetMode="External" /><Relationship Type="http://schemas.openxmlformats.org/officeDocument/2006/relationships/hyperlink" Id="rId320" Target="https://doi.org/10.1175/JCLI-D-13-00550.1" TargetMode="External" /><Relationship Type="http://schemas.openxmlformats.org/officeDocument/2006/relationships/hyperlink" Id="rId364" Target="https://doi.org/10.1175/JCLI-D-13-00733.1" TargetMode="External" /><Relationship Type="http://schemas.openxmlformats.org/officeDocument/2006/relationships/hyperlink" Id="rId366" Target="https://doi.org/10.1175/JCLI-D-14-00390.1" TargetMode="External" /><Relationship Type="http://schemas.openxmlformats.org/officeDocument/2006/relationships/hyperlink" Id="rId328" Target="https://doi.org/10.1175/JCLI-D-15-0843.1" TargetMode="External" /><Relationship Type="http://schemas.openxmlformats.org/officeDocument/2006/relationships/hyperlink" Id="rId334" Target="https://doi.org/10.1175/JCLI-D-18-0565.1" TargetMode="External" /><Relationship Type="http://schemas.openxmlformats.org/officeDocument/2006/relationships/hyperlink" Id="rId296" Target="https://doi.org/10.1175/JCLI3671.1" TargetMode="External" /><Relationship Type="http://schemas.openxmlformats.org/officeDocument/2006/relationships/hyperlink" Id="rId250" Target="https://doi.org/10.1175/JCLI3774.1" TargetMode="External" /><Relationship Type="http://schemas.openxmlformats.org/officeDocument/2006/relationships/hyperlink" Id="rId318" Target="https://doi.org/10.1175/JCLI4134.1" TargetMode="External" /><Relationship Type="http://schemas.openxmlformats.org/officeDocument/2006/relationships/hyperlink" Id="rId304" Target="https://doi.org/10.1175/JCLI4257.1" TargetMode="External" /><Relationship Type="http://schemas.openxmlformats.org/officeDocument/2006/relationships/hyperlink" Id="rId410" Target="https://doi.org/10.20937/ATM.52910" TargetMode="External" /><Relationship Type="http://schemas.openxmlformats.org/officeDocument/2006/relationships/hyperlink" Id="rId266" Target="https://doi.org/10.22033/ESGF/CMIP6.10843" TargetMode="External" /><Relationship Type="http://schemas.openxmlformats.org/officeDocument/2006/relationships/hyperlink" Id="rId368" Target="https://doi.org/10.22033/ESGF/CMIP6.11383" TargetMode="External" /><Relationship Type="http://schemas.openxmlformats.org/officeDocument/2006/relationships/hyperlink" Id="rId402" Target="https://doi.org/10.22033/ESGF/CMIP6.1303" TargetMode="External" /><Relationship Type="http://schemas.openxmlformats.org/officeDocument/2006/relationships/hyperlink" Id="rId404" Target="https://doi.org/10.22033/ESGF/CMIP6.1305" TargetMode="External" /><Relationship Type="http://schemas.openxmlformats.org/officeDocument/2006/relationships/hyperlink" Id="rId412" Target="https://doi.org/10.22033/ESGF/CMIP6.1375" TargetMode="External" /><Relationship Type="http://schemas.openxmlformats.org/officeDocument/2006/relationships/hyperlink" Id="rId414" Target="https://doi.org/10.22033/ESGF/CMIP6.1376" TargetMode="External" /><Relationship Type="http://schemas.openxmlformats.org/officeDocument/2006/relationships/hyperlink" Id="rId270" Target="https://doi.org/10.22033/ESGF/CMIP6.13801" TargetMode="External" /><Relationship Type="http://schemas.openxmlformats.org/officeDocument/2006/relationships/hyperlink" Id="rId382" Target="https://doi.org/10.22033/ESGF/CMIP6.1391" TargetMode="External" /><Relationship Type="http://schemas.openxmlformats.org/officeDocument/2006/relationships/hyperlink" Id="rId398" Target="https://doi.org/10.22033/ESGF/CMIP6.1400" TargetMode="External" /><Relationship Type="http://schemas.openxmlformats.org/officeDocument/2006/relationships/hyperlink" Id="rId326" Target="https://doi.org/10.22033/ESGF/CMIP6.1408" TargetMode="External" /><Relationship Type="http://schemas.openxmlformats.org/officeDocument/2006/relationships/hyperlink" Id="rId416" Target="https://doi.org/10.22033/ESGF/CMIP6.1423" TargetMode="External" /><Relationship Type="http://schemas.openxmlformats.org/officeDocument/2006/relationships/hyperlink" Id="rId290" Target="https://doi.org/10.22033/ESGF/CMIP6.14361" TargetMode="External" /><Relationship Type="http://schemas.openxmlformats.org/officeDocument/2006/relationships/hyperlink" Id="rId435" Target="https://doi.org/10.22033/ESGF/CMIP6.14362" TargetMode="External" /><Relationship Type="http://schemas.openxmlformats.org/officeDocument/2006/relationships/hyperlink" Id="rId268" Target="https://doi.org/10.22033/ESGF/CMIP6.1534" TargetMode="External" /><Relationship Type="http://schemas.openxmlformats.org/officeDocument/2006/relationships/hyperlink" Id="rId406" Target="https://doi.org/10.22033/ESGF/CMIP6.1569" TargetMode="External" /><Relationship Type="http://schemas.openxmlformats.org/officeDocument/2006/relationships/hyperlink" Id="rId427" Target="https://doi.org/10.22033/ESGF/CMIP6.1726" TargetMode="External" /><Relationship Type="http://schemas.openxmlformats.org/officeDocument/2006/relationships/hyperlink" Id="rId346" Target="https://doi.org/10.22033/ESGF/CMIP6.1783" TargetMode="External" /><Relationship Type="http://schemas.openxmlformats.org/officeDocument/2006/relationships/hyperlink" Id="rId278" Target="https://doi.org/10.22033/ESGF/CMIP6.2021" TargetMode="External" /><Relationship Type="http://schemas.openxmlformats.org/officeDocument/2006/relationships/hyperlink" Id="rId348" Target="https://doi.org/10.22033/ESGF/CMIP6.2048" TargetMode="External" /><Relationship Type="http://schemas.openxmlformats.org/officeDocument/2006/relationships/hyperlink" Id="rId400" Target="https://doi.org/10.22033/ESGF/CMIP6.2062" TargetMode="External" /><Relationship Type="http://schemas.openxmlformats.org/officeDocument/2006/relationships/hyperlink" Id="rId284" Target="https://doi.org/10.22033/ESGF/CMIP6.2185" TargetMode="External" /><Relationship Type="http://schemas.openxmlformats.org/officeDocument/2006/relationships/hyperlink" Id="rId286" Target="https://doi.org/10.22033/ESGF/CMIP6.2187" TargetMode="External" /><Relationship Type="http://schemas.openxmlformats.org/officeDocument/2006/relationships/hyperlink" Id="rId390" Target="https://doi.org/10.22033/ESGF/CMIP6.2245" TargetMode="External" /><Relationship Type="http://schemas.openxmlformats.org/officeDocument/2006/relationships/hyperlink" Id="rId288" Target="https://doi.org/10.22033/ESGF/CMIP6.2281" TargetMode="External" /><Relationship Type="http://schemas.openxmlformats.org/officeDocument/2006/relationships/hyperlink" Id="rId433" Target="https://doi.org/10.22033/ESGF/CMIP6.2288" TargetMode="External" /><Relationship Type="http://schemas.openxmlformats.org/officeDocument/2006/relationships/hyperlink" Id="rId252" Target="https://doi.org/10.22033/ESGF/CMIP6.2294" TargetMode="External" /><Relationship Type="http://schemas.openxmlformats.org/officeDocument/2006/relationships/hyperlink" Id="rId386" Target="https://doi.org/10.22033/ESGF/CMIP6.359" TargetMode="External" /><Relationship Type="http://schemas.openxmlformats.org/officeDocument/2006/relationships/hyperlink" Id="rId372" Target="https://doi.org/10.22033/ESGF/CMIP6.419" TargetMode="External" /><Relationship Type="http://schemas.openxmlformats.org/officeDocument/2006/relationships/hyperlink" Id="rId330" Target="https://doi.org/10.22033/ESGF/CMIP6.471" TargetMode="External" /><Relationship Type="http://schemas.openxmlformats.org/officeDocument/2006/relationships/hyperlink" Id="rId384" Target="https://doi.org/10.22033/ESGF/CMIP6.580" TargetMode="External" /><Relationship Type="http://schemas.openxmlformats.org/officeDocument/2006/relationships/hyperlink" Id="rId429" Target="https://doi.org/10.22033/ESGF/CMIP6.634" TargetMode="External" /><Relationship Type="http://schemas.openxmlformats.org/officeDocument/2006/relationships/hyperlink" Id="rId336" Target="https://doi.org/10.22033/ESGF/CMIP6.741" TargetMode="External" /><Relationship Type="http://schemas.openxmlformats.org/officeDocument/2006/relationships/hyperlink" Id="rId419" Target="https://doi.org/10.22033/ESGF/CMIP6.742" TargetMode="External" /><Relationship Type="http://schemas.openxmlformats.org/officeDocument/2006/relationships/hyperlink" Id="rId408" Target="https://doi.org/10.22033/ESGF/CMIP6.881" TargetMode="External" /><Relationship Type="http://schemas.openxmlformats.org/officeDocument/2006/relationships/hyperlink" Id="rId392" Target="https://doi.org/10.22033/ESGF/CMIP6.894" TargetMode="External" /><Relationship Type="http://schemas.openxmlformats.org/officeDocument/2006/relationships/hyperlink" Id="rId378" Target="https://doi.org/10.3390/atmos9110431" TargetMode="External" /><Relationship Type="http://schemas.openxmlformats.org/officeDocument/2006/relationships/hyperlink" Id="rId322"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388"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2023-08-23T20:25:30Z</dcterms:created>
  <dcterms:modified xsi:type="dcterms:W3CDTF">2023-08-23T20:25:30Z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2023-08-23 17:23:16</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 preview = TRUE)</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