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69.png" ContentType="image/png"/>
  <Override PartName="/word/media/rId27.png" ContentType="image/png"/>
  <Override PartName="/word/media/rId42.png" ContentType="image/png"/>
  <Override PartName="/word/media/rId49.png" ContentType="image/png"/>
  <Override PartName="/word/media/rId45.png" ContentType="image/png"/>
  <Override PartName="/word/media/rId66.png" ContentType="image/png"/>
  <Override PartName="/word/media/rId38.png" ContentType="image/png"/>
  <Override PartName="/word/media/rId30.png" ContentType="image/png"/>
  <Override PartName="/word/media/rId55.png" ContentType="image/png"/>
  <Override PartName="/word/media/rId76.png" ContentType="image/png"/>
  <Override PartName="/word/media/rId79.png" ContentType="image/png"/>
  <Override PartName="/word/media/rId60.png" ContentType="image/png"/>
  <Override PartName="/word/media/rId72.png" ContentType="image/png"/>
  <Override PartName="/word/media/rId63.png" ContentType="image/png"/>
  <Override PartName="/word/media/rId52.png" ContentType="image/png"/>
  <Override PartName="/word/media/rId110.png" ContentType="image/png"/>
  <Override PartName="/word/media/rId144.png" ContentType="image/png"/>
  <Override PartName="/word/media/rId147.png" ContentType="image/png"/>
  <Override PartName="/word/media/rId132.png" ContentType="image/png"/>
  <Override PartName="/word/media/rId135.png" ContentType="image/png"/>
  <Override PartName="/word/media/rId138.png" ContentType="image/png"/>
  <Override PartName="/word/media/rId141.png" ContentType="image/png"/>
  <Override PartName="/word/media/rId94.png" ContentType="image/png"/>
  <Override PartName="/word/media/rId97.png" ContentType="image/png"/>
  <Override PartName="/word/media/rId100.png" ContentType="image/png"/>
  <Override PartName="/word/media/rId123.png" ContentType="image/png"/>
  <Override PartName="/word/media/rId87.png" ContentType="image/png"/>
  <Override PartName="/word/media/rId129.png" ContentType="image/png"/>
  <Override PartName="/word/media/rId126.png" ContentType="image/png"/>
  <Override PartName="/word/media/rId106.png" ContentType="image/png"/>
  <Override PartName="/word/media/rId120.png" ContentType="image/png"/>
  <Override PartName="/word/media/rId103.png" ContentType="image/png"/>
  <Override PartName="/word/media/rId116.png" ContentType="image/png"/>
  <Override PartName="/word/media/rId113.png" ContentType="image/png"/>
  <Override PartName="/word/media/rId157.png" ContentType="image/pn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BUENOS</w:t>
      </w:r>
      <w:r>
        <w:t xml:space="preserve"> </w:t>
      </w:r>
      <w:r>
        <w:t xml:space="preserve">AIRES,</w:t>
      </w:r>
      <w:r>
        <w:t xml:space="preserve"> </w:t>
      </w:r>
      <w:r>
        <w:t xml:space="preserve">2023</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85"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34" w:name="datos-y-métodos"/>
    <w:p>
      <w:pPr>
        <w:pStyle w:val="Heading2"/>
      </w:pPr>
      <w:r>
        <w:rPr>
          <w:rStyle w:val="SectionNumber"/>
        </w:rPr>
        <w:t xml:space="preserve">2.1</w:t>
      </w:r>
      <w:r>
        <w:tab/>
      </w:r>
      <w:r>
        <w:t xml:space="preserve">Datos y métodos</w:t>
      </w:r>
    </w:p>
    <w:bookmarkStart w:id="33"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1" name="Picture"/>
            <a:graphic>
              <a:graphicData uri="http://schemas.openxmlformats.org/drawingml/2006/picture">
                <pic:pic>
                  <pic:nvPicPr>
                    <pic:cNvPr descr="figures/20-ceofs/hilbert-ejemplo-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3"/>
    <w:bookmarkEnd w:id="34"/>
    <w:bookmarkStart w:id="83" w:name="primavera"/>
    <w:p>
      <w:pPr>
        <w:pStyle w:val="Heading2"/>
      </w:pPr>
      <w:r>
        <w:rPr>
          <w:rStyle w:val="SectionNumber"/>
        </w:rPr>
        <w:t xml:space="preserve">2.2</w:t>
      </w:r>
      <w:r>
        <w:tab/>
      </w:r>
      <w:r>
        <w:t xml:space="preserve">Primavera</w:t>
      </w:r>
    </w:p>
    <w:p>
      <w:pPr>
        <w:pStyle w:val="FirstParagraph"/>
      </w:pPr>
      <w:r>
        <w:t xml:space="preserve">Primero evaluamos la primavera en detalle porque es la más interesante y donde las señales son más claras.</w:t>
      </w:r>
    </w:p>
    <w:bookmarkStart w:id="41" w:name="descripción-de-los-modos"/>
    <w:p>
      <w:pPr>
        <w:pStyle w:val="Heading3"/>
      </w:pPr>
      <w:r>
        <w:rPr>
          <w:rStyle w:val="SectionNumber"/>
        </w:rPr>
        <w:t xml:space="preserve">2.2.1</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 El sombreado corresponde a la fase 0º y los contornos, a la fase 90º. La proporción de varianza explicada por cada modo con respecto a la media zonal está indicada entre paréntesis. Las unidades son arbitrarias.</w:t>
      </w:r>
    </w:p>
    <w:p>
      <w:pPr>
        <w:pStyle w:val="CaptionedFigure"/>
      </w:pPr>
      <w:r>
        <w:drawing>
          <wp:inline>
            <wp:extent cx="3041583" cy="3657600"/>
            <wp:effectExtent b="0" l="0" r="0" t="0"/>
            <wp:docPr descr="Figure 2.3: (ref:ceofs-1-cap)" title="" id="36" name="Picture"/>
            <a:graphic>
              <a:graphicData uri="http://schemas.openxmlformats.org/drawingml/2006/picture">
                <pic:pic>
                  <pic:nvPicPr>
                    <pic:cNvPr descr="figures/20-ceofs/ceofs-1-1.png" id="37" name="Picture"/>
                    <pic:cNvPicPr>
                      <a:picLocks noChangeArrowheads="1" noChangeAspect="1"/>
                    </pic:cNvPicPr>
                  </pic:nvPicPr>
                  <pic:blipFill>
                    <a:blip r:embed="rId35"/>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2.3: (ref:ceofs-1-cap)</w:t>
      </w:r>
    </w:p>
    <w:p>
      <w:pPr>
        <w:pStyle w:val="BodyText"/>
      </w:pPr>
      <w:r>
        <w:t xml:space="preserve">(ref:extended-series-cap) Series temporales de los dos primeros cEOF de las anomalías zonales de altura geopotencial de SON en 50 y 200 hPa para el período 1979–2019. El cEOF1 (fila a) y cEOF2 (fila b) separados en la fase 0º (columna 1) y la fase 90º (columna 2). Las líneas oscuras muestran la tendencia lineal de todo el período. Las líneas negras horizontales y verticales muestran el valor medio y el rango de cada serie, respectivamente. La proporción de varianza explicada por cada modo con respecto a la media zonal está indicada entre paréntesis. Las unidades son arbitrarias.</w:t>
      </w:r>
    </w:p>
    <w:p>
      <w:pPr>
        <w:pStyle w:val="CaptionedFigure"/>
      </w:pPr>
      <w:r>
        <w:drawing>
          <wp:inline>
            <wp:extent cx="4620126" cy="2772075"/>
            <wp:effectExtent b="0" l="0" r="0" t="0"/>
            <wp:docPr descr="Figure 2.4: (ref:extended-series-cap)" title="" id="39" name="Picture"/>
            <a:graphic>
              <a:graphicData uri="http://schemas.openxmlformats.org/drawingml/2006/picture">
                <pic:pic>
                  <pic:nvPicPr>
                    <pic:cNvPr descr="figures/20-ceofs/extended-series-1.png" id="40" name="Picture"/>
                    <pic:cNvPicPr>
                      <a:picLocks noChangeArrowheads="1" noChangeAspect="1"/>
                    </pic:cNvPicPr>
                  </pic:nvPicPr>
                  <pic:blipFill>
                    <a:blip r:embed="rId38"/>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0.0077),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1"/>
    <w:bookmarkStart w:id="59" w:name="Xf038c75ac5309fd2f6efd6be0757223e6bea350"/>
    <w:p>
      <w:pPr>
        <w:pStyle w:val="Heading3"/>
      </w:pPr>
      <w:r>
        <w:rPr>
          <w:rStyle w:val="SectionNumber"/>
        </w:rPr>
        <w:t xml:space="preserve">2.2.2</w:t>
      </w:r>
      <w:r>
        <w:tab/>
      </w:r>
      <w:r>
        <w:t xml:space="preserve">Relación con otras variables de la atmósfera</w:t>
      </w:r>
    </w:p>
    <w:bookmarkStart w:id="48" w:name="geopotencial"/>
    <w:p>
      <w:pPr>
        <w:pStyle w:val="Heading4"/>
      </w:pPr>
      <w:r>
        <w:rPr>
          <w:rStyle w:val="SectionNumber"/>
        </w:rPr>
        <w:t xml:space="preserve">2.2.2.1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tienen p-valor menor que 0.01 ajustado por FDR.</w:t>
      </w:r>
    </w:p>
    <w:p>
      <w:pPr>
        <w:pStyle w:val="CaptionedFigure"/>
      </w:pPr>
      <w:r>
        <w:drawing>
          <wp:inline>
            <wp:extent cx="3041583" cy="3657600"/>
            <wp:effectExtent b="0" l="0" r="0" t="0"/>
            <wp:docPr descr="Figure 2.5: (ref:eof1-regr-gh-cap)" title="" id="43" name="Picture"/>
            <a:graphic>
              <a:graphicData uri="http://schemas.openxmlformats.org/drawingml/2006/picture">
                <pic:pic>
                  <pic:nvPicPr>
                    <pic:cNvPr descr="figures/20-ceofs/eof1-regr-gh-1.png" id="44" name="Picture"/>
                    <pic:cNvPicPr>
                      <a:picLocks noChangeArrowheads="1" noChangeAspect="1"/>
                    </pic:cNvPicPr>
                  </pic:nvPicPr>
                  <pic:blipFill>
                    <a:blip r:embed="rId42"/>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46" name="Picture"/>
            <a:graphic>
              <a:graphicData uri="http://schemas.openxmlformats.org/drawingml/2006/picture">
                <pic:pic>
                  <pic:nvPicPr>
                    <pic:cNvPr descr="figures/20-ceofs/eof2-regr-gh-1.png" id="47" name="Picture"/>
                    <pic:cNvPicPr>
                      <a:picLocks noChangeArrowheads="1" noChangeAspect="1"/>
                    </pic:cNvPicPr>
                  </pic:nvPicPr>
                  <pic:blipFill>
                    <a:blip r:embed="rId45"/>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4.3</w:t>
      </w:r>
      <w:r>
        <w:t xml:space="preserve">.</w:t>
      </w:r>
    </w:p>
    <w:bookmarkEnd w:id="48"/>
    <w:bookmarkStart w:id="58" w:name="temperatura-y-ozono"/>
    <w:p>
      <w:pPr>
        <w:pStyle w:val="Heading4"/>
      </w:pPr>
      <w:r>
        <w:rPr>
          <w:rStyle w:val="SectionNumber"/>
        </w:rPr>
        <w:t xml:space="preserve">2.2.2.2</w:t>
      </w:r>
      <w:r>
        <w:tab/>
      </w:r>
      <w:r>
        <w:t xml:space="preserve">Temperatura y Ozono</w:t>
      </w:r>
    </w:p>
    <w:p>
      <w:pPr>
        <w:pStyle w:val="CaptionedFigure"/>
      </w:pPr>
      <w:r>
        <w:drawing>
          <wp:inline>
            <wp:extent cx="3041583" cy="3955983"/>
            <wp:effectExtent b="0" l="0" r="0" t="0"/>
            <wp:docPr descr="Figure 2.7: Igual que la Figura 2.5 pero para la temperatura del aire (K)." title="" id="50" name="Picture"/>
            <a:graphic>
              <a:graphicData uri="http://schemas.openxmlformats.org/drawingml/2006/picture">
                <pic:pic>
                  <pic:nvPicPr>
                    <pic:cNvPr descr="figures/20-ceofs/eof1-regr-t-1.png" id="51" name="Picture"/>
                    <pic:cNvPicPr>
                      <a:picLocks noChangeArrowheads="1" noChangeAspect="1"/>
                    </pic:cNvPicPr>
                  </pic:nvPicPr>
                  <pic:blipFill>
                    <a:blip r:embed="rId49"/>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53" name="Picture"/>
            <a:graphic>
              <a:graphicData uri="http://schemas.openxmlformats.org/drawingml/2006/picture">
                <pic:pic>
                  <pic:nvPicPr>
                    <pic:cNvPr descr="figures/20-ceofs/t-vertical-1.png" id="54" name="Picture"/>
                    <pic:cNvPicPr>
                      <a:picLocks noChangeArrowheads="1" noChangeAspect="1"/>
                    </pic:cNvPicPr>
                  </pic:nvPicPr>
                  <pic:blipFill>
                    <a:blip r:embed="rId52"/>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tienen p-valor menor que 0.01 ajustado por FDR.</w:t>
      </w:r>
    </w:p>
    <w:p>
      <w:pPr>
        <w:pStyle w:val="CaptionedFigure"/>
      </w:pPr>
      <w:r>
        <w:drawing>
          <wp:inline>
            <wp:extent cx="3041583" cy="2772075"/>
            <wp:effectExtent b="0" l="0" r="0" t="0"/>
            <wp:docPr descr="Figure 2.9: (ref:o3-regr-cap)" title="" id="56" name="Picture"/>
            <a:graphic>
              <a:graphicData uri="http://schemas.openxmlformats.org/drawingml/2006/picture">
                <pic:pic>
                  <pic:nvPicPr>
                    <pic:cNvPr descr="figures/20-ceofs/o3-regr-1.png" id="57" name="Picture"/>
                    <pic:cNvPicPr>
                      <a:picLocks noChangeArrowheads="1" noChangeAspect="1"/>
                    </pic:cNvPicPr>
                  </pic:nvPicPr>
                  <pic:blipFill>
                    <a:blip r:embed="rId55"/>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-0.87 (CI: -0.93 – -0.77).</w:t>
      </w:r>
      <w:r>
        <w:t xml:space="preserve"> </w:t>
      </w:r>
      <w:r>
        <w:t xml:space="preserve">Esta relación se muestra en la Figura</w:t>
      </w:r>
      <w:r>
        <w:t xml:space="preserve"> </w:t>
      </w:r>
      <w:r>
        <w:t xml:space="preserve">??</w:t>
      </w:r>
      <w:r>
        <w:t xml:space="preserve">.</w:t>
      </w:r>
      <w:r>
        <w:t xml:space="preserve"> </w:t>
      </w:r>
      <w:r>
        <w:t xml:space="preserve">En consecuencia, el cEOF1 está fuertemente relacionado con la variabilidad del ozono SH.</w:t>
      </w:r>
    </w:p>
    <w:bookmarkEnd w:id="58"/>
    <w:bookmarkEnd w:id="59"/>
    <w:bookmarkStart w:id="75" w:name="fuentes-de-variabilidad-tropicales"/>
    <w:p>
      <w:pPr>
        <w:pStyle w:val="Heading3"/>
      </w:pPr>
      <w:r>
        <w:rPr>
          <w:rStyle w:val="SectionNumber"/>
        </w:rPr>
        <w:t xml:space="preserve">2.2.3</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61" name="Picture"/>
            <a:graphic>
              <a:graphicData uri="http://schemas.openxmlformats.org/drawingml/2006/picture">
                <pic:pic>
                  <pic:nvPicPr>
                    <pic:cNvPr descr="figures/20-ceofs/psi-sst-explained-variance-1.png" id="62" name="Picture"/>
                    <pic:cNvPicPr>
                      <a:picLocks noChangeArrowheads="1" noChangeAspect="1"/>
                    </pic:cNvPicPr>
                  </pic:nvPicPr>
                  <pic:blipFill>
                    <a:blip r:embed="rId60"/>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tienen p-valor menor que 0.01 ajustado por FDR.</w:t>
      </w:r>
    </w:p>
    <w:p>
      <w:pPr>
        <w:pStyle w:val="CaptionedFigure"/>
      </w:pPr>
      <w:r>
        <w:drawing>
          <wp:inline>
            <wp:extent cx="4620126" cy="5544151"/>
            <wp:effectExtent b="0" l="0" r="0" t="0"/>
            <wp:docPr descr="Figure 2.11: (ref:sst-psi-2-cap)" title="" id="64" name="Picture"/>
            <a:graphic>
              <a:graphicData uri="http://schemas.openxmlformats.org/drawingml/2006/picture">
                <pic:pic>
                  <pic:nvPicPr>
                    <pic:cNvPr descr="figures/20-ceofs/sst-psi-2-1.png" id="65" name="Picture"/>
                    <pic:cNvPicPr>
                      <a:picLocks noChangeArrowheads="1" noChangeAspect="1"/>
                    </pic:cNvPicPr>
                  </pic:nvPicPr>
                  <pic:blipFill>
                    <a:blip r:embed="rId63"/>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(0.76 (CI: 0.59 – 0.87)).</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0.62 (CI: 0.38 – 0.78).</w:t>
      </w:r>
      <w:r>
        <w:t xml:space="preserve"> </w:t>
      </w:r>
      <w:r>
        <w:t xml:space="preserve">Sin embargo, la correlación parcial es de 0.32 (p-valor = 0.045),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(ref:euler-cap)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67" name="Picture"/>
            <a:graphic>
              <a:graphicData uri="http://schemas.openxmlformats.org/drawingml/2006/picture">
                <pic:pic>
                  <pic:nvPicPr>
                    <pic:cNvPr descr="figures/20-ceofs/euler-1.png" id="68" name="Picture"/>
                    <pic:cNvPicPr>
                      <a:picLocks noChangeArrowheads="1" noChangeAspect="1"/>
                    </pic:cNvPicPr>
                  </pic:nvPicPr>
                  <pic:blipFill>
                    <a:blip r:embed="rId66"/>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 (CI: -0.31 – 0.31)).</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70" name="Picture"/>
            <a:graphic>
              <a:graphicData uri="http://schemas.openxmlformats.org/drawingml/2006/picture">
                <pic:pic>
                  <pic:nvPicPr>
                    <pic:cNvPr descr="figures/20-ceofs/enso-phase-1.png" id="71" name="Picture"/>
                    <pic:cNvPicPr>
                      <a:picLocks noChangeArrowheads="1" noChangeAspect="1"/>
                    </pic:cNvPicPr>
                  </pic:nvPicPr>
                  <pic:blipFill>
                    <a:blip r:embed="rId69"/>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0.56, estadísticamente significativo con p-valor &lt; 0.001,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BodyText"/>
      </w:pPr>
      <w:r>
        <w:drawing>
          <wp:inline>
            <wp:extent cx="4620126" cy="5544151"/>
            <wp:effectExtent b="0" l="0" r="0" t="0"/>
            <wp:docPr descr="Figure 2.14: (ref:sst-psi-1-cap)" title="" id="73" name="Picture"/>
            <a:graphic>
              <a:graphicData uri="http://schemas.openxmlformats.org/drawingml/2006/picture">
                <pic:pic>
                  <pic:nvPicPr>
                    <pic:cNvPr descr="figures/20-ceofs/sst-psi-1-1.png" id="74" name="Picture"/>
                    <pic:cNvPicPr>
                      <a:picLocks noChangeArrowheads="1" noChangeAspect="1"/>
                    </pic:cNvPicPr>
                  </pic:nvPicPr>
                  <pic:blipFill>
                    <a:blip r:embed="rId72"/>
                    <a:stretch>
                      <a:fillRect/>
                    </a:stretch>
                  </pic:blipFill>
                  <pic:spPr bwMode="auto">
                    <a:xfrm>
                      <a:off x="0" y="0"/>
                      <a:ext cx="4620126" cy="5544151"/>
                    </a:xfrm>
                    <a:prstGeom prst="rect">
                      <a:avLst/>
                    </a:prstGeom>
                    <a:noFill/>
                    <a:ln w="9525">
                      <a:noFill/>
                      <a:headEnd/>
                      <a:tailEnd/>
                    </a:ln>
                  </pic:spPr>
                </pic:pic>
              </a:graphicData>
            </a:graphic>
          </wp:inline>
        </w:drawing>
      </w:r>
      <w:r>
        <w:t xml:space="preserve"> </w:t>
      </w: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extratrópicos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extratrópicos.</w:t>
      </w:r>
    </w:p>
    <w:bookmarkEnd w:id="75"/>
    <w:bookmarkStart w:id="82" w:name="impactos-en-superficie"/>
    <w:p>
      <w:pPr>
        <w:pStyle w:val="Heading3"/>
      </w:pPr>
      <w:r>
        <w:rPr>
          <w:rStyle w:val="SectionNumber"/>
        </w:rPr>
        <w:t xml:space="preserve">2.2.4</w:t>
      </w:r>
      <w:r>
        <w:tab/>
      </w:r>
      <w:r>
        <w:t xml:space="preserve">Impactos en superficie</w:t>
      </w:r>
    </w:p>
    <w:p>
      <w:pPr>
        <w:pStyle w:val="CaptionedFigure"/>
      </w:pPr>
      <w:r>
        <w:drawing>
          <wp:inline>
            <wp:extent cx="4620126" cy="2772075"/>
            <wp:effectExtent b="0" l="0" r="0" t="0"/>
            <wp:docPr descr="Figure 2.15: (ref:pp-t2m-r2-cap)" title="" id="77" name="Picture"/>
            <a:graphic>
              <a:graphicData uri="http://schemas.openxmlformats.org/drawingml/2006/picture">
                <pic:pic>
                  <pic:nvPicPr>
                    <pic:cNvPr descr="figures/20-ceofs/pp-t2m-r2-1.png" id="78" name="Picture"/>
                    <pic:cNvPicPr>
                      <a:picLocks noChangeArrowheads="1" noChangeAspect="1"/>
                    </pic:cNvPicPr>
                  </pic:nvPicPr>
                  <pic:blipFill>
                    <a:blip r:embed="rId76"/>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r>
        <w:t xml:space="preserve">Figure 2.15: (ref:pp-t2m-r2-cap)</w:t>
      </w:r>
    </w:p>
    <w:p>
      <w:pPr>
        <w:pStyle w:val="BodyText"/>
      </w:pPr>
      <w:r>
        <w:t xml:space="preserve">(ref:pp-t2m-r2-cap) Igual que la Figura</w:t>
      </w:r>
      <w:r>
        <w:t xml:space="preserve"> </w:t>
      </w:r>
      <w:r>
        <w:t xml:space="preserve">2.10</w:t>
      </w:r>
      <w:r>
        <w:t xml:space="preserve"> </w:t>
      </w:r>
      <w:r>
        <w:t xml:space="preserve">pero para Temperatura a 2 metros y precipitación.</w:t>
      </w:r>
    </w:p>
    <w:p>
      <w:pPr>
        <w:pStyle w:val="BodyText"/>
      </w:pPr>
      <w:r>
        <w:t xml:space="preserve">La Figura</w:t>
      </w:r>
      <w:r>
        <w:t xml:space="preserve"> </w:t>
      </w:r>
      <w:r>
        <w:t xml:space="preserve">2.15</w:t>
      </w:r>
      <w:r>
        <w:t xml:space="preserve"> </w:t>
      </w:r>
      <w:r>
        <w:t xml:space="preserve">muestra la varianza de la temperatura a 2 metros y de la precipitación explicada por cada cEOF.</w:t>
      </w:r>
    </w:p>
    <w:p>
      <w:pPr>
        <w:pStyle w:val="BodyText"/>
      </w:pPr>
      <w:r>
        <w:t xml:space="preserve">La varianza explicada por el cEOF1 para ambas variables es muy baja en la mayoría de las regiones, excepto para el extremo norte de la Península Antártica, el norte del Mar de Weddell y la costa del Mar de Ross (Fig.</w:t>
      </w:r>
      <w:r>
        <w:t xml:space="preserve">2.15</w:t>
      </w:r>
      <w:r>
        <w:t xml:space="preserve">a.1).</w:t>
      </w:r>
    </w:p>
    <w:p>
      <w:pPr>
        <w:pStyle w:val="BodyText"/>
      </w:pPr>
      <w:r>
        <w:t xml:space="preserve">Por otro lado, la varianza explicada cEOF2 es superior al 50% en algunas regiones para ambas variables (Fig.</w:t>
      </w:r>
      <w:r>
        <w:t xml:space="preserve"> </w:t>
      </w:r>
      <w:r>
        <w:t xml:space="preserve">2.15</w:t>
      </w:r>
      <w:r>
        <w:t xml:space="preserve"> </w:t>
      </w:r>
      <w:r>
        <w:t xml:space="preserve">columna 2).</w:t>
      </w:r>
      <w:r>
        <w:t xml:space="preserve"> </w:t>
      </w:r>
      <w:r>
        <w:t xml:space="preserve">Para la temperatura de 2 metros, hay valores altos en el Pacífico tropical y en la región que forma un arco entre Nueva Zelanda y el Atlántico Sur.</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BodyText"/>
      </w:pPr>
      <w:r>
        <w:t xml:space="preserve">(ref:pp-temp-cap) Regresión de la temperatura de 2 metros (K, sombreado) y la altura geopotencial de 850 hPa (m, contornos) (columna 1), y la precipitación (correlación, columna 2) sobre diferentes fases de cEOF2.</w:t>
      </w:r>
      <w:r>
        <w:t xml:space="preserve"> </w:t>
      </w:r>
      <w:r>
        <w:t xml:space="preserve">Para el trimestre SON del periodo 1979 – 2019.</w:t>
      </w:r>
      <w:r>
        <w:t xml:space="preserve"> </w:t>
      </w:r>
      <w:r>
        <w:t xml:space="preserve">Áreas con puntos tienen p-valor menor que 0.01 ajustado por FDR.</w:t>
      </w:r>
    </w:p>
    <w:p>
      <w:pPr>
        <w:pStyle w:val="CaptionedFigure"/>
      </w:pPr>
      <w:r>
        <w:drawing>
          <wp:inline>
            <wp:extent cx="4620126" cy="5544151"/>
            <wp:effectExtent b="0" l="0" r="0" t="0"/>
            <wp:docPr descr="Figure 2.16: (ref:pp-temp-2-cap)" title="" id="80" name="Picture"/>
            <a:graphic>
              <a:graphicData uri="http://schemas.openxmlformats.org/drawingml/2006/picture">
                <pic:pic>
                  <pic:nvPicPr>
                    <pic:cNvPr descr="figures/20-ceofs/pp-temp-2-1.png" id="81" name="Picture"/>
                    <pic:cNvPicPr>
                      <a:picLocks noChangeArrowheads="1" noChangeAspect="1"/>
                    </pic:cNvPicPr>
                  </pic:nvPicPr>
                  <pic:blipFill>
                    <a:blip r:embed="rId79"/>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2.16: (ref:pp-temp-2-cap)</w:t>
      </w:r>
    </w:p>
    <w:p>
      <w:pPr>
        <w:pStyle w:val="BodyText"/>
      </w:pPr>
      <w:r>
        <w:t xml:space="preserve">Las anomalías de temperatura asociadas a la fase de 90º del cEOF2 (Fig. </w:t>
      </w:r>
      <w:r>
        <w:t xml:space="preserve">2.16</w:t>
      </w:r>
      <w:r>
        <w:t xml:space="preserve">.b1) muestran valores positivos en el Pacífico tropical, coherentes con las anomalías de SST asociadas a esta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las fase de 90º (Fig.</w:t>
      </w:r>
      <w:r>
        <w:t xml:space="preserve">2.16</w:t>
      </w:r>
      <w:r>
        <w:t xml:space="preserve">b.1) está asociada a anomalías de temperatura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 la fase de 0º (Fig.</w:t>
      </w:r>
      <w:r>
        <w:t xml:space="preserve">2.16</w:t>
      </w:r>
      <w:r>
        <w:t xml:space="preserve">d.1) son menos extensas y se limitan a latitudes medias y altas.</w:t>
      </w:r>
      <w:r>
        <w:t xml:space="preserve"> </w:t>
      </w: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tropicales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extratrópicos, la fase de 90º del cEOF2 se asocia a condiciones más secas sobre el este de Australia y el océano circundante, que es una señal similar a la asociada al ENSO</w:t>
      </w:r>
      <w:r>
        <w:t xml:space="preserve"> </w:t>
      </w:r>
      <w:r>
        <w:t xml:space="preserve">(Cai et al., 2011)</w:t>
      </w:r>
      <w:r>
        <w:t xml:space="preserve">.</w:t>
      </w:r>
      <w:r>
        <w:t xml:space="preserve"> </w:t>
      </w:r>
      <w:r>
        <w:t xml:space="preserve">Sin embargo, esta es la fase más fuertemente correlacionada con la precipitación en esa zona.</w:t>
      </w:r>
      <w:r>
        <w:t xml:space="preserve"> </w:t>
      </w:r>
      <w:r>
        <w:t xml:space="preserve">La fase de 135º (una intermedia 90º y 180º) está correlacionada más intensa y extensamente con la precipitación sobre Australia y Nueva Zelanda.</w:t>
      </w:r>
      <w:r>
        <w:t xml:space="preserve"> </w:t>
      </w:r>
      <w:r>
        <w:t xml:space="preserve">La influencia del cEOF2 en la precipitación australiana podría estar relacionada más con los impactos directos de las anomalías de la SST en los océanos circundantes que en el patrón de teleconexión representado por el cEOF2.</w:t>
      </w:r>
    </w:p>
    <w:p>
      <w:pPr>
        <w:pStyle w:val="BodyText"/>
      </w:pPr>
      <w:r>
        <w:t xml:space="preserve">Sobre Sudamérica, la fase de 90º del cEOF2 está correlacionado positivamente con la precipitación en el sudeste de Sudamérica (SESA) y el centro de Chile, y negativamente negativas en el este de Brasil.</w:t>
      </w:r>
      <w:r>
        <w:t xml:space="preserve"> </w:t>
      </w:r>
      <w:r>
        <w:t xml:space="preserve">Este campo de correlación coincide con la señal de ENSO la precipitación de primavera</w:t>
      </w:r>
      <w:r>
        <w:t xml:space="preserve"> </w:t>
      </w:r>
      <w:r>
        <w:t xml:space="preserve">(e.g. Cai et al., 2020)</w:t>
      </w:r>
      <w:r>
        <w:t xml:space="preserve">.</w:t>
      </w:r>
    </w:p>
    <w:p>
      <w:pPr>
        <w:pStyle w:val="BodyText"/>
      </w:pPr>
      <w:r>
        <w:t xml:space="preserve">Los coeficientes de correlación entre las anomalías de precipitación y la fase de 0º del cEOF2 (Fig. </w:t>
      </w:r>
      <w:r>
        <w:t xml:space="preserve">2.16</w:t>
      </w:r>
      <w:r>
        <w:t xml:space="preserve">d.2) son más débiles que para la fase de 90º.</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82"/>
    <w:bookmarkEnd w:id="83"/>
    <w:bookmarkStart w:id="84" w:name="otras-estaciones"/>
    <w:p>
      <w:pPr>
        <w:pStyle w:val="Heading2"/>
      </w:pPr>
      <w:r>
        <w:rPr>
          <w:rStyle w:val="SectionNumber"/>
        </w:rPr>
        <w:t xml:space="preserve">2.3</w:t>
      </w:r>
      <w:r>
        <w:tab/>
      </w:r>
      <w:r>
        <w:t xml:space="preserve">Otras estaciones ??</w:t>
      </w:r>
    </w:p>
    <w:p>
      <w:pPr>
        <w:pStyle w:val="FirstParagraph"/>
      </w:pPr>
      <w:r>
        <w:t xml:space="preserve">Definitivamente extender al resto del año.</w:t>
      </w:r>
      <w:r>
        <w:t xml:space="preserve"> </w:t>
      </w:r>
      <w:r>
        <w:t xml:space="preserve">(índice mensual).</w:t>
      </w:r>
      <w:r>
        <w:t xml:space="preserve"> </w:t>
      </w:r>
      <w:r>
        <w:t xml:space="preserve">Esto faltaría.</w:t>
      </w:r>
      <w:r>
        <w:t xml:space="preserve"> </w:t>
      </w:r>
      <w:r>
        <w:t xml:space="preserve">Hay código para hacerlo, pero falta la interpretación, que es lo importante.</w:t>
      </w:r>
    </w:p>
    <w:p>
      <w:pPr>
        <w:pStyle w:val="BodyText"/>
      </w:pPr>
      <w:r>
        <w:t xml:space="preserve">Sería un análisis más modesto.</w:t>
      </w:r>
    </w:p>
    <w:bookmarkEnd w:id="84"/>
    <w:bookmarkEnd w:id="85"/>
    <w:bookmarkStart w:id="151" w:name="Xdf5da4f21c8ed72065ca5c0e80a1cf530743ac2"/>
    <w:p>
      <w:pPr>
        <w:pStyle w:val="Heading1"/>
      </w:pPr>
      <w:r>
        <w:rPr>
          <w:rStyle w:val="SectionNumber"/>
        </w:rPr>
        <w:t xml:space="preserve">3</w:t>
      </w:r>
      <w:r>
        <w:tab/>
      </w:r>
      <w:r>
        <w:t xml:space="preserve">Estructura simétrica y asimétrica del SAM</w:t>
      </w:r>
    </w:p>
    <w:bookmarkStart w:id="86" w:name="introducción-1"/>
    <w:p>
      <w:pPr>
        <w:pStyle w:val="Heading2"/>
      </w:pPr>
      <w:r>
        <w:rPr>
          <w:rStyle w:val="SectionNumber"/>
        </w:rPr>
        <w:t xml:space="preserve">3.1</w:t>
      </w:r>
      <w:r>
        <w:tab/>
      </w:r>
      <w:r>
        <w:t xml:space="preserve">Introducción</w:t>
      </w:r>
    </w:p>
    <w:p>
      <w:pPr>
        <w:pStyle w:val="FirstParagraph"/>
      </w:pPr>
      <w:r>
        <w:t xml:space="preserve">El Modo Anular Austral (SAM) es el principal modo de variabilidad de la circulación extratropical del hemisferio sur</w:t>
      </w:r>
      <w:r>
        <w:t xml:space="preserve"> </w:t>
      </w:r>
      <w:r>
        <w:t xml:space="preserve">(Rogers and van Loon, 1982)</w:t>
      </w:r>
      <w:r>
        <w:t xml:space="preserve"> </w:t>
      </w:r>
      <w:r>
        <w:t xml:space="preserve">en escalas temporales diarias, mensuales y decenales</w:t>
      </w:r>
      <w:r>
        <w:t xml:space="preserve"> </w:t>
      </w:r>
      <w:r>
        <w:t xml:space="preserve">(Baldwin and Dunkerton, 2001; Fogt and Bromwich, 2006)</w:t>
      </w:r>
      <w:r>
        <w:t xml:space="preserve"> </w:t>
      </w:r>
      <w:r>
        <w:t xml:space="preserve">y ejerce una importante influencia en las anomalías de temperatura y precipitación, así como en la concentración de hielo marino</w:t>
      </w:r>
      <w:r>
        <w:t xml:space="preserve"> </w:t>
      </w:r>
      <w:r>
        <w:t xml:space="preserve">(p. ej. Fogt and Marshall, 2020)</w:t>
      </w:r>
      <w:r>
        <w:t xml:space="preserve">.</w:t>
      </w:r>
      <w:r>
        <w:t xml:space="preserve"> </w:t>
      </w:r>
      <w:r>
        <w:t xml:space="preserve">Su fase positiva suele describirse como presiones anómalamente bajas sobre la Antártida rodeadas de un anillo de altas presiones anómalas en latitudes medias y altas.</w:t>
      </w:r>
    </w:p>
    <w:p>
      <w:pPr>
        <w:pStyle w:val="BodyText"/>
      </w:pPr>
      <w:r>
        <w:t xml:space="preserve">La mayoría de los autores describen el SAM como un patrón zonalmente simétrico, hecho que se refleja no sólo en su nombre, sino también en los diversos métodos utilizados para caracterizarlo.</w:t>
      </w:r>
      <w:r>
        <w:t xml:space="preserve"> </w:t>
      </w:r>
      <w:r>
        <w:t xml:space="preserve">De los distintos índices presentados en la literatura, muchos de ellos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definió el índice SAM como la diferencia de presión media zonal a nivel del mar entre 40</w:t>
      </w:r>
      <w:r>
        <w:t xml:space="preserve">S y 65</w:t>
      </w:r>
      <w:r>
        <w:t xml:space="preserve">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los modos anular septentrional y meridional como la EOF principal de la altura geopotencial promediada zonalmente en cada nivel.</w:t>
      </w:r>
    </w:p>
    <w:p>
      <w:pPr>
        <w:pStyle w:val="BodyText"/>
      </w:pPr>
      <w:r>
        <w:t xml:space="preserve">Aunque estos índices se basan en promedios zonales, sus anomalías espaciales de altura geopotencial asociadas contienen notables desviaciones de la simetría zonal, particularmente en la región del Océano Pacífico.</w:t>
      </w:r>
      <w:r>
        <w:t xml:space="preserve"> </w:t>
      </w:r>
      <w:r>
        <w:t xml:space="preserve">Las asimetrías zonales no han sido ampliamente estudiadas, pero trabajos previos sugieren que modulan fuertemente los impactos regionales de la SAM</w:t>
      </w:r>
      <w:r>
        <w:t xml:space="preserve"> </w:t>
      </w:r>
      <w:r>
        <w:t xml:space="preserve">(Fan, 2007; Silvestri and Vera, 2009; Fogt et al., 2012; Rosso et al., 2018)</w:t>
      </w:r>
      <w:r>
        <w:t xml:space="preserve">.</w:t>
      </w:r>
      <w:r>
        <w:t xml:space="preserve"> </w:t>
      </w:r>
      <w:r>
        <w:t xml:space="preserve">El hecho de que la SAM no sea totalmente simétrica zonalmente dificulta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 la SAM parece estar forzada por los trópicos.</w:t>
      </w:r>
      <w:r>
        <w:t xml:space="preserve"> </w:t>
      </w:r>
      <w:r>
        <w:t xml:space="preserve">La variabilidad de tipo ENOS afecta a los extratópicos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la SAM en el sector del Pacífico.</w:t>
      </w:r>
      <w:r>
        <w:t xml:space="preserve"> </w:t>
      </w:r>
      <w:r>
        <w:t xml:space="preserve">Además, se han observado influencias tropicales en la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estaban mucho más correlacionados entre sí si se eliminaba la señal (lineal) del ENSO.</w:t>
      </w:r>
    </w:p>
    <w:p>
      <w:pPr>
        <w:pStyle w:val="BodyText"/>
      </w:pPr>
      <w:r>
        <w:t xml:space="preserve">Varios investigadores han documentado tendencias positivas en la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el agotamiento del ozono estratosférico y el aumento de los gases de efecto invernadero, y se entienden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cómo o si el componente SAM asimétrico responde a estos forzamientos, o cómo su variabilidad altera las tendencias observadas.</w:t>
      </w:r>
    </w:p>
    <w:p>
      <w:pPr>
        <w:pStyle w:val="BodyText"/>
      </w:pPr>
      <w:r>
        <w:t xml:space="preserve">El impacto de la componente zonalmente asimétrica de la SAM a escala regional aún no se ha estudiado en detalle.</w:t>
      </w:r>
      <w:r>
        <w:t xml:space="preserve"> </w:t>
      </w:r>
      <w:r>
        <w:t xml:space="preserve">La fase positiva de la SAM se asocia con temperaturas más frías de lo normal sobre la Antártida y más cálidas de lo normal en latitudes más bajas</w:t>
      </w:r>
      <w:r>
        <w:t xml:space="preserve"> </w:t>
      </w:r>
      <w:r>
        <w:t xml:space="preserve">(Jones et al., 2019)</w:t>
      </w:r>
      <w:r>
        <w:t xml:space="preserve"> </w:t>
      </w:r>
      <w:r>
        <w:t xml:space="preserve">(y viceversa para la SAM negativa).</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se comporta de forma similar, aunque con una desviación aún mayor de la simetría zonal</w:t>
      </w:r>
      <w:r>
        <w:t xml:space="preserve"> </w:t>
      </w:r>
      <w:r>
        <w:t xml:space="preserve">(Lim et al., 2016)</w:t>
      </w:r>
      <w:r>
        <w:t xml:space="preserve">.</w:t>
      </w:r>
      <w:r>
        <w:t xml:space="preserve"> </w:t>
      </w:r>
      <w:r>
        <w:t xml:space="preserve">La relación SAM-precipitación en el sudeste de Sudamérica puede explicarse por la circulación zonalmente asimétrica similar a la del Pacífico-Sudamérica (PSA) asociada a la SAM</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 la SAM.</w:t>
      </w:r>
    </w:p>
    <w:p>
      <w:pPr>
        <w:pStyle w:val="BodyText"/>
      </w:pPr>
      <w:r>
        <w:t xml:space="preserve">El estudio de la variabilidad temporal del componente asimétrico de la SAM no ha recibido mucha atención, excepto por</w:t>
      </w:r>
      <w:r>
        <w:t xml:space="preserve"> </w:t>
      </w:r>
      <w:r>
        <w:t xml:space="preserve">Fogt et al. (2012)</w:t>
      </w:r>
      <w:r>
        <w:t xml:space="preserve">.</w:t>
      </w:r>
      <w:r>
        <w:t xml:space="preserve"> </w:t>
      </w:r>
      <w:r>
        <w:t xml:space="preserve">Este estudio aporta evidencias sobre la relevancia del componente asimétrico de la SAM.</w:t>
      </w:r>
      <w:r>
        <w:t xml:space="preserve"> </w:t>
      </w:r>
      <w:r>
        <w:t xml:space="preserve">Sin embargo, sus conclusiones se basan en composiciones de eventos SAM positivos y negativos que incluyen un pequeño número de casos desigualmente distribuidos entre años con y sin información satelital.</w:t>
      </w:r>
      <w:r>
        <w:t xml:space="preserve"> </w:t>
      </w:r>
      <w:r>
        <w:t xml:space="preserve">Esto último es especialmente importante debido a las inhomogeneidades en los productos de reanálisis anteriores a la era de los satélites y al posible cambio en la estructura asimétrica de la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 la SAM sólo en la presión a nivel del mar.</w:t>
      </w:r>
      <w:r>
        <w:t xml:space="preserve"> </w:t>
      </w:r>
      <w:r>
        <w:t xml:space="preserve">Las asimetrías zonales en el patrón espacial de la SAM son bastante barotrópicas en toda la troposfera, pero cambian drásticamente en la estratosfera</w:t>
      </w:r>
      <w:r>
        <w:t xml:space="preserve"> </w:t>
      </w:r>
      <w:r>
        <w:t xml:space="preserve">(Baldwin and Thompson, 2009)</w:t>
      </w:r>
      <w:r>
        <w:t xml:space="preserve">.</w:t>
      </w:r>
    </w:p>
    <w:p>
      <w:pPr>
        <w:pStyle w:val="BodyText"/>
      </w:pPr>
      <w:r>
        <w:t xml:space="preserve">En resumen, las investigaciones previas sugieren fuertemente que el componente zonalmente asimétrico de la SAM puede ser potencialmente muy diferente del componente zonalmente simétrico.</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 la SAM.</w:t>
      </w:r>
      <w:r>
        <w:t xml:space="preserve"> </w:t>
      </w:r>
      <w:r>
        <w:t xml:space="preserve">En primer lugar, proponemos una metodología que proporciona, para cada nivel, dos índices que pretenden captar de forma independiente la variabilidad del componente SAM simétrico y asimétrico, respectivamente.</w:t>
      </w:r>
      <w:r>
        <w:t xml:space="preserve"> </w:t>
      </w:r>
      <w:r>
        <w:t xml:space="preserve">En consecuencia, se evalúan su estructura vertical y su coherencia, así como su variabilidad temporal y sus tendencias.</w:t>
      </w:r>
      <w:r>
        <w:t xml:space="preserve"> </w:t>
      </w:r>
      <w:r>
        <w:t xml:space="preserve">A continuación se estudian los patrones espaciales descritos por la variabilidad exclusiva de cada índice centrándose en 50 hPa como representación de la estratosfera y 700 hPa como representación de la troposfera.</w:t>
      </w:r>
      <w:r>
        <w:t xml:space="preserve"> </w:t>
      </w:r>
      <w:r>
        <w:t xml:space="preserve">Por último, se investigan las relaciones de la SAM a 700 hPa con las anomalías de temperatura y precipitación.</w:t>
      </w:r>
    </w:p>
    <w:bookmarkEnd w:id="86"/>
    <w:bookmarkStart w:id="92" w:name="datos-y-métodos-1"/>
    <w:p>
      <w:pPr>
        <w:pStyle w:val="Heading2"/>
      </w:pPr>
      <w:r>
        <w:rPr>
          <w:rStyle w:val="SectionNumber"/>
        </w:rPr>
        <w:t xml:space="preserve">3.2</w:t>
      </w:r>
      <w:r>
        <w:tab/>
      </w:r>
      <w:r>
        <w:t xml:space="preserve">Datos y métodos</w:t>
      </w:r>
    </w:p>
    <w:bookmarkStart w:id="90" w:name="definición-de-los-índices"/>
    <w:p>
      <w:pPr>
        <w:pStyle w:val="Heading3"/>
      </w:pPr>
      <w:r>
        <w:rPr>
          <w:rStyle w:val="SectionNumber"/>
        </w:rPr>
        <w:t xml:space="preserve">3.2.1</w:t>
      </w:r>
      <w:r>
        <w:tab/>
      </w:r>
      <w:r>
        <w:t xml:space="preserve">Definición de los índices</w:t>
      </w:r>
    </w:p>
    <w:p>
      <w:pPr>
        <w:pStyle w:val="FirstParagraph"/>
      </w:pPr>
      <w:r>
        <w:t xml:space="preserve">Tradicionalmente, la SAM se define como el modo ortogonal empírico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la altura geopotencial al sur de 20 grados S en cada nivel.</w:t>
      </w:r>
      <w:r>
        <w:t xml:space="preserve"> </w:t>
      </w:r>
      <w:r>
        <w:t xml:space="preserve">Realizamos EOFs calculando la Descomposición de Valor Singular de la matriz de datos consistente en 489 filas y 4176 columnas (144 puntos de longitud y 29 puntos de latitud).</w:t>
      </w:r>
      <w:r>
        <w:t xml:space="preserve"> </w:t>
      </w:r>
      <w:r>
        <w:t xml:space="preserve">Ponderamos los valores por la raíz cuadrada del coseno de la latitud para tener en cuenta el área no igual de cada punto de cuadrícula</w:t>
      </w:r>
      <w:r>
        <w:t xml:space="preserve"> </w:t>
      </w:r>
      <w:r>
        <w:t xml:space="preserve">(Chung and Nigam, 1999)</w:t>
      </w:r>
      <w:r>
        <w:t xml:space="preserve">.</w:t>
      </w:r>
      <w:r>
        <w:t xml:space="preserve"> </w:t>
      </w:r>
      <w:r>
        <w:t xml:space="preserve">En el análisis EOF consideramos todos los meses juntos sin dividir por estaciones.</w:t>
      </w:r>
    </w:p>
    <w:p>
      <w:pPr>
        <w:pStyle w:val="BodyText"/>
      </w:pPr>
      <w:r>
        <w:t xml:space="preserve">Para separar los componentes zonalmente simétricos y asimétricos de la SAM, calculamos la media zonal y las anomalías del patrón espacial completo de la SAM, como se muestra en la Figura</w:t>
      </w:r>
      <w:r>
        <w:t xml:space="preserve"> </w:t>
      </w:r>
      <w:r>
        <w:t xml:space="preserve">3.1</w:t>
      </w:r>
      <w:r>
        <w:t xml:space="preserve"> </w:t>
      </w:r>
      <w:r>
        <w:t xml:space="preserve">a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los componentes zonalmente asimétricos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simétricos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w:t>
      </w:r>
      <w:r>
        <w:t xml:space="preserve">-SAM) y los índices SAM simétrico (S</w:t>
      </w:r>
      <w:r>
        <w:t xml:space="preserve">-SAM) como los coeficientes de la regresión de cada campo de altura geopotencial mensual sobre los respectivos patrones (ponderando por el coseno de la latitud).</w:t>
      </w:r>
      <w:r>
        <w:t xml:space="preserve"> </w:t>
      </w:r>
      <w:r>
        <w:t xml:space="preserve">A continuación, los tres índices se normalizan dividiéndolos por la desviación típica del índice SAM en cada nivel.</w:t>
      </w:r>
      <w:r>
        <w:t xml:space="preserve"> </w:t>
      </w:r>
      <w:r>
        <w:t xml:space="preserve">Como resultado, las magnitudes entre los índices son comparables.</w:t>
      </w:r>
      <w:r>
        <w:t xml:space="preserve"> </w:t>
      </w:r>
      <w:r>
        <w:t xml:space="preserve">Sin embargo, sólo el índice SAM tiene desviación típica unitaria por definición.</w:t>
      </w:r>
      <w:r>
        <w:t xml:space="preserve"> </w:t>
      </w:r>
      <w:r>
        <w:t xml:space="preserve">La varianza explicada de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CaptionedFigure"/>
      </w:pPr>
      <w:r>
        <w:drawing>
          <wp:inline>
            <wp:extent cx="5334000" cy="2398447"/>
            <wp:effectExtent b="0" l="0" r="0" t="0"/>
            <wp:docPr descr="Figure 3.1: Spatial patterns of the first EOF of 700 hPa geopotential height for 1979 – 2018 period1. (a) Full field, (b) zonally asymmetric component and (c) zonally symmetric component. Arbitrary units; positive values in blue and negative values in red." title="" id="88" name="Picture"/>
            <a:graphic>
              <a:graphicData uri="http://schemas.openxmlformats.org/drawingml/2006/picture">
                <pic:pic>
                  <pic:nvPicPr>
                    <pic:cNvPr descr="figures/30-sam/method-1.png" id="89" name="Picture"/>
                    <pic:cNvPicPr>
                      <a:picLocks noChangeArrowheads="1" noChangeAspect="1"/>
                    </pic:cNvPicPr>
                  </pic:nvPicPr>
                  <pic:blipFill>
                    <a:blip r:embed="rId87"/>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r>
        <w:t xml:space="preserve">Figure 3.1: Spatial patterns of the first EOF of 700 hPa geopotential height for 1979 – 2018 period1. (a) Full field, (b) zonally asymmetric component and (c) zonally symmetric component. Arbitrary units; positive values in blue and negative values in red.</w:t>
      </w:r>
    </w:p>
    <w:p>
      <w:pPr>
        <w:pStyle w:val="BodyText"/>
      </w:pPr>
      <w:r>
        <w:t xml:space="preserve">El método supone la linealidad de la componente asimétrica de la SAM.</w:t>
      </w:r>
      <w:r>
        <w:t xml:space="preserve"> </w:t>
      </w:r>
      <w:r>
        <w:t xml:space="preserve">Esto significa que las asimetrías zonales asociadas a la fase positiva de SAM (SAM+) son de signo casi opuesto y de la misma magnitud que las asociadas a la fase negativa de SAM (SAM-).</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r>
        <w:t xml:space="preserve"> </w:t>
      </w:r>
      <w:r>
        <w:t xml:space="preserve">Para probar esta suposición, calculamos compuestos estacionales de anomalías zonales de altura geopotencial para SAM+ y SAM- (definidos como meses en los que el índice SAM es mayor que 1 desviación estándar y menor que menos 1 desviación estándar, respectivamente) para el periodo de 1979 a 2018 en los niveles de 700 hPa y 50 hPa (Figuras</w:t>
      </w:r>
      <w:r>
        <w:t xml:space="preserve"> </w:t>
      </w:r>
      <w:r>
        <w:t xml:space="preserve">3.14</w:t>
      </w:r>
      <w:r>
        <w:t xml:space="preserve"> </w:t>
      </w:r>
      <w:r>
        <w:t xml:space="preserve">y</w:t>
      </w:r>
      <w:r>
        <w:t xml:space="preserve"> </w:t>
      </w:r>
      <w:r>
        <w:t xml:space="preserve">3.15</w:t>
      </w:r>
      <w:r>
        <w:t xml:space="preserve">).</w:t>
      </w:r>
      <w:r>
        <w:t xml:space="preserve"> </w:t>
      </w:r>
      <w:r>
        <w:t xml:space="preserve">En todas las estaciones y en ambos niveles, los compuestos SAM+ son similares a los SAM- en estructura pero con signo opuesto.</w:t>
      </w:r>
      <w:r>
        <w:t xml:space="preserve"> </w:t>
      </w:r>
      <w:r>
        <w:t xml:space="preserve">Las correlaciones espaciales entre los compuestos de cada estación son elevadas.</w:t>
      </w:r>
      <w:r>
        <w:t xml:space="preserve"> </w:t>
      </w:r>
      <w:r>
        <w:t xml:space="preserve">El método considerado en este estudio parece entonces una aproximación razonable del fenómeno.</w:t>
      </w:r>
    </w:p>
    <w:p>
      <w:pPr>
        <w:pStyle w:val="BodyText"/>
      </w:pPr>
      <w:r>
        <w:t xml:space="preserve">Al realizar el análisis EOF utilizando los datos de todos los meses estamos asumiendo que la estructura zonalmente asimétrica de la SAM es la misma en todas las estaciones.</w:t>
      </w:r>
      <w:r>
        <w:t xml:space="preserve"> </w:t>
      </w:r>
      <w:r>
        <w:t xml:space="preserve">Esto último se evaluó calculando las anomalías zonales de la altura geopotencial mediante la proyección de la primera EOF de cada estación de forma independiente.</w:t>
      </w:r>
      <w:r>
        <w:t xml:space="preserve"> </w:t>
      </w:r>
      <w:r>
        <w:t xml:space="preserve">Se consideraron las siguientes estaciones: diciembre a febrero (DJF), marzo a mayo (MAM), junio a agosto (JJA) y septiembre a noviembre (SON).</w:t>
      </w:r>
      <w:r>
        <w:t xml:space="preserve"> </w:t>
      </w:r>
      <w:r>
        <w:t xml:space="preserve">Los resultados son muy similares entre sí en la troposfera (Figura</w:t>
      </w:r>
      <w:r>
        <w:t xml:space="preserve"> </w:t>
      </w:r>
      <w:r>
        <w:t xml:space="preserve">3.16</w:t>
      </w:r>
      <w:r>
        <w:t xml:space="preserve">, fila 2) y muestran correlaciones espaciales entre 0,65 (DJF con JJA) y 0,9 (MAM con SON).</w:t>
      </w:r>
      <w:r>
        <w:t xml:space="preserve"> </w:t>
      </w:r>
      <w:r>
        <w:t xml:space="preserve">En la estratosfera (Figura</w:t>
      </w:r>
      <w:r>
        <w:t xml:space="preserve"> </w:t>
      </w:r>
      <w:r>
        <w:t xml:space="preserve">3.16</w:t>
      </w:r>
      <w:r>
        <w:t xml:space="preserve">, fila 1), los patrones son similares para todas las estaciones excepto DJF, cuando las anomalías zonales de la onda-1 se giran 90</w:t>
      </w:r>
      <w:r>
        <w:t xml:space="preserve">en comparación con el resto del año.</w:t>
      </w:r>
      <w:r>
        <w:t xml:space="preserve"> </w:t>
      </w:r>
      <w:r>
        <w:t xml:space="preserve">Las correlaciones espaciales en la estratosfera se sitúan entre -0,24 (DJF con SON) y 0,95 (MAM con JJA).</w:t>
      </w:r>
      <w:r>
        <w:t xml:space="preserve"> </w:t>
      </w:r>
      <w:r>
        <w:t xml:space="preserve">Por tanto, los resultados confirman que la estructura asimétrica zonal de la SAM es muy similar durante la mayor parte del año.</w:t>
      </w:r>
      <w:r>
        <w:t xml:space="preserve"> </w:t>
      </w:r>
      <w:r>
        <w:t xml:space="preserve">El trimestre DJF muestra correlaciones mucho más bajas con las otras estaciones en ambos niveles y las anomalías zonales más débiles (Figura</w:t>
      </w:r>
      <w:r>
        <w:t xml:space="preserve"> </w:t>
      </w:r>
      <w:r>
        <w:t xml:space="preserve">3.14</w:t>
      </w:r>
      <w:r>
        <w:t xml:space="preserve">), lo que concuerda con</w:t>
      </w:r>
      <w:r>
        <w:t xml:space="preserve"> </w:t>
      </w:r>
      <w:r>
        <w:t xml:space="preserve">Fogt and Marshall (2020)</w:t>
      </w:r>
      <w:r>
        <w:t xml:space="preserve">.</w:t>
      </w:r>
      <w:r>
        <w:t xml:space="preserve"> </w:t>
      </w:r>
      <w:r>
        <w:t xml:space="preserve">Por tanto, cabría esperar que, aunque el análisis se realice incluyendo todos los meses, represente con mayor precisión el resto de las estaciones.</w:t>
      </w:r>
    </w:p>
    <w:p>
      <w:pPr>
        <w:pStyle w:val="BodyText"/>
      </w:pPr>
      <w:r>
        <w:t xml:space="preserve">El método también asume que el patrón zonalmente asimétrico de la SAM permanece estacionario a lo largo del periodo considerado.</w:t>
      </w:r>
      <w:r>
        <w:t xml:space="preserve"> </w:t>
      </w:r>
      <w:r>
        <w:t xml:space="preserve">Silvestri and Vera (2009)</w:t>
      </w:r>
      <w:r>
        <w:t xml:space="preserve"> </w:t>
      </w:r>
      <w:r>
        <w:t xml:space="preserve">sugieren que este podría no ser el caso entre 1958 y 2004.</w:t>
      </w:r>
      <w:r>
        <w:t xml:space="preserve"> </w:t>
      </w:r>
      <w:r>
        <w:t xml:space="preserve">Los patrones asimétricos zonales de SAM se calcularon para las dos mitades del periodo (1979 a 1998 y 1999 a 2018) respectivamente.</w:t>
      </w:r>
      <w:r>
        <w:t xml:space="preserve"> </w:t>
      </w:r>
      <w:r>
        <w:t xml:space="preserve">Las diferencias entre los dos periodos parecen ser relativamente pequeñas tanto en la troposfera como en la estratosfera (Figura</w:t>
      </w:r>
      <w:r>
        <w:t xml:space="preserve"> </w:t>
      </w:r>
      <w:r>
        <w:t xml:space="preserve">3.17</w:t>
      </w:r>
      <w:r>
        <w:t xml:space="preserve">).</w:t>
      </w:r>
    </w:p>
    <w:bookmarkEnd w:id="90"/>
    <w:bookmarkStart w:id="91" w:name="regresiones"/>
    <w:p>
      <w:pPr>
        <w:pStyle w:val="Heading3"/>
      </w:pPr>
      <w:r>
        <w:rPr>
          <w:rStyle w:val="SectionNumber"/>
        </w:rPr>
        <w:t xml:space="preserve">3.2.2</w:t>
      </w:r>
      <w:r>
        <w:tab/>
      </w:r>
      <w:r>
        <w:t xml:space="preserve">Regresiones</w:t>
      </w:r>
    </w:p>
    <w:p>
      <w:pPr>
        <w:pStyle w:val="FirstParagraph"/>
      </w:pPr>
      <w:r>
        <w:t xml:space="preserve">Realizamos regresiones lineales para cuantificar la asociación entre los índices SAM y otras variables.</w:t>
      </w:r>
      <w:r>
        <w:t xml:space="preserve"> </w:t>
      </w:r>
      <w:r>
        <w:t xml:space="preserve">Además, aplicamos un análisis de regresión lineal múltiple para describir la influencia combinada de A</w:t>
      </w:r>
      <w:r>
        <w:t xml:space="preserve">-SAM y S</w:t>
      </w:r>
      <w:r>
        <w:t xml:space="preserve">-SAM.</w:t>
      </w:r>
      <w:r>
        <w:t xml:space="preserve"> </w:t>
      </w:r>
      <w:r>
        <w:t xml:space="preserve">Para obtener los coeficientes lineales de una variable</w:t>
      </w:r>
      <w:r>
        <w:t xml:space="preserve"> </w:t>
      </w:r>
      <m:oMath>
        <m:r>
          <m:t>X</m:t>
        </m:r>
      </m:oMath>
      <w:r>
        <w:t xml:space="preserve"> </w:t>
      </w:r>
      <w:r>
        <w:t xml:space="preserve">(geopotencial, temperatura, precipitación, etc…) con A</w:t>
      </w:r>
      <w:r>
        <w:t xml:space="preserve">-SAM y S</w:t>
      </w:r>
      <w:r>
        <w:t xml:space="preserve">-SAM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w:t>
      </w:r>
      <w:r>
        <w:t xml:space="preserve">-SAM que no se explica por la variabilidad de S</w:t>
      </w:r>
      <w:r>
        <w:t xml:space="preserve">-SAM; es decir, es proporcional a la correlación parcial de</w:t>
      </w:r>
      <w:r>
        <w:t xml:space="preserve"> </w:t>
      </w:r>
      <m:oMath>
        <m:r>
          <m:t>X</m:t>
        </m:r>
      </m:oMath>
      <w:r>
        <w:t xml:space="preserve"> </w:t>
      </w:r>
      <w:r>
        <w:t xml:space="preserve">y A</w:t>
      </w:r>
      <w:r>
        <w:t xml:space="preserve">-SAM, controlando el efecto de S</w:t>
      </w:r>
      <w:r>
        <w:t xml:space="preserve">-SAM, y viceversa para</w:t>
      </w:r>
      <w:r>
        <w:t xml:space="preserve"> </w:t>
      </w:r>
      <m:oMath>
        <m:r>
          <m:t>β</m:t>
        </m:r>
      </m:oMath>
      <w:r>
        <w:t xml:space="preserve">.</w:t>
      </w:r>
      <w:r>
        <w:t xml:space="preserve"> </w:t>
      </w:r>
      <w:r>
        <w:t xml:space="preserve">Al realizar una regresión separada para cada trimestre (DJF, MAM, JJA, SON), promediamos estacionalmente las variables relevantes para cada año y trimestre antes de calcular la regresión.</w:t>
      </w:r>
    </w:p>
    <w:p>
      <w:pPr>
        <w:pStyle w:val="BodyText"/>
      </w:pPr>
      <w:r>
        <w:t xml:space="preserve">La significación estadística de los campos de regresión se evaluó ajustando los valores p mediante el control de la Tasa de Falsos Descubrimientos</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Las tendencias lineales se calcularon mediante mínimos cuadrados ordinarios y el intervalo de confianza del 95% se calculó asumiendo una distribución t con los grados de libertad residuales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91"/>
    <w:bookmarkEnd w:id="92"/>
    <w:bookmarkStart w:id="93" w:name="resultados"/>
    <w:p>
      <w:pPr>
        <w:pStyle w:val="Heading2"/>
      </w:pPr>
      <w:r>
        <w:rPr>
          <w:rStyle w:val="SectionNumber"/>
        </w:rPr>
        <w:t xml:space="preserve">3.3</w:t>
      </w:r>
      <w:r>
        <w:tab/>
      </w:r>
      <w:r>
        <w:t xml:space="preserve">Resultados</w:t>
      </w:r>
    </w:p>
    <w:bookmarkEnd w:id="93"/>
    <w:bookmarkStart w:id="109" w:name="temporal"/>
    <w:p>
      <w:pPr>
        <w:pStyle w:val="Heading2"/>
      </w:pPr>
      <w:r>
        <w:rPr>
          <w:rStyle w:val="SectionNumber"/>
        </w:rPr>
        <w:t xml:space="preserve">3.4</w:t>
      </w:r>
      <w:r>
        <w:tab/>
      </w:r>
      <w:r>
        <w:t xml:space="preserve">Temporal evolution</w:t>
      </w:r>
    </w:p>
    <w:p>
      <w:pPr>
        <w:pStyle w:val="CaptionedFigure"/>
      </w:pPr>
      <w:r>
        <w:drawing>
          <wp:inline>
            <wp:extent cx="5334000" cy="2667000"/>
            <wp:effectExtent b="0" l="0" r="0" t="0"/>
            <wp:docPr descr="Figure 3.2: Time series for A-SAM and S-SAM at (a) 50~hPa and (b) 700~hPa. To the right, probability density estimate of each index. Series are standardised by the standard deviation of the SAM at each level." title="" id="95" name="Picture"/>
            <a:graphic>
              <a:graphicData uri="http://schemas.openxmlformats.org/drawingml/2006/picture">
                <pic:pic>
                  <pic:nvPicPr>
                    <pic:cNvPr descr="figures/30-sam/asymsam-timeseries-1.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Time series for A-SAM and S-SAM at (a) 50~hPa and (b) 700~hPa. To the right, probability density estimate of each index. Series are standardised by the standard deviation of the SAM at each level.</w:t>
      </w:r>
    </w:p>
    <w:p>
      <w:pPr>
        <w:pStyle w:val="BodyText"/>
      </w:pPr>
      <w:r>
        <w:t xml:space="preserve">En primer lugar, evaluamos la evolución temporal de A</w:t>
      </w:r>
      <w:r>
        <w:t xml:space="preserve">-SAM y S</w:t>
      </w:r>
      <w:r>
        <w:t xml:space="preserve">-SAM.</w:t>
      </w:r>
      <w:r>
        <w:t xml:space="preserve"> </w:t>
      </w:r>
      <w:r>
        <w:t xml:space="preserve">La figura</w:t>
      </w:r>
      <w:r>
        <w:t xml:space="preserve"> </w:t>
      </w:r>
      <w:r>
        <w:t xml:space="preserve">3.2</w:t>
      </w:r>
      <w:r>
        <w:t xml:space="preserve"> </w:t>
      </w:r>
      <w:r>
        <w:t xml:space="preserve">muestra las series temporales correspondientes para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capa atmosférica, por lo que es razonable tomar un nivel como representativo de cada capa.</w:t>
      </w:r>
    </w:p>
    <w:p>
      <w:pPr>
        <w:pStyle w:val="BodyText"/>
      </w:pPr>
      <w:r>
        <w:t xml:space="preserve">La variabilidad mes a mes es evidente para ambos índices, con variaciones ruidosas en las frecuencias bajas.</w:t>
      </w:r>
      <w:r>
        <w:t xml:space="preserve"> </w:t>
      </w:r>
      <w:r>
        <w:t xml:space="preserve">A primera vista, las series pueden distinguirse por sus distribuciones.</w:t>
      </w:r>
      <w:r>
        <w:t xml:space="preserve"> </w:t>
      </w:r>
      <w:r>
        <w:t xml:space="preserve">En comparación con los índices troposféricos, los estratosféricos son mucho más de cola larga; es decir, abundan los valores extremos (tanto negativos como positivos).</w:t>
      </w:r>
      <w:r>
        <w:t xml:space="preserve"> </w:t>
      </w:r>
      <w:r>
        <w:t xml:space="preserve">Las series A</w:t>
      </w:r>
      <w:r>
        <w:t xml:space="preserve">-SAM tienen a la vez más variabilidad en las frecuencias más altas que las series S</w:t>
      </w:r>
      <w:r>
        <w:t xml:space="preserve">-SAM.</w:t>
      </w:r>
    </w:p>
    <w:p>
      <w:pPr>
        <w:pStyle w:val="BodyText"/>
      </w:pPr>
      <w:r>
        <w:t xml:space="preserve">El S</w:t>
      </w:r>
      <w:r>
        <w:t xml:space="preserve">-SAM estratosférico varía fuertemente con un periodo entre 15 y 30 meses (el espectro máximo se sitúa en 12 meses), lo que puede apreciarse mediante el análisis espectral (Figura</w:t>
      </w:r>
      <w:r>
        <w:t xml:space="preserve"> </w:t>
      </w:r>
      <w:r>
        <w:t xml:space="preserve">3.19</w:t>
      </w:r>
      <w:r>
        <w:t xml:space="preserve">).</w:t>
      </w:r>
      <w:r>
        <w:t xml:space="preserve"> </w:t>
      </w:r>
      <w:r>
        <w:t xml:space="preserve">En el periodograma del S</w:t>
      </w:r>
      <w:r>
        <w:t xml:space="preserve">-SAM troposférico se aprecia un pico local en un rango de frecuencias similar, aunque no es estadísticamente significativo.</w:t>
      </w:r>
      <w:r>
        <w:t xml:space="preserve"> </w:t>
      </w:r>
      <w:r>
        <w:t xml:space="preserve">Esta banda de periodicidad está alrededor del rango de periodicidad de la Oscilación Cuasi-Bienal</w:t>
      </w:r>
      <w:r>
        <w:t xml:space="preserve"> </w:t>
      </w:r>
      <w:r>
        <w:t xml:space="preserve">(Baldwin et al., 2001)</w:t>
      </w:r>
      <w:r>
        <w:t xml:space="preserve"> </w:t>
      </w:r>
      <w:r>
        <w:t xml:space="preserve">y es consistente con</w:t>
      </w:r>
      <w:r>
        <w:t xml:space="preserve"> </w:t>
      </w:r>
      <w:r>
        <w:t xml:space="preserve">(Vasconcellos et al., 2022)</w:t>
      </w:r>
      <w:r>
        <w:t xml:space="preserve">, quien encontró que la SAM y la QBO comparten una alta potencia común significativa alrededor de la banda de 2 años.</w:t>
      </w:r>
      <w:r>
        <w:t xml:space="preserve"> </w:t>
      </w:r>
      <w:r>
        <w:t xml:space="preserve">El hecho de que esta periodicidad no sea evidente en el índice A</w:t>
      </w:r>
      <w:r>
        <w:t xml:space="preserve">-SAM,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w:t>
      </w:r>
      <w:r>
        <w:t xml:space="preserve">-SAM en torno a 36 meses.</w:t>
      </w:r>
    </w:p>
    <w:p>
      <w:pPr>
        <w:pStyle w:val="BodyText"/>
      </w:pPr>
      <w:r>
        <w:t xml:space="preserve">En una inspección visual, las series temporales A</w:t>
      </w:r>
      <w:r>
        <w:t xml:space="preserve">-SAM y S</w:t>
      </w:r>
      <w:r>
        <w:t xml:space="preserve">-SAM parecen estar correlacionadas.</w:t>
      </w:r>
      <w:r>
        <w:t xml:space="preserve"> </w:t>
      </w:r>
      <w:r>
        <w:t xml:space="preserve">Además, observando los extremos en la estratosfera, la serie S</w:t>
      </w:r>
      <w:r>
        <w:t xml:space="preserve">-SAM parece ir por detrás de la serie A</w:t>
      </w:r>
      <w:r>
        <w:t xml:space="preserve">-SAM (véanse, por ejemplo, los eventos positivos de finales de 1987).</w:t>
      </w:r>
      <w:r>
        <w:t xml:space="preserve"> </w:t>
      </w:r>
      <w:r>
        <w:t xml:space="preserve">La figura</w:t>
      </w:r>
      <w:r>
        <w:t xml:space="preserve"> </w:t>
      </w:r>
      <w:r>
        <w:t xml:space="preserve">3.3</w:t>
      </w:r>
      <w:r>
        <w:t xml:space="preserve"> </w:t>
      </w:r>
      <w:r>
        <w:t xml:space="preserve">muestra estas correlaciones a lo largo de todos los niveles considerados, para los retardos cero y -1.</w:t>
      </w:r>
      <w:r>
        <w:t xml:space="preserve"> </w:t>
      </w:r>
      <w:r>
        <w:t xml:space="preserve">Los valores de las correlaciones de retardo cero entre A</w:t>
      </w:r>
      <w:r>
        <w:t xml:space="preserve">-SAM y S</w:t>
      </w:r>
      <w:r>
        <w:t xml:space="preserve">-SAM son relativamente constantes en toda la troposfera, fluctuando entre 0.32 y 0.4.</w:t>
      </w:r>
      <w:r>
        <w:t xml:space="preserve"> </w:t>
      </w:r>
      <w:r>
        <w:t xml:space="preserve">Las correlaciones con desfase de un mes son igualmente constantes, pero se reducen significativamente a alrededor de 0.13.</w:t>
      </w:r>
      <w:r>
        <w:t xml:space="preserve"> </w:t>
      </w:r>
      <w:r>
        <w:t xml:space="preserve">En la estratosfera, las correlaciones de desfase cero caen a un mínimo de 0.14 en 20 hPa y luego aumentan de nuevo monotónicamente con la altura hasta el nivel más alto del reanálisis (aunque los resultados cerca de la parte superior de los modelos deben interpretarse con cuidado).</w:t>
      </w:r>
      <w:r>
        <w:t xml:space="preserve"> </w:t>
      </w:r>
      <w:r>
        <w:t xml:space="preserve">Al mismo tiempo, las correlaciones de un mes de retraso aumentan con la altura.</w:t>
      </w:r>
      <w:r>
        <w:t xml:space="preserve"> </w:t>
      </w:r>
      <w:r>
        <w:t xml:space="preserve">Por lo tanto, el índice A</w:t>
      </w:r>
      <w:r>
        <w:t xml:space="preserve">-SAM estratosférico tiende a preceder al índice S</w:t>
      </w:r>
      <w:r>
        <w:t xml:space="preserve">-SAM.</w:t>
      </w:r>
      <w:r>
        <w:t xml:space="preserve"> </w:t>
      </w:r>
      <w:r>
        <w:t xml:space="preserve">(Las correlaciones en los desfases de -5 a 5 se muestran en la Figura</w:t>
      </w:r>
      <w:r>
        <w:t xml:space="preserve"> </w:t>
      </w:r>
      <w:r>
        <w:t xml:space="preserve">3.18</w:t>
      </w:r>
      <w:r>
        <w:t xml:space="preserve">).</w:t>
      </w:r>
    </w:p>
    <w:p>
      <w:pPr>
        <w:pStyle w:val="CaptionedFigure"/>
      </w:pPr>
      <w:r>
        <w:drawing>
          <wp:inline>
            <wp:extent cx="2772075" cy="2772075"/>
            <wp:effectExtent b="0" l="0" r="0" t="0"/>
            <wp:docPr descr="Figure 3.3: Correlation between S-SAM and A-SAM at each level for lag zero and lag -1 (A-SAM leads S-SAM) for the 1979 – 2018 period." title="" id="98" name="Picture"/>
            <a:graphic>
              <a:graphicData uri="http://schemas.openxmlformats.org/drawingml/2006/picture">
                <pic:pic>
                  <pic:nvPicPr>
                    <pic:cNvPr descr="figures/30-sam/cor-lev-1.png" id="99" name="Picture"/>
                    <pic:cNvPicPr>
                      <a:picLocks noChangeArrowheads="1" noChangeAspect="1"/>
                    </pic:cNvPicPr>
                  </pic:nvPicPr>
                  <pic:blipFill>
                    <a:blip r:embed="rId97"/>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r>
        <w:t xml:space="preserve">Figure 3.3: Correlation between S-SAM and A-SAM at each level for lag zero and lag -1 (A-SAM leads S-SAM) for the 1979 – 2018 period.</w:t>
      </w:r>
    </w:p>
    <w:p>
      <w:pPr>
        <w:pStyle w:val="CaptionedFigure"/>
      </w:pPr>
      <w:r>
        <w:drawing>
          <wp:inline>
            <wp:extent cx="5334000" cy="2667000"/>
            <wp:effectExtent b="0" l="0" r="0" t="0"/>
            <wp:docPr descr="Figure 3.4: Cross correlation between levels for the (a) SAM, (b) A-SAM, and (c) S-SAM for the 1979 – 2018 period." title="" id="101" name="Picture"/>
            <a:graphic>
              <a:graphicData uri="http://schemas.openxmlformats.org/drawingml/2006/picture">
                <pic:pic>
                  <pic:nvPicPr>
                    <pic:cNvPr descr="figures/30-sam/cross-correlation-1.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3.4: Cross correlation between levels for the (a) SAM, (b) A-SAM, and (c) S-SAM for the 1979 – 2018 period.</w:t>
      </w:r>
    </w:p>
    <w:p>
      <w:pPr>
        <w:pStyle w:val="BodyText"/>
      </w:pPr>
      <w:r>
        <w:t xml:space="preserve">La figura</w:t>
      </w:r>
      <w:r>
        <w:t xml:space="preserve"> </w:t>
      </w:r>
      <w:r>
        <w:t xml:space="preserve">3.4</w:t>
      </w:r>
      <w:r>
        <w:t xml:space="preserve"> </w:t>
      </w:r>
      <w:r>
        <w:t xml:space="preserve">muestra la correlación cruzada (lag cero) entre niveles para los índices SAM, A</w:t>
      </w:r>
      <w:r>
        <w:t xml:space="preserve">-SAM y S</w:t>
      </w:r>
      <w:r>
        <w:t xml:space="preserve">-SAM.</w:t>
      </w:r>
      <w:r>
        <w:t xml:space="preserve"> </w:t>
      </w:r>
      <w:r>
        <w:t xml:space="preserve">Para el SAM (Figura</w:t>
      </w:r>
      <w:r>
        <w:t xml:space="preserve"> </w:t>
      </w:r>
      <w:r>
        <w:t xml:space="preserve">3.4</w:t>
      </w:r>
      <w:r>
        <w:t xml:space="preserve">a), los valores altos por debajo de 100 hPa reflejan la coherencia vertical (lag cero) en toda la troposfera.</w:t>
      </w:r>
      <w:r>
        <w:t xml:space="preserve"> </w:t>
      </w:r>
      <w:r>
        <w:t xml:space="preserve">Por encima de 100 hPa, la correlación entre niveles disminuye más rápidamente, lo que indica una variabilidad menos coherente (desfase cero).</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w:t>
      </w:r>
      <w:r>
        <w:t xml:space="preserve">-SAM y S</w:t>
      </w:r>
      <w:r>
        <w:t xml:space="preserve">-SAM (Figura</w:t>
      </w:r>
      <w:r>
        <w:t xml:space="preserve"> </w:t>
      </w:r>
      <w:r>
        <w:t xml:space="preserve">3.4</w:t>
      </w:r>
      <w:r>
        <w:t xml:space="preserve">b y c, respectivamente) comparten un alto nivel de coherencia similar en la troposfera, pero difieren en su comportamiento estratosférico.</w:t>
      </w:r>
      <w:r>
        <w:t xml:space="preserve"> </w:t>
      </w:r>
      <w:r>
        <w:t xml:space="preserve">La coherencia estratosférica es mayor para el A</w:t>
      </w:r>
      <w:r>
        <w:t xml:space="preserve">-SAM que para el S</w:t>
      </w:r>
      <w:r>
        <w:t xml:space="preserve">-SAM.</w:t>
      </w:r>
      <w:r>
        <w:t xml:space="preserve"> </w:t>
      </w:r>
      <w:r>
        <w:t xml:space="preserve">La S</w:t>
      </w:r>
      <w:r>
        <w:t xml:space="preserve">-SAM estratosférica parece conectarse con más fuerza a la troposfera que la A</w:t>
      </w:r>
      <w:r>
        <w:t xml:space="preserve">-SAM estratosférica.</w:t>
      </w:r>
    </w:p>
    <w:p>
      <w:pPr>
        <w:pStyle w:val="CaptionedFigure"/>
      </w:pPr>
      <w:r>
        <w:drawing>
          <wp:inline>
            <wp:extent cx="5334000" cy="3556000"/>
            <wp:effectExtent b="0" l="0" r="0" t="0"/>
            <wp:docPr descr="Figure 3.5: Linear trends (in standard deviations per decade) at each level for annual (row 1) and seasonal values (rows 2 to 5) for the period 1979 – 2018 and for the (column a) SAM index, (column b) A-SAM index, and (column c) S-SAM index. Shading indicates the 95 confidence interval from a t-distribution." title="" id="104" name="Picture"/>
            <a:graphic>
              <a:graphicData uri="http://schemas.openxmlformats.org/drawingml/2006/picture">
                <pic:pic>
                  <pic:nvPicPr>
                    <pic:cNvPr descr="figures/30-sam/trends-1.png" id="105"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3.5: Linear trends (in standard deviations per decade) at each level for annual (row 1) and seasonal values (rows 2 to 5) for the period 1979 – 2018 and for the (column a) SAM index, (column b) A-SAM index, and (column c) S-SAM index. Shading indicates the 95 confidence interval from a t-distribution.</w:t>
      </w:r>
    </w:p>
    <w:p>
      <w:pPr>
        <w:pStyle w:val="BodyText"/>
      </w:pPr>
      <w:r>
        <w:t xml:space="preserve">Las tendencias lineales para cada uno de los índices (SAM, S</w:t>
      </w:r>
      <w:r>
        <w:t xml:space="preserve">-SAM y A</w:t>
      </w:r>
      <w:r>
        <w:t xml:space="preserve">-SAM) se evaluaron para el periodo completo 1979 – 2018 en cada nivel para el año completo y separado por trimestres (Figura</w:t>
      </w:r>
      <w:r>
        <w:t xml:space="preserve"> </w:t>
      </w:r>
      <w:r>
        <w:t xml:space="preserve">3.5</w:t>
      </w:r>
      <w:r>
        <w:t xml:space="preserve">).</w:t>
      </w:r>
      <w:r>
        <w:t xml:space="preserve"> </w:t>
      </w:r>
      <w:r>
        <w:t xml:space="preserve">El índice SAM presenta una tendencia significativa estadísticamente positiva (Figura</w:t>
      </w:r>
      <w:r>
        <w:t xml:space="preserve"> </w:t>
      </w:r>
      <w:r>
        <w:t xml:space="preserve">3.5</w:t>
      </w:r>
      <w:r>
        <w:t xml:space="preserve">b.1) que se extiende por toda la troposfera hasta aproximadamente 50 hPa y alcanza su valor máximo a 100 hPa.</w:t>
      </w:r>
      <w:r>
        <w:t xml:space="preserve"> </w:t>
      </w:r>
      <w:r>
        <w:t xml:space="preserve">Las tendencias estacionales (resto de la Figura</w:t>
      </w:r>
      <w:r>
        <w:t xml:space="preserve"> </w:t>
      </w:r>
      <w:r>
        <w:t xml:space="preserve">3.5</w:t>
      </w:r>
      <w:r>
        <w:t xml:space="preserve"> </w:t>
      </w:r>
      <w:r>
        <w:t xml:space="preserve">columna a) indican que las tendencias positivas están presentes en otoño y sobre todo en verano, donde el máximo de 100 hPa está mucho más definido.</w:t>
      </w:r>
      <w:r>
        <w:t xml:space="preserve"> </w:t>
      </w:r>
      <w:r>
        <w:t xml:space="preserve">En invierno y primavera, no detectamos ninguna tendencia estadísticamente significativa.</w:t>
      </w:r>
      <w:r>
        <w:t xml:space="preserve"> </w:t>
      </w:r>
      <w:r>
        <w:t xml:space="preserve">Esto es coherente con los resultados de estudios anteriores, que encuentran grandes tendencias positivas en verano, menores en otoño y ninguna tendencia en las demás estaciones (por ejemplo,</w:t>
      </w:r>
      <w:r>
        <w:t xml:space="preserve"> </w:t>
      </w:r>
      <w:r>
        <w:t xml:space="preserve">Fogt and Marshall (2020)</w:t>
      </w:r>
      <w:r>
        <w:t xml:space="preserve"> </w:t>
      </w:r>
      <w:r>
        <w:t xml:space="preserve">y referencias en él) utilizando índices de la SAM basados en la circulación en superficie o cerca de la superficie.</w:t>
      </w:r>
    </w:p>
    <w:p>
      <w:pPr>
        <w:pStyle w:val="BodyText"/>
      </w:pPr>
      <w:r>
        <w:t xml:space="preserve">Al separar la señal SAM en sus partes asimétrica y simétrica, no sólo podemos ver que estas tendencias se deben casi por completo al componente simétrico (columna b frente a columna c en la Figura</w:t>
      </w:r>
      <w:r>
        <w:t xml:space="preserve"> </w:t>
      </w:r>
      <w:r>
        <w:t xml:space="preserve">3.5</w:t>
      </w:r>
      <w:r>
        <w:t xml:space="preserve">), sino que en algunos casos las tendencias se vuelven más claras.</w:t>
      </w:r>
      <w:r>
        <w:t xml:space="preserve"> </w:t>
      </w:r>
      <w:r>
        <w:t xml:space="preserve">En verano, A</w:t>
      </w:r>
      <w:r>
        <w:t xml:space="preserve">-SAM tiene una tendencia negativa estadísticamente no significativa en la troposfera media que oculta la tendencia en el índice SAM; como resultado, las tendencias calculadas utilizando sólo el componente simétrico son más fuertes (comparar la región sombreada en la Figura</w:t>
      </w:r>
      <w:r>
        <w:t xml:space="preserve"> </w:t>
      </w:r>
      <w:r>
        <w:t xml:space="preserve">3.5</w:t>
      </w:r>
      <w:r>
        <w:t xml:space="preserve">b.2 y c.2).</w:t>
      </w:r>
      <w:r>
        <w:t xml:space="preserve"> </w:t>
      </w:r>
      <w:r>
        <w:t xml:space="preserve">En otoño, el índice S</w:t>
      </w:r>
      <w:r>
        <w:t xml:space="preserve">-SAM revela una tendencia positiva estadísticamente significativa en la estratosfera que no es significativa utilizando el índice SAM.</w:t>
      </w:r>
    </w:p>
    <w:p>
      <w:pPr>
        <w:pStyle w:val="BodyText"/>
      </w:pPr>
      <w:r>
        <w:t xml:space="preserve">Una tendencia positiva en el índice S</w:t>
      </w:r>
      <w:r>
        <w:t xml:space="preserve">-SAM y ninguna tendencia en el índice A</w:t>
      </w:r>
      <w:r>
        <w:t xml:space="preserve">-SAM podría sugerir en un primer momento una tendencia hacia una SAM más simétrica.</w:t>
      </w:r>
      <w:r>
        <w:t xml:space="preserve"> </w:t>
      </w:r>
      <w:r>
        <w:t xml:space="preserve">Sin embargo, un S</w:t>
      </w:r>
      <w:r>
        <w:t xml:space="preserve">-SAM muy negativo con tendencia a un S</w:t>
      </w:r>
      <w:r>
        <w:t xml:space="preserve">-SAM menos negativo se traduciría en una tendencia positiva del S</w:t>
      </w:r>
      <w:r>
        <w:t xml:space="preserve">-SAM pero en una SAM más asimétrica.</w:t>
      </w:r>
    </w:p>
    <w:p>
      <w:pPr>
        <w:pStyle w:val="CaptionedFigure"/>
      </w:pPr>
      <w:r>
        <w:drawing>
          <wp:inline>
            <wp:extent cx="3696101" cy="3696101"/>
            <wp:effectExtent b="0" l="0" r="0" t="0"/>
            <wp:docPr descr="Figure 3.6: Linear trends (in percent per decade) of the variance explained by A-SAM and S-SAM at each level and for each trimester for the period 1979 – 2018. Shading indicates the 95 confidence interval." title="" id="107" name="Picture"/>
            <a:graphic>
              <a:graphicData uri="http://schemas.openxmlformats.org/drawingml/2006/picture">
                <pic:pic>
                  <pic:nvPicPr>
                    <pic:cNvPr descr="figures/30-sam/r-squared-trend-1.png" id="108" name="Picture"/>
                    <pic:cNvPicPr>
                      <a:picLocks noChangeArrowheads="1" noChangeAspect="1"/>
                    </pic:cNvPicPr>
                  </pic:nvPicPr>
                  <pic:blipFill>
                    <a:blip r:embed="rId106"/>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r>
        <w:t xml:space="preserve">Figure 3.6: Linear trends (in percent per decade) of the variance explained by A-SAM and S-SAM at each level and for each trimester for the period 1979 – 2018. Shading indicates the 95 confidence interval.</w:t>
      </w:r>
    </w:p>
    <w:p>
      <w:pPr>
        <w:pStyle w:val="BodyText"/>
      </w:pPr>
      <w:r>
        <w:t xml:space="preserve">aaa</w:t>
      </w:r>
      <w:r>
        <w:t xml:space="preserve"> </w:t>
      </w:r>
      <w:r>
        <w:t xml:space="preserve">Para estudiar la cuestión de si la SAM se está volviendo más o menos asimétrica, mostramos las tendencias de la varianza explicada de cada índice para cada trimestre en la Figura</w:t>
      </w:r>
      <w:r>
        <w:t xml:space="preserve"> </w:t>
      </w:r>
      <w:r>
        <w:t xml:space="preserve">3.6</w:t>
      </w:r>
      <w:r>
        <w:t xml:space="preserve">.</w:t>
      </w:r>
      <w:r>
        <w:t xml:space="preserve"> </w:t>
      </w:r>
      <w:r>
        <w:t xml:space="preserve">En la troposfera, la única tendencia significativa es la de DJF, en la que el A</w:t>
      </w:r>
      <w:r>
        <w:t xml:space="preserve">-SAM tiene una tendencia positiva de alrededor del 2% por década, lo que sugiere que el DJF SAM se ha vuelto más asimétrico en el período de 1979 a 2018.</w:t>
      </w:r>
      <w:r>
        <w:t xml:space="preserve"> </w:t>
      </w:r>
      <w:r>
        <w:t xml:space="preserve">Fogt et al. (2012)</w:t>
      </w:r>
      <w:r>
        <w:t xml:space="preserve"> </w:t>
      </w:r>
      <w:r>
        <w:t xml:space="preserve">observó un cambio de una SAM más asimétrica antes de 1980 a una SAM más simétrica después de 1980, pero nuestro periodo de estudio (1979 – 2018) nos impide detectar ese cambio.</w:t>
      </w:r>
      <w:r>
        <w:t xml:space="preserve"> </w:t>
      </w:r>
      <w:r>
        <w:t xml:space="preserve">Sin embargo, debido a la naturaleza atípica del componente asimétrico de la SAM durante la DJF (Sección</w:t>
      </w:r>
      <w:r>
        <w:t xml:space="preserve"> </w:t>
      </w:r>
      <w:r>
        <w:t xml:space="preserve">??</w:t>
      </w:r>
      <w:r>
        <w:t xml:space="preserve">), esto debe tomarse sólo como una evidencia preliminar.</w:t>
      </w:r>
      <w:r>
        <w:t xml:space="preserve"> </w:t>
      </w:r>
      <w:r>
        <w:t xml:space="preserve">La otra tendencia significativa se da en la estratosfera durante SON, donde hay una tendencia positiva en la varianza explicada por la S</w:t>
      </w:r>
      <w:r>
        <w:t xml:space="preserve">-SAM de aproximadamente un 4% por década.</w:t>
      </w:r>
      <w:r>
        <w:t xml:space="preserve"> </w:t>
      </w:r>
      <w:r>
        <w:t xml:space="preserve">Este cambio podría ser el resultado del forzamiento provocado por el agotamiento del ozono.</w:t>
      </w:r>
    </w:p>
    <w:bookmarkEnd w:id="109"/>
    <w:bookmarkStart w:id="119" w:name="spatial"/>
    <w:p>
      <w:pPr>
        <w:pStyle w:val="Heading2"/>
      </w:pPr>
      <w:r>
        <w:rPr>
          <w:rStyle w:val="SectionNumber"/>
        </w:rPr>
        <w:t xml:space="preserve">3.5</w:t>
      </w:r>
      <w:r>
        <w:tab/>
      </w:r>
      <w:r>
        <w:t xml:space="preserve">Spatial patterns</w:t>
      </w:r>
    </w:p>
    <w:p>
      <w:pPr>
        <w:pStyle w:val="CaptionedFigure"/>
      </w:pPr>
      <w:r>
        <w:drawing>
          <wp:inline>
            <wp:extent cx="5334000" cy="4445000"/>
            <wp:effectExtent b="0" l="0" r="0" t="0"/>
            <wp:docPr descr="Figure 3.7: Regression of geopotential height (meters) at (row 1) 50~hPa and (row 2) 700~hPa with (column a) SAM, (column b) A-SAM, and (column c) S-SAM for the 1979 – 2018 period4. The regression patterns for A-SAM and S-SAM are the result of one multiple regression using both indices. Points marked on panel b.2 are the location of the reference points used by  for their Zonal Wave 3 index." title="" id="111" name="Picture"/>
            <a:graphic>
              <a:graphicData uri="http://schemas.openxmlformats.org/drawingml/2006/picture">
                <pic:pic>
                  <pic:nvPicPr>
                    <pic:cNvPr descr="figures/30-sam/2d-regr-1.png" id="112" name="Picture"/>
                    <pic:cNvPicPr>
                      <a:picLocks noChangeArrowheads="1" noChangeAspect="1"/>
                    </pic:cNvPicPr>
                  </pic:nvPicPr>
                  <pic:blipFill>
                    <a:blip r:embed="rId11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3.7: Regression of geopotential height (meters) at (row 1) 50~hPa and (row 2) 700~hPa with (column a) SAM, (column b) A-SAM, and (column c) S-SAM for the 1979 – 2018 period4. The regression patterns for A-SAM and S-SAM are the result of one multiple regression using both indices. Points marked on panel b.2 are the location of the reference points used by</w:t>
      </w:r>
      <w:r>
        <w:t xml:space="preserve"> </w:t>
      </w:r>
      <w:r>
        <w:t xml:space="preserve"> </w:t>
      </w:r>
      <w:r>
        <w:t xml:space="preserve">for their Zonal Wave 3 index.</w:t>
      </w:r>
    </w:p>
    <w:p>
      <w:pPr>
        <w:pStyle w:val="BodyText"/>
      </w:pPr>
      <w:r>
        <w:t xml:space="preserve">A continuación calculamos la regresión espacial de las anomalías de altura geopotencial sobre los índices A</w:t>
      </w:r>
      <w:r>
        <w:t xml:space="preserve">-SAM y S</w:t>
      </w:r>
      <w:r>
        <w:t xml:space="preserve">-SAM en los niveles de 700 hPa y 50 hPa (Figura</w:t>
      </w:r>
      <w:r>
        <w:t xml:space="preserve"> </w:t>
      </w:r>
      <w:r>
        <w:t xml:space="preserve">3.7</w:t>
      </w:r>
      <w:r>
        <w:t xml:space="preserve">).</w:t>
      </w:r>
      <w:r>
        <w:t xml:space="preserve"> </w:t>
      </w:r>
      <w:r>
        <w:t xml:space="preserve">Mientras que los coeficientes de regresión de la columna a de la Figura</w:t>
      </w:r>
      <w:r>
        <w:t xml:space="preserve"> </w:t>
      </w:r>
      <w:r>
        <w:t xml:space="preserve">3.7</w:t>
      </w:r>
      <w:r>
        <w:t xml:space="preserve"> </w:t>
      </w:r>
      <w:r>
        <w:t xml:space="preserve">se calculan utilizando SAM, los coeficientes de regresión de las columnas b y c de la Figura</w:t>
      </w:r>
      <w:r>
        <w:t xml:space="preserve"> </w:t>
      </w:r>
      <w:r>
        <w:t xml:space="preserve">3.7</w:t>
      </w:r>
      <w:r>
        <w:t xml:space="preserve"> </w:t>
      </w:r>
      <w:r>
        <w:t xml:space="preserve">se calculan mediante regresión múltiple utilizando los índices A</w:t>
      </w:r>
      <w:r>
        <w:t xml:space="preserve">-SAM y S</w:t>
      </w:r>
      <w:r>
        <w:t xml:space="preserve">-SAM al mismo tiempo.</w:t>
      </w:r>
      <w:r>
        <w:t xml:space="preserve"> </w:t>
      </w:r>
      <w:r>
        <w:t xml:space="preserve">Así, deben interpretarse como los patrones asociados a cada índice, eliminando la variabilidad (linealmente) explicada por el otro.</w:t>
      </w:r>
    </w:p>
    <w:p>
      <w:pPr>
        <w:pStyle w:val="BodyText"/>
      </w:pPr>
      <w:r>
        <w:t xml:space="preserve">En la estratosfera, el patrón espacial asociado al SAM está claramente dominado por una estructura zonalmente simétrica y monopolar (Figura</w:t>
      </w:r>
      <w:r>
        <w:t xml:space="preserve"> </w:t>
      </w:r>
      <w:r>
        <w:t xml:space="preserve">3.7</w:t>
      </w:r>
      <w:r>
        <w:t xml:space="preserve">a.1) que no está centrada en el Polo Sur.</w:t>
      </w:r>
      <w:r>
        <w:t xml:space="preserve"> </w:t>
      </w:r>
      <w:r>
        <w:t xml:space="preserve">Por otro lado, el monopolo asociado a S</w:t>
      </w:r>
      <w:r>
        <w:t xml:space="preserve">-SAM (Figura</w:t>
      </w:r>
      <w:r>
        <w:t xml:space="preserve"> </w:t>
      </w:r>
      <w:r>
        <w:t xml:space="preserve">3.7</w:t>
      </w:r>
      <w:r>
        <w:t xml:space="preserve">c.1) es más simétrico, aunque sigue sin estar perfectamente centrado en el Polo Sur.</w:t>
      </w:r>
      <w:r>
        <w:t xml:space="preserve"> </w:t>
      </w:r>
      <w:r>
        <w:t xml:space="preserve">Además, el patrón de regresión de A</w:t>
      </w:r>
      <w:r>
        <w:t xml:space="preserve">-SAM se caracteriza por una estructura de onda-1 con centros sobre el Pasaje de Drake en el Hemisferio Occidental y el Mar de Davis en el Hemisferio Oriental.</w:t>
      </w:r>
    </w:p>
    <w:p>
      <w:pPr>
        <w:pStyle w:val="BodyText"/>
      </w:pPr>
      <w:r>
        <w:t xml:space="preserve">En la troposfera, el patrón de regresión asociado al SAM muestra la conocida combinación de modo anular zonalmente simétrico con asimetrías zonales en forma de onda-3 (Figura</w:t>
      </w:r>
      <w:r>
        <w:t xml:space="preserve"> </w:t>
      </w:r>
      <w:r>
        <w:t xml:space="preserve">3.7</w:t>
      </w:r>
      <w:r>
        <w:t xml:space="preserve">a.2,</w:t>
      </w:r>
      <w:r>
        <w:t xml:space="preserve"> </w:t>
      </w:r>
      <w:r>
        <w:t xml:space="preserve">(Fogt et al., 2012)</w:t>
      </w:r>
      <w:r>
        <w:t xml:space="preserve">).</w:t>
      </w:r>
      <w:r>
        <w:t xml:space="preserve"> </w:t>
      </w:r>
      <w:r>
        <w:t xml:space="preserve">Los patrones de regresión asociados a los índices A</w:t>
      </w:r>
      <w:r>
        <w:t xml:space="preserve">-SAM y S</w:t>
      </w:r>
      <w:r>
        <w:t xml:space="preserve">-SAM desentrañan con éxito ambas estructuras.</w:t>
      </w:r>
      <w:r>
        <w:t xml:space="preserve"> </w:t>
      </w:r>
      <w:r>
        <w:t xml:space="preserve">Obsérvese que, a la luz del debate anterior sobre la naturaleza atípica de la DJF, es probable que este efecto medio anual no represente perfectamente la DJF.</w:t>
      </w:r>
      <w:r>
        <w:t xml:space="preserve"> </w:t>
      </w:r>
      <w:r>
        <w:t xml:space="preserve">Mientras que el índice A</w:t>
      </w:r>
      <w:r>
        <w:t xml:space="preserve">-SAM da lugar a una onda zonal más limpia (Figura</w:t>
      </w:r>
      <w:r>
        <w:t xml:space="preserve"> </w:t>
      </w:r>
      <w:r>
        <w:t xml:space="preserve">3.7</w:t>
      </w:r>
      <w:r>
        <w:t xml:space="preserve">b.2), el índice S</w:t>
      </w:r>
      <w:r>
        <w:t xml:space="preserve">-SAM se asocia a una estructura anular, con sólo asimetrías zonales vestigiales (Figura</w:t>
      </w:r>
      <w:r>
        <w:t xml:space="preserve"> </w:t>
      </w:r>
      <w:r>
        <w:t xml:space="preserve">3.7</w:t>
      </w:r>
      <w:r>
        <w:t xml:space="preserve">c.2) en forma de una onda-3 que es la inversa de la onda-3 A</w:t>
      </w:r>
      <w:r>
        <w:t xml:space="preserve">-SAM.</w:t>
      </w:r>
      <w:r>
        <w:t xml:space="preserve"> </w:t>
      </w:r>
      <w:r>
        <w:t xml:space="preserve">El patrón de onda-3 observado en la figura</w:t>
      </w:r>
      <w:r>
        <w:t xml:space="preserve"> </w:t>
      </w:r>
      <w:r>
        <w:t xml:space="preserve">3.7</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A</w:t>
      </w:r>
      <w:r>
        <w:t xml:space="preserve">-SAM (cor = -0.14, p-value &lt; 0.001).</w:t>
      </w:r>
      <w:r>
        <w:t xml:space="preserve"> </w:t>
      </w:r>
      <w:r>
        <w:t xml:space="preserve">Así, el índice A</w:t>
      </w:r>
      <w:r>
        <w:t xml:space="preserve">-SAM troposférico representa un desplazamiento zonal en la posición del patrón climatológico de la onda-3.</w:t>
      </w:r>
    </w:p>
    <w:p>
      <w:pPr>
        <w:pStyle w:val="CaptionedFigure"/>
      </w:pPr>
      <w:r>
        <w:drawing>
          <wp:inline>
            <wp:extent cx="3696101" cy="2772075"/>
            <wp:effectExtent b="0" l="0" r="0" t="0"/>
            <wp:docPr descr="Figure 3.8: Amplitud (metros) de las ondas zonales de los patrones de regresión de altura geopotencial de la Figura 3.7 para ondas zonales con número de onda 0, 1, 2 y 3, donde el número de onda 0 representa la amplitud de la media zonal." title="" id="114" name="Picture"/>
            <a:graphic>
              <a:graphicData uri="http://schemas.openxmlformats.org/drawingml/2006/picture">
                <pic:pic>
                  <pic:nvPicPr>
                    <pic:cNvPr descr="figures/30-sam/wave-amplitude-1.png" id="115" name="Picture"/>
                    <pic:cNvPicPr>
                      <a:picLocks noChangeArrowheads="1" noChangeAspect="1"/>
                    </pic:cNvPicPr>
                  </pic:nvPicPr>
                  <pic:blipFill>
                    <a:blip r:embed="rId113"/>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Figure 3.8: Amplitud (metros) de las ondas zonales de los patrones de regresión de altura geopotencial de la Figura</w:t>
      </w:r>
      <w:r>
        <w:t xml:space="preserve"> </w:t>
      </w:r>
      <w:r>
        <w:t xml:space="preserve">3.7</w:t>
      </w:r>
      <w:r>
        <w:t xml:space="preserve"> </w:t>
      </w:r>
      <w:r>
        <w:t xml:space="preserve">para ondas zonales con número de onda 0, 1, 2 y 3, donde el número de onda 0 representa la amplitud de la media zonal.</w:t>
      </w:r>
    </w:p>
    <w:p>
      <w:pPr>
        <w:pStyle w:val="BodyText"/>
      </w:pPr>
      <w:r>
        <w:t xml:space="preserve">La amplitud de los primeros números de onda zonales en cada latitud a 50 hPa y 700 hPa se muestran en la Figura</w:t>
      </w:r>
      <w:r>
        <w:t xml:space="preserve"> </w:t>
      </w:r>
      <w:r>
        <w:t xml:space="preserve">3.8</w:t>
      </w:r>
      <w:r>
        <w:t xml:space="preserve">, donde el número de onda cero representa la amplitud de la media zonal.</w:t>
      </w:r>
      <w:r>
        <w:t xml:space="preserve"> </w:t>
      </w:r>
      <w:r>
        <w:t xml:space="preserve">Las amplitudes de las ondas zonales del patrón espacial descrito por el índice SAM (Figura</w:t>
      </w:r>
      <w:r>
        <w:t xml:space="preserve"> </w:t>
      </w:r>
      <w:r>
        <w:t xml:space="preserve">3.8</w:t>
      </w:r>
      <w:r>
        <w:t xml:space="preserve"> </w:t>
      </w:r>
      <w:r>
        <w:t xml:space="preserve">columna a) están dominadas por la media zonal (número de onda 0) en ambos niveles.</w:t>
      </w:r>
      <w:r>
        <w:t xml:space="preserve"> </w:t>
      </w:r>
      <w:r>
        <w:t xml:space="preserve">Sin embargo, las ondas zonales son importantes, sobre todo al sur de 50 grados S, con un número de onda 1 claramente dominante a 50 hPa (Figura</w:t>
      </w:r>
      <w:r>
        <w:t xml:space="preserve"> </w:t>
      </w:r>
      <w:r>
        <w:t xml:space="preserve">3.8</w:t>
      </w:r>
      <w:r>
        <w:t xml:space="preserve">a.1) y una mezcla de ondas de amplitud similar a 700 hPa (Figura</w:t>
      </w:r>
      <w:r>
        <w:t xml:space="preserve"> </w:t>
      </w:r>
      <w:r>
        <w:t xml:space="preserve">3.8</w:t>
      </w:r>
      <w:r>
        <w:t xml:space="preserve">a.2).</w:t>
      </w:r>
      <w:r>
        <w:t xml:space="preserve"> </w:t>
      </w:r>
      <w:r>
        <w:t xml:space="preserve">La figura</w:t>
      </w:r>
      <w:r>
        <w:t xml:space="preserve"> </w:t>
      </w:r>
      <w:r>
        <w:t xml:space="preserve">3.8</w:t>
      </w:r>
      <w:r>
        <w:t xml:space="preserve"> </w:t>
      </w:r>
      <w:r>
        <w:t xml:space="preserve">columna b muestra que el A</w:t>
      </w:r>
      <w:r>
        <w:t xml:space="preserve">-SAM está abrumadoramente dominado por la onda 1 en la estratosfera (Figura @ref(fig: onda-amplitud)b.1), mientras que en la troposfera se explica por una combinación de ondas zonales 3 a 1 en nivel decreciente de importancia (Figura</w:t>
      </w:r>
      <w:r>
        <w:t xml:space="preserve"> </w:t>
      </w:r>
      <w:r>
        <w:t xml:space="preserve">??</w:t>
      </w:r>
      <w:r>
        <w:t xml:space="preserve">b.2) con una amplitud despreciable de la media zonal.</w:t>
      </w:r>
      <w:r>
        <w:t xml:space="preserve"> </w:t>
      </w:r>
      <w:r>
        <w:t xml:space="preserve">Por otra parte, el S</w:t>
      </w:r>
      <w:r>
        <w:t xml:space="preserve">-SAM se explica casi en su totalidad por la media zonal en ambos niveles (Figura</w:t>
      </w:r>
      <w:r>
        <w:t xml:space="preserve"> </w:t>
      </w:r>
      <w:r>
        <w:t xml:space="preserve">3.8</w:t>
      </w:r>
      <w:r>
        <w:t xml:space="preserve"> </w:t>
      </w:r>
      <w:r>
        <w:t xml:space="preserve">columna c), con poca o ninguna contribución de las ondas zonales con números de onda de 1 a 3.</w:t>
      </w:r>
    </w:p>
    <w:p>
      <w:pPr>
        <w:pStyle w:val="CaptionedFigure"/>
      </w:pPr>
      <w:r>
        <w:drawing>
          <wp:inline>
            <wp:extent cx="3696101" cy="2772075"/>
            <wp:effectExtent b="0" l="0" r="0" t="0"/>
            <wp:docPr descr="Figure 3.9: Regression between monthly geopotential height anomalies (meters) averaged betweeen 65 and 40 S and the A-SAM index (extracted from a multiple regression which included the S-SAM index). (a) With the A-SAM in 50~hPa and (b) in 700~hPa for the 1979 – 2018 period5." title="" id="117" name="Picture"/>
            <a:graphic>
              <a:graphicData uri="http://schemas.openxmlformats.org/drawingml/2006/picture">
                <pic:pic>
                  <pic:nvPicPr>
                    <pic:cNvPr descr="figures/30-sam/vertical-regression-1.png" id="118" name="Picture"/>
                    <pic:cNvPicPr>
                      <a:picLocks noChangeArrowheads="1" noChangeAspect="1"/>
                    </pic:cNvPicPr>
                  </pic:nvPicPr>
                  <pic:blipFill>
                    <a:blip r:embed="rId116"/>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Figure 3.9: Regression between monthly geopotential height anomalies (meters) averaged betweeen 65 and 40 S and the A-SAM index (extracted from a multiple regression which included the S-SAM index). (a) With the A-SAM in 50~hPa and (b) in 700~hPa for the 1979 – 2018 period5.</w:t>
      </w:r>
    </w:p>
    <w:p>
      <w:pPr>
        <w:pStyle w:val="BodyText"/>
      </w:pPr>
      <w:r>
        <w:t xml:space="preserve">Para analizar la estructura vertical de las anomalías de altura geopotencial asociadas al índice A</w:t>
      </w:r>
      <w:r>
        <w:t xml:space="preserve">-SAM, mostramos una sección transversal vertical de regresiones de altura geopotencial media entre 65</w:t>
      </w:r>
      <w:r>
        <w:t xml:space="preserve">S y 40</w:t>
      </w:r>
      <w:r>
        <w:t xml:space="preserve">S para el índice A</w:t>
      </w:r>
      <w:r>
        <w:t xml:space="preserve">-SAM de 50 hPa (Figura</w:t>
      </w:r>
      <w:r>
        <w:t xml:space="preserve"> </w:t>
      </w:r>
      <w:r>
        <w:t xml:space="preserve">3.9</w:t>
      </w:r>
      <w:r>
        <w:t xml:space="preserve">a) y para el índice A</w:t>
      </w:r>
      <w:r>
        <w:t xml:space="preserve">-SAM de 700 hPa (Figura</w:t>
      </w:r>
      <w:r>
        <w:t xml:space="preserve"> </w:t>
      </w:r>
      <w:r>
        <w:t xml:space="preserve">3.9</w:t>
      </w:r>
      <w:r>
        <w:t xml:space="preserve">b).</w:t>
      </w:r>
      <w:r>
        <w:t xml:space="preserve"> </w:t>
      </w:r>
      <w:r>
        <w:t xml:space="preserve">Las anomalías de altura geopotencial asociadas a la A</w:t>
      </w:r>
      <w:r>
        <w:t xml:space="preserve">-SAM estratosférica (Figura</w:t>
      </w:r>
      <w:r>
        <w:t xml:space="preserve"> </w:t>
      </w:r>
      <w:r>
        <w:t xml:space="preserve">3.9</w:t>
      </w:r>
      <w:r>
        <w:t xml:space="preserve">a) están claramente limitadas a la estratosfera, lo que subraya el desacoplamiento entre la A</w:t>
      </w:r>
      <w:r>
        <w:t xml:space="preserve">-SAM estratosférica y la troposférica.</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w:t>
      </w:r>
      <w:r>
        <w:t xml:space="preserve">-SAM troposférico (Figura</w:t>
      </w:r>
      <w:r>
        <w:t xml:space="preserve"> </w:t>
      </w:r>
      <w:r>
        <w:t xml:space="preserve">3.9</w:t>
      </w:r>
      <w:r>
        <w:t xml:space="preserve">b) presenta señales significativas que se extienden hacia arriba hasta los niveles superiores considerados.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Así, mientras que el índice A</w:t>
      </w:r>
      <w:r>
        <w:t xml:space="preserve">-SAM troposférico está asociado a anomalías geopotenciales estratosféricas, éstas no se proyectan fuertemente sobre el A</w:t>
      </w:r>
      <w:r>
        <w:t xml:space="preserve">-SAM estratosférico.</w:t>
      </w:r>
      <w:r>
        <w:t xml:space="preserve"> </w:t>
      </w:r>
      <w:r>
        <w:t xml:space="preserve">Las estructuras mostradas en la Figura</w:t>
      </w:r>
      <w:r>
        <w:t xml:space="preserve"> </w:t>
      </w:r>
      <w:r>
        <w:t xml:space="preserve">3.9</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3.9</w:t>
      </w:r>
      <w:r>
        <w:t xml:space="preserve">a.</w:t>
      </w:r>
      <w:r>
        <w:t xml:space="preserve"> </w:t>
      </w:r>
      <w:r>
        <w:t xml:space="preserve">Por el contrario, para cualquier índice troposférico (por debajo de 100 hPa), el resultado es muy similar al de la Figura</w:t>
      </w:r>
      <w:r>
        <w:t xml:space="preserve"> </w:t>
      </w:r>
      <w:r>
        <w:t xml:space="preserve">3.9</w:t>
      </w:r>
      <w:r>
        <w:t xml:space="preserve">b.</w:t>
      </w:r>
      <w:r>
        <w:t xml:space="preserve"> </w:t>
      </w:r>
      <w:r>
        <w:t xml:space="preserve">Los patrones cambian principalmente en amplitud (no se muestra).</w:t>
      </w:r>
    </w:p>
    <w:p>
      <w:pPr>
        <w:pStyle w:val="TableCaption"/>
      </w:pPr>
      <w:r>
        <w:t xml:space="preserve">Table 3.1:</w:t>
      </w:r>
      <w:r>
        <w:t xml:space="preserve"> </w:t>
      </w:r>
      <w:r>
        <w:t xml:space="preserve">Correlation between SAM indices and the Oceanic Niño Index. p-values corrected for False Detection Rate in parenthesis. In bold, correlations with p-value smaller than 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(0.573)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(0.658)</w:t>
            </w:r>
          </w:p>
        </w:tc>
      </w:tr>
    </w:tbl>
    <w:p>
      <w:pPr>
        <w:pStyle w:val="BodyText"/>
      </w:pPr>
      <w:r>
        <w:t xml:space="preserve">El patrón de la onda 3 de la Figura</w:t>
      </w:r>
      <w:r>
        <w:t xml:space="preserve"> </w:t>
      </w:r>
      <w:r>
        <w:t xml:space="preserve">3.7</w:t>
      </w:r>
      <w:r>
        <w:t xml:space="preserve">b.2 es muy similar al patrón SAM</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la SAM y el ENSO medida por el Índice del Niño Oceánico</w:t>
      </w:r>
      <w:r>
        <w:t xml:space="preserve"> </w:t>
      </w:r>
      <w:r>
        <w:t xml:space="preserve">(ONI, Bamston et al., 1997)</w:t>
      </w:r>
      <w:r>
        <w:t xml:space="preserve"> </w:t>
      </w:r>
      <w:r>
        <w:t xml:space="preserve">se muestra en la Tabla</w:t>
      </w:r>
      <w:r>
        <w:t xml:space="preserve"> </w:t>
      </w:r>
      <w:r>
        <w:t xml:space="preserve">3.1</w:t>
      </w:r>
      <w:r>
        <w:t xml:space="preserve"> </w:t>
      </w:r>
      <w:r>
        <w:t xml:space="preserve">para cada índice SAM y para cada trimestre.</w:t>
      </w:r>
      <w:r>
        <w:t xml:space="preserve"> </w:t>
      </w:r>
      <w:r>
        <w:t xml:space="preserve">Existe una correlación significativa entre SAM y ENSO. Cuando se divide en trimestres, esta correlación sólo es importante en DJF y SON.</w:t>
      </w:r>
      <w:r>
        <w:t xml:space="preserve"> </w:t>
      </w:r>
      <w:r>
        <w:t xml:space="preserve">Esta relación es captada principalmente por el A</w:t>
      </w:r>
      <w:r>
        <w:t xml:space="preserve">-SAM, ya que este índice presenta correlaciones parciales significativas con el ENSO, mientras que las correlaciones con el S</w:t>
      </w:r>
      <w:r>
        <w:t xml:space="preserve">-SAM son todas menores y no significativas.</w:t>
      </w:r>
      <w:r>
        <w:t xml:space="preserve"> </w:t>
      </w:r>
      <w:r>
        <w:t xml:space="preserve">En MAM, ENSO no está significativamente correlacionado con SAM, pero sí lo está con A</w:t>
      </w:r>
      <w:r>
        <w:t xml:space="preserve">-SAM en un nivel comparable a la correlación ENSO-SAM en SON. El mismo análisis se realizó utilizando el Índice ENSO Multivariante</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19"/>
    <w:bookmarkStart w:id="150" w:name="impacts"/>
    <w:p>
      <w:pPr>
        <w:pStyle w:val="Heading2"/>
      </w:pPr>
      <w:r>
        <w:rPr>
          <w:rStyle w:val="SectionNumber"/>
        </w:rPr>
        <w:t xml:space="preserve">3.6</w:t>
      </w:r>
      <w:r>
        <w:tab/>
      </w:r>
      <w:r>
        <w:t xml:space="preserve">Impactos</w:t>
      </w:r>
    </w:p>
    <w:p>
      <w:pPr>
        <w:pStyle w:val="CaptionedFigure"/>
      </w:pPr>
      <w:r>
        <w:drawing>
          <wp:inline>
            <wp:extent cx="5334000" cy="7112000"/>
            <wp:effectExtent b="0" l="0" r="0" t="0"/>
            <wp:docPr descr="Figure 3.10: Regression of seasonal mean 2-metre temperature anomalies (Kelvin) from ERA5 with SAM, A-SAM and S-SAM for the 1979 – 2018 period. Black contours indicate areas with p-value smaller than 0.05 controlling for False Detection Rate. Note that the colour scale cuts-off at \pm0.6 \mathrm{K} to highlight mid-latitudes and tropics features at the expense of the higher values in polar regions2." title="" id="121" name="Picture"/>
            <a:graphic>
              <a:graphicData uri="http://schemas.openxmlformats.org/drawingml/2006/picture">
                <pic:pic>
                  <pic:nvPicPr>
                    <pic:cNvPr descr="figures/30-sam/regr-air-season-1.png" id="122" name="Picture"/>
                    <pic:cNvPicPr>
                      <a:picLocks noChangeArrowheads="1" noChangeAspect="1"/>
                    </pic:cNvPicPr>
                  </pic:nvPicPr>
                  <pic:blipFill>
                    <a:blip r:embed="rId120"/>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3.10: Regression of seasonal mean 2-metre temperature anomalies (Kelvin) from ERA5 with SAM, A-SAM and S-SAM for the 1979 – 2018 period. Black contours indicate areas with p-value smaller than 0.05 controlling for False Detection Rate. Note that the colour scale cuts-off at</w:t>
      </w:r>
      <w:r>
        <w:t xml:space="preserve"> </w:t>
      </w:r>
      <m:oMath>
        <m:r>
          <m:rPr>
            <m:sty m:val="p"/>
          </m:rPr>
          <m:t>±</m:t>
        </m:r>
        <m:r>
          <m:t>0.6</m:t>
        </m:r>
        <m:r>
          <m:rPr>
            <m:sty m:val="p"/>
          </m:rPr>
          <m:t>K</m:t>
        </m:r>
      </m:oMath>
      <w:r>
        <w:t xml:space="preserve"> </w:t>
      </w:r>
      <w:r>
        <w:t xml:space="preserve">to highlight mid-latitudes and tropics features at the expense of the higher values in polar regions2.</w:t>
      </w:r>
    </w:p>
    <w:p>
      <w:pPr>
        <w:pStyle w:val="BodyText"/>
      </w:pPr>
      <w:r>
        <w:t xml:space="preserve">Para evaluar las diferencias en los impactos asociados a los índices SAM, A</w:t>
      </w:r>
      <w:r>
        <w:t xml:space="preserve">-SAM y S</w:t>
      </w:r>
      <w:r>
        <w:t xml:space="preserve">-SAM, realizamos una regresión de la temperatura del aire y la precipitación a 2 metros sobre cada uno de los tres índices SAM a 700 hPa.</w:t>
      </w:r>
      <w:r>
        <w:t xml:space="preserve"> </w:t>
      </w:r>
      <w:r>
        <w:t xml:space="preserve">Como se ha mostrado en secciones anteriores, los tres índices son muy coherentes en la troposfera, por lo que seleccionamos este nivel para representar la circulación troposférica por coherencia con estudios anteriores.</w:t>
      </w:r>
      <w:r>
        <w:t xml:space="preserve"> </w:t>
      </w:r>
      <w:r>
        <w:t xml:space="preserve">Las regresiones se realizaron sin desdiferenciar ni las variables ni los índices, pero calcular las regresiones con valores desdiferenciados no cambia los resultados considerablemente (no se muestra).</w:t>
      </w:r>
    </w:p>
    <w:p>
      <w:pPr>
        <w:pStyle w:val="BodyText"/>
      </w:pPr>
      <w:r>
        <w:t xml:space="preserve">La figura</w:t>
      </w:r>
      <w:r>
        <w:t xml:space="preserve"> </w:t>
      </w:r>
      <w:r>
        <w:t xml:space="preserve">3.10</w:t>
      </w:r>
      <w:r>
        <w:t xml:space="preserve"> </w:t>
      </w:r>
      <w:r>
        <w:t xml:space="preserve">muestra los coeficientes de regresión de cada índice a 700 hPa con la temperatura del aire terrestre superficial y del mar para cada trimestre.</w:t>
      </w:r>
      <w:r>
        <w:t xml:space="preserve"> </w:t>
      </w:r>
      <w:r>
        <w:t xml:space="preserve">En verano, los valores positivos del índice SAM (Figura</w:t>
      </w:r>
      <w:r>
        <w:t xml:space="preserve"> </w:t>
      </w:r>
      <w:r>
        <w:t xml:space="preserve">3.10</w:t>
      </w:r>
      <w:r>
        <w:t xml:space="preserve">a.1) se asocian con anomalías negativas de temperatura cerca de la Antártida que están rodeadas por un anillo de anomalías positivas en las latitudes medias.</w:t>
      </w:r>
      <w:r>
        <w:t xml:space="preserve"> </w:t>
      </w:r>
      <w:r>
        <w:t xml:space="preserve">El anillo no es zonalmente simétrico, ya que hay cuatro máximos locales distintivos en torno a los 30º W, 120º W, 150º E y 90º E respectivamente.</w:t>
      </w:r>
      <w:r>
        <w:t xml:space="preserve"> </w:t>
      </w:r>
      <w:r>
        <w:t xml:space="preserve">En los trópicos, las anomalías son negativas en el Pacífico ecuatorial, lo que concuerda con la correlación negativa entre SAM y ENOS.</w:t>
      </w:r>
      <w:r>
        <w:t xml:space="preserve"> </w:t>
      </w:r>
      <w:r>
        <w:t xml:space="preserve">La figura</w:t>
      </w:r>
      <w:r>
        <w:t xml:space="preserve"> </w:t>
      </w:r>
      <w:r>
        <w:t xml:space="preserve">3.10</w:t>
      </w:r>
      <w:r>
        <w:t xml:space="preserve">b.1 y c.1 muestra anomalías de temperatura asociadas a valores positivos de A</w:t>
      </w:r>
      <w:r>
        <w:t xml:space="preserve">-SAM y S</w:t>
      </w:r>
      <w:r>
        <w:t xml:space="preserve">-SAM, respectivamente.</w:t>
      </w:r>
      <w:r>
        <w:t xml:space="preserve"> </w:t>
      </w:r>
      <w:r>
        <w:t xml:space="preserve">Tanto los máximos locales en el anillo como las anomalías en las regiones del Pacífico están presentes sobre todo en el mapa de regresión de A</w:t>
      </w:r>
      <w:r>
        <w:t xml:space="preserve">-SAM, mientras que los patrones de temperatura ligados a valores positivos de S</w:t>
      </w:r>
      <w:r>
        <w:t xml:space="preserve">-SAM muestran un anillo más consistente zonalmente y menos relacionado con los trópicos.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w:t>
      </w:r>
      <w:r>
        <w:t xml:space="preserve">-SAM.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t xml:space="preserve">Por otro lado, las anomalías de temperatura en el océano Índico, el sur de África y Australia están fuertemente relacionadas con A</w:t>
      </w:r>
      <w:r>
        <w:t xml:space="preserve">-SAM y no están presentes en el patrón de regresión con la SAM.</w:t>
      </w:r>
    </w:p>
    <w:p>
      <w:pPr>
        <w:pStyle w:val="BodyText"/>
      </w:pPr>
      <w:r>
        <w:t xml:space="preserve">En otoño, invierno y primavera (filas 2, 3, y 4 en la Figura</w:t>
      </w:r>
      <w:r>
        <w:t xml:space="preserve"> </w:t>
      </w:r>
      <w:r>
        <w:t xml:space="preserve">3.10</w:t>
      </w:r>
      <w:r>
        <w:t xml:space="preserve">) el anillo positivo sólo está presente a través de sus máximos locales en la regresión con la SAM, lo que refleja la naturaleza más asimétrica de la SAM en comparación con el verano.</w:t>
      </w:r>
      <w:r>
        <w:t xml:space="preserve"> </w:t>
      </w:r>
      <w:r>
        <w:t xml:space="preserve">También se observan anomalías negativas en el sur de Australia y anomalías positivas sobre Nueva Zelanda y el sur de Sudamérica.</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primavera, la señal tropical de A</w:t>
      </w:r>
      <w:r>
        <w:t xml:space="preserve">-SAM es similar a la del verano, revelando de nuevo la importancia del vínculo ENSO-A</w:t>
      </w:r>
      <w:r>
        <w:t xml:space="preserve">-SAM.</w:t>
      </w:r>
      <w:r>
        <w:t xml:space="preserve"> </w:t>
      </w:r>
      <w:r>
        <w:t xml:space="preserve">Además, de otoño a primavera, se aprecian anomalías positivas (negativas) de temperatura en la porción norte (sur) de la Península Antártica en las regresiones con el SAM, que también son evidentes en las regresiones con A-SAM. En concordancia,</w:t>
      </w:r>
      <w:r>
        <w:t xml:space="preserve"> </w:t>
      </w:r>
      <w:r>
        <w:t xml:space="preserve">Marshall and Thompson (2016)</w:t>
      </w:r>
      <w:r>
        <w:t xml:space="preserve"> </w:t>
      </w:r>
      <w:r>
        <w:t xml:space="preserve">encontró la misma señal en asociación con SAM mientras que ese patrón sólo es evidente en otoño para el modo anular baroclínico del sur, que está asociado con variaciones en la amplitud de tormentas extratropicales.</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la SAM a través del balance térmico del viento.</w:t>
      </w:r>
      <w:r>
        <w:t xml:space="preserve"> </w:t>
      </w:r>
      <w:r>
        <w:t xml:space="preserve">Por tanto, no es sorprendente verlo más claramente asociado al S</w:t>
      </w:r>
      <w:r>
        <w:t xml:space="preserve">-SAM (al menos en verano y primavera).</w:t>
      </w:r>
      <w:r>
        <w:t xml:space="preserve"> </w:t>
      </w:r>
      <w:r>
        <w:t xml:space="preserve">Las temperaturas sobre la Antártida Oriental se ven más afectadas por el S</w:t>
      </w:r>
      <w:r>
        <w:t xml:space="preserve">-SAM, mientras que en la Antártida Occidental son más sensibles al A</w:t>
      </w:r>
      <w:r>
        <w:t xml:space="preserve">-SAM.</w:t>
      </w:r>
      <w:r>
        <w:t xml:space="preserve"> </w:t>
      </w:r>
      <w:r>
        <w:t xml:space="preserve">Dado que el índice S</w:t>
      </w:r>
      <w:r>
        <w:t xml:space="preserve">-SAM está negativamente correlacionado con la temperatura sobre la Antártida Oriental, es posible que la tendencia positiva en el índice S</w:t>
      </w:r>
      <w:r>
        <w:t xml:space="preserve">-SAM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CaptionedFigure"/>
      </w:pPr>
      <w:r>
        <w:drawing>
          <wp:inline>
            <wp:extent cx="5334000" cy="3111500"/>
            <wp:effectExtent b="0" l="0" r="0" t="0"/>
            <wp:docPr descr="Figure 3.11: Regression of monthly precipitation anomalies (mm per day, shading) with a) SAM, b) A-SAM and c) S-SAM for the 1979 – 2018 period. Black contours indicate areas with p-value smaller than 0.05 controlling for False Detection Rate. Note that the colour scale cuts-off at \pm0.25 \mathrm{K} to highlight mid- and high-latitude features at the expense of the very high values in the Tropics." title="" id="124" name="Picture"/>
            <a:graphic>
              <a:graphicData uri="http://schemas.openxmlformats.org/drawingml/2006/picture">
                <pic:pic>
                  <pic:nvPicPr>
                    <pic:cNvPr descr="figures/30-sam/global-pp-1.png" id="125" name="Picture"/>
                    <pic:cNvPicPr>
                      <a:picLocks noChangeArrowheads="1" noChangeAspect="1"/>
                    </pic:cNvPicPr>
                  </pic:nvPicPr>
                  <pic:blipFill>
                    <a:blip r:embed="rId12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3.11: Regression of monthly precipitation anomalies (mm per day, shading) with a) SAM, b) A-SAM and c) S-SAM for the 1979 – 2018 period. Black contours indicate areas with p-value smaller than 0.05 controlling for False Detection Rate. Note that the colour scale cuts-off at</w:t>
      </w:r>
      <w:r>
        <w:t xml:space="preserve"> </w:t>
      </w:r>
      <m:oMath>
        <m:r>
          <m:rPr>
            <m:sty m:val="p"/>
          </m:rPr>
          <m:t>±</m:t>
        </m:r>
        <m:r>
          <m:t>0.25</m:t>
        </m:r>
        <m:r>
          <m:rPr>
            <m:sty m:val="p"/>
          </m:rPr>
          <m:t>K</m:t>
        </m:r>
      </m:oMath>
      <w:r>
        <w:t xml:space="preserve"> </w:t>
      </w:r>
      <w:r>
        <w:t xml:space="preserve">to highlight mid- and high-latitude features at the expense of the very high values in the Tropics.</w:t>
      </w:r>
    </w:p>
    <w:p>
      <w:pPr>
        <w:pStyle w:val="BodyText"/>
      </w:pPr>
      <w:r>
        <w:t xml:space="preserve">La figura</w:t>
      </w:r>
      <w:r>
        <w:t xml:space="preserve"> </w:t>
      </w:r>
      <w:r>
        <w:t xml:space="preserve">3.11</w:t>
      </w:r>
      <w:r>
        <w:t xml:space="preserve"> </w:t>
      </w:r>
      <w:r>
        <w:t xml:space="preserve">muestra la regresión de los índices SAM con la precipitación para el Hemisferio Sur. La señal de precipitación asociada a SAM muestra en general una disminución de la precipitación en torno a los 45 grados S, un ligero aumento de la precipitación en torno a los 30 grados S (Fig.</w:t>
      </w:r>
      <w:r>
        <w:t xml:space="preserve"> </w:t>
      </w:r>
      <w:r>
        <w:t xml:space="preserve">3.11</w:t>
      </w:r>
      <w:r>
        <w:t xml:space="preserve">a) y un aumento de la precipitación sobre la Antártida, un patrón conocido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3.11</w:t>
      </w:r>
      <w:r>
        <w:t xml:space="preserve"> </w:t>
      </w:r>
      <w:r>
        <w:t xml:space="preserve">muestran que la señal A</w:t>
      </w:r>
      <w:r>
        <w:t xml:space="preserve">-SAM sólo se da en los trópicos y latitudes medias, mientras que la señal S</w:t>
      </w:r>
      <w:r>
        <w:t xml:space="preserve">-SAM es fuerte en las latitudes altas.</w:t>
      </w:r>
      <w:r>
        <w:t xml:space="preserve"> </w:t>
      </w:r>
      <w:r>
        <w:t xml:space="preserve">En particular, los valores positivos de S</w:t>
      </w:r>
      <w:r>
        <w:t xml:space="preserve">-SAM se asocian con el aumento de las precipitaciones sobre la Antártida y la disminución de las precipitaciones alrededor del Océano Austral.</w:t>
      </w:r>
    </w:p>
    <w:p>
      <w:pPr>
        <w:pStyle w:val="BodyText"/>
      </w:pPr>
      <w:r>
        <w:t xml:space="preserve">Para estudiar con más detalle los impactos sobre tierra, las Figuras</w:t>
      </w:r>
      <w:r>
        <w:t xml:space="preserve"> </w:t>
      </w:r>
      <w:r>
        <w:t xml:space="preserve">3.12</w:t>
      </w:r>
      <w:r>
        <w:t xml:space="preserve"> </w:t>
      </w:r>
      <w:r>
        <w:t xml:space="preserve">y</w:t>
      </w:r>
      <w:r>
        <w:t xml:space="preserve"> </w:t>
      </w:r>
      <w:r>
        <w:t xml:space="preserve">3.13</w:t>
      </w:r>
      <w:r>
        <w:t xml:space="preserve"> </w:t>
      </w:r>
      <w:r>
        <w:t xml:space="preserve">muestran la regresión de los índices SAM con la precipitación media estacional y la altura geopotencial de 700 hPa para Nueva Zelanda e islas vecinas, y Sudamérica respectivamente.</w:t>
      </w:r>
      <w:r>
        <w:t xml:space="preserve"> </w:t>
      </w:r>
      <w:r>
        <w:t xml:space="preserve">No se muestra Sudáfrica porque allí no se detectó ninguna señal significativa.</w:t>
      </w:r>
    </w:p>
    <w:p>
      <w:pPr>
        <w:pStyle w:val="CaptionedFigure"/>
      </w:pPr>
      <w:r>
        <w:drawing>
          <wp:inline>
            <wp:extent cx="5334000" cy="5778500"/>
            <wp:effectExtent b="0" l="0" r="0" t="0"/>
            <wp:docPr descr="Figure 3.12: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18 period6. Black contours indicate areas with p-value smaller than 0.05 controlling for False Detection Rate." title="" id="127" name="Picture"/>
            <a:graphic>
              <a:graphicData uri="http://schemas.openxmlformats.org/drawingml/2006/picture">
                <pic:pic>
                  <pic:nvPicPr>
                    <pic:cNvPr descr="figures/30-sam/pp-regr-oceania-1.png" id="128" name="Picture"/>
                    <pic:cNvPicPr>
                      <a:picLocks noChangeArrowheads="1" noChangeAspect="1"/>
                    </pic:cNvPicPr>
                  </pic:nvPicPr>
                  <pic:blipFill>
                    <a:blip r:embed="rId126"/>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r>
        <w:t xml:space="preserve">Figure 3.12: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2018 period6. Black contours indicate areas with p-value smaller than 0.05 controlling for False Detection Rate.</w:t>
      </w:r>
    </w:p>
    <w:p>
      <w:pPr>
        <w:pStyle w:val="BodyText"/>
      </w:pPr>
      <w:r>
        <w:t xml:space="preserve">En Australia, la regresión anual muestra que el índice SAM está asociado con anomalías positivas de precipitación en la región sudeste (Figura</w:t>
      </w:r>
      <w:r>
        <w:t xml:space="preserve"> </w:t>
      </w:r>
      <w:r>
        <w:t xml:space="preserve">3.12</w:t>
      </w:r>
      <w:r>
        <w:t xml:space="preserve">a.1), de acuerdo con</w:t>
      </w:r>
      <w:r>
        <w:t xml:space="preserve"> </w:t>
      </w:r>
      <w:r>
        <w:t xml:space="preserve">Gillett et al. (2006)</w:t>
      </w:r>
      <w:r>
        <w:t xml:space="preserve">.</w:t>
      </w:r>
      <w:r>
        <w:t xml:space="preserve"> </w:t>
      </w:r>
      <w:r>
        <w:t xml:space="preserve">La separación entre A</w:t>
      </w:r>
      <w:r>
        <w:t xml:space="preserve">-SAM y S</w:t>
      </w:r>
      <w:r>
        <w:t xml:space="preserve">-SAM sugiere que esta anomalía positiva se explica por la S</w:t>
      </w:r>
      <w:r>
        <w:t xml:space="preserve">-SAM sólo en la costa este (Figura</w:t>
      </w:r>
      <w:r>
        <w:t xml:space="preserve"> </w:t>
      </w:r>
      <w:r>
        <w:t xml:space="preserve">3.12</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A</w:t>
      </w:r>
      <w:r>
        <w:t xml:space="preserve">-SAM parece estar relacionado con anomalías positivas de precipitación en la costa oeste del sureste de Australia (Figura</w:t>
      </w:r>
      <w:r>
        <w:t xml:space="preserve"> </w:t>
      </w:r>
      <w:r>
        <w:t xml:space="preserve">3.12</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una SAM positiva se asocia con anomalías positivas de precipitación en el este de Australia (Figura</w:t>
      </w:r>
      <w:r>
        <w:t xml:space="preserve"> </w:t>
      </w:r>
      <w:r>
        <w:t xml:space="preserve">3.12</w:t>
      </w:r>
      <w:r>
        <w:t xml:space="preserve">a.5).</w:t>
      </w:r>
      <w:r>
        <w:t xml:space="preserve"> </w:t>
      </w:r>
      <w:r>
        <w:t xml:space="preserve">En este trimestre, S</w:t>
      </w:r>
      <w:r>
        <w:t xml:space="preserve">-SAM parece estar asociado con anomalías positivas de precipitación en un área relativamente reducida de la costa oriental (Figura</w:t>
      </w:r>
      <w:r>
        <w:t xml:space="preserve"> </w:t>
      </w:r>
      <w:r>
        <w:t xml:space="preserve">3.12</w:t>
      </w:r>
      <w:r>
        <w:t xml:space="preserve">c.5) mientras que las anomalías positivas de precipitación relacionadas con A</w:t>
      </w:r>
      <w:r>
        <w:t xml:space="preserve">-SAM positivo afectan a todo el este de Australia (Figura</w:t>
      </w:r>
      <w:r>
        <w:t xml:space="preserve"> </w:t>
      </w:r>
      <w:r>
        <w:t xml:space="preserve">3.12</w:t>
      </w:r>
      <w:r>
        <w:t xml:space="preserve">b.5).</w:t>
      </w:r>
    </w:p>
    <w:p>
      <w:pPr>
        <w:pStyle w:val="BodyText"/>
      </w:pPr>
      <w:r>
        <w:t xml:space="preserve">En verano, un índice SAM positivo se asocia con anomalías de precipitación positivas en Australia occidental y oriental, sobre todo en la región nororiental (Figura</w:t>
      </w:r>
      <w:r>
        <w:t xml:space="preserve"> </w:t>
      </w:r>
      <w:r>
        <w:t xml:space="preserve">3.12</w:t>
      </w:r>
      <w:r>
        <w:t xml:space="preserve">a.2).</w:t>
      </w:r>
      <w:r>
        <w:t xml:space="preserve"> </w:t>
      </w:r>
      <w:r>
        <w:t xml:space="preserve">La parte oriental está dominada por la relación con S</w:t>
      </w:r>
      <w:r>
        <w:t xml:space="preserve">-SAM y la occidental, por A</w:t>
      </w:r>
      <w:r>
        <w:t xml:space="preserve">-SAM.</w:t>
      </w:r>
      <w:r>
        <w:t xml:space="preserve"> </w:t>
      </w:r>
      <w:r>
        <w:t xml:space="preserve">En otoño, la regresión con SAM muestra anomalías positivas en el norte, similares a las de verano, que se asocian con el A</w:t>
      </w:r>
      <w:r>
        <w:t xml:space="preserve">-SAM.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3.12</w:t>
      </w:r>
      <w:r>
        <w:t xml:space="preserve">a.2 no muestra ninguna asociación estadísticamente significativa (aunque los coeficientes tienen el signo coherente).</w:t>
      </w:r>
    </w:p>
    <w:p>
      <w:pPr>
        <w:pStyle w:val="CaptionedFigure"/>
      </w:pPr>
      <w:r>
        <w:drawing>
          <wp:inline>
            <wp:extent cx="5334000" cy="6750843"/>
            <wp:effectExtent b="0" l="0" r="0" t="0"/>
            <wp:docPr descr="Figure 3.13: Igual que la Figura 3.12 pero para Sudamérica." title="" id="130" name="Picture"/>
            <a:graphic>
              <a:graphicData uri="http://schemas.openxmlformats.org/drawingml/2006/picture">
                <pic:pic>
                  <pic:nvPicPr>
                    <pic:cNvPr descr="figures/30-sam/pp-regr-america-1.png" id="131" name="Picture"/>
                    <pic:cNvPicPr>
                      <a:picLocks noChangeArrowheads="1" noChangeAspect="1"/>
                    </pic:cNvPicPr>
                  </pic:nvPicPr>
                  <pic:blipFill>
                    <a:blip r:embed="rId129"/>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r>
        <w:t xml:space="preserve">Figure 3.13: Igual que la Figura</w:t>
      </w:r>
      <w:r>
        <w:t xml:space="preserve"> </w:t>
      </w:r>
      <w:r>
        <w:t xml:space="preserve">3.12</w:t>
      </w:r>
      <w:r>
        <w:t xml:space="preserve"> </w:t>
      </w:r>
      <w:r>
        <w:t xml:space="preserve">pero para Sudamérica.</w:t>
      </w:r>
    </w:p>
    <w:p>
      <w:pPr>
        <w:pStyle w:val="BodyText"/>
      </w:pPr>
      <w:r>
        <w:t xml:space="preserve">En Sudamérica (Figura</w:t>
      </w:r>
      <w:r>
        <w:t xml:space="preserve"> </w:t>
      </w:r>
      <w:r>
        <w:t xml:space="preserve">3.13</w:t>
      </w:r>
      <w:r>
        <w:t xml:space="preserve">), la regresión utilizando todas las estaciones muestra que la SAM positiva está asociada con anomalías de precipitación negativas estadísticamente significativas en el Sudeste de Sudamérica (SESA) y el sur de Chile, y anomalías positivas no significativas en el sur de Brasil, cerca de la Zona de Convergencia del Atlántico Sur (SACZ) (Figura</w:t>
      </w:r>
      <w:r>
        <w:t xml:space="preserve"> </w:t>
      </w:r>
      <w:r>
        <w:t xml:space="preserve">3.13</w:t>
      </w:r>
      <w:r>
        <w:t xml:space="preserve">a.1).</w:t>
      </w:r>
      <w:r>
        <w:t xml:space="preserve"> </w:t>
      </w:r>
      <w:r>
        <w:t xml:space="preserve">Las figuras</w:t>
      </w:r>
      <w:r>
        <w:t xml:space="preserve"> </w:t>
      </w:r>
      <w:r>
        <w:t xml:space="preserve">3.13</w:t>
      </w:r>
      <w:r>
        <w:t xml:space="preserve">b.1 y c.1 muestran que mientras la señal sobre SESA y el sur de Brasil está asociada con A</w:t>
      </w:r>
      <w:r>
        <w:t xml:space="preserve">-SAM, la del sur de Chile está relacionada con S</w:t>
      </w:r>
      <w:r>
        <w:t xml:space="preserve">-SAM.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la SAM.</w:t>
      </w:r>
      <w:r>
        <w:t xml:space="preserve"> </w:t>
      </w:r>
      <w:r>
        <w:t xml:space="preserve">La separación de estas características entre los mapas de regresión A</w:t>
      </w:r>
      <w:r>
        <w:t xml:space="preserve">-SAM y S</w:t>
      </w:r>
      <w:r>
        <w:t xml:space="preserve">-SAM es también bastante consistente.</w:t>
      </w:r>
    </w:p>
    <w:p>
      <w:pPr>
        <w:pStyle w:val="BodyText"/>
      </w:pPr>
      <w:r>
        <w:t xml:space="preserve">La circulación anómala a 700 hPa asociada a S</w:t>
      </w:r>
      <w:r>
        <w:t xml:space="preserve">-SAM (Figura</w:t>
      </w:r>
      <w:r>
        <w:t xml:space="preserve"> </w:t>
      </w:r>
      <w:r>
        <w:t xml:space="preserve">3.13</w:t>
      </w:r>
      <w:r>
        <w:t xml:space="preserve">c.1) indica un flujo anómalo del este sobre el sur de Chile. Esto conduce a una menor afluencia de aire húmedo desde el Océano Pacífico, que es la principal fuente de agua precipitable en esa región</w:t>
      </w:r>
      <w:r>
        <w:t xml:space="preserve"> </w:t>
      </w:r>
      <w:r>
        <w:t xml:space="preserve">(por ejemplo, Garreaud, 2007)</w:t>
      </w:r>
      <w:r>
        <w:t xml:space="preserve">. Por otro lado, la circulación anómala asociada a valores positivos de A</w:t>
      </w:r>
      <w:r>
        <w:t xml:space="preserve">-SAM (Figura</w:t>
      </w:r>
      <w:r>
        <w:t xml:space="preserve"> </w:t>
      </w:r>
      <w:r>
        <w:t xml:space="preserve">3.13</w:t>
      </w:r>
      <w:r>
        <w:t xml:space="preserve">b.1) en el Atlántico es anticiclónica en el sur y ciclónica en el norte. Esto promueve un flujo anómalo del sudeste sobre el SESA, que inhibe el flujo del chorro de baja altura de Sudamérica hacia la región</w:t>
      </w:r>
      <w:r>
        <w:t xml:space="preserve"> </w:t>
      </w:r>
      <w:r>
        <w:t xml:space="preserve">(Silvestri and Vera, 2009; Zamboni et al., 2010)</w:t>
      </w:r>
      <w:r>
        <w:t xml:space="preserve">. 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que también está presente en el análisis basado en estaciones de</w:t>
      </w:r>
      <w:r>
        <w:t xml:space="preserve"> </w:t>
      </w:r>
      <w:r>
        <w:t xml:space="preserve">Gillett et al. (2006)</w:t>
      </w:r>
      <w:r>
        <w:t xml:space="preserve"> </w:t>
      </w:r>
      <w:r>
        <w:t xml:space="preserve">que se explica por el A</w:t>
      </w:r>
      <w:r>
        <w:t xml:space="preserve">-SAM.</w:t>
      </w:r>
    </w:p>
    <w:p>
      <w:pPr>
        <w:pStyle w:val="CaptionedFigure"/>
      </w:pPr>
      <w:r>
        <w:drawing>
          <wp:inline>
            <wp:extent cx="5334000" cy="4445000"/>
            <wp:effectExtent b="0" l="0" r="0" t="0"/>
            <wp:docPr descr="Figure 3.14: 50~hPa geopotential height zonal anomalies (meters) of composites of positive and negative SAM months selected using \\pm1 standard deviation as threshhold for the 1979 – 2018 period. Numbers in the column headers are the spatial correlation between SAM+ and SAM- composites and number of monthly fields used to construct each composite." title="" id="133" name="Picture"/>
            <a:graphic>
              <a:graphicData uri="http://schemas.openxmlformats.org/drawingml/2006/picture">
                <pic:pic>
                  <pic:nvPicPr>
                    <pic:cNvPr descr="figures/30-sam/A3-1.png" id="134" name="Picture"/>
                    <pic:cNvPicPr>
                      <a:picLocks noChangeArrowheads="1" noChangeAspect="1"/>
                    </pic:cNvPicPr>
                  </pic:nvPicPr>
                  <pic:blipFill>
                    <a:blip r:embed="rId13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3.14: 50~hPa geopotential height zonal anomalies (meters) of composites of positive and negative SAM months selected using</w:t>
      </w:r>
      <w:r>
        <w:t xml:space="preserve"> </w:t>
      </w:r>
      <w:r>
        <w:t xml:space="preserve">$\\pm1$</w:t>
      </w:r>
      <w:r>
        <w:t xml:space="preserve"> </w:t>
      </w:r>
      <w:r>
        <w:t xml:space="preserve">standard deviation as threshhold for the 1979 – 2018 period. Numbers in the column headers are the spatial correlation between SAM+ and SAM- composites and number of monthly fields used to construct each composite.</w:t>
      </w:r>
    </w:p>
    <w:p>
      <w:pPr>
        <w:pStyle w:val="CaptionedFigure"/>
      </w:pPr>
      <w:r>
        <w:drawing>
          <wp:inline>
            <wp:extent cx="5334000" cy="4000500"/>
            <wp:effectExtent b="0" l="0" r="0" t="0"/>
            <wp:docPr descr="Figure 3.15: Same as 3.14 but for 700 hPa geopotential height." title="" id="136" name="Picture"/>
            <a:graphic>
              <a:graphicData uri="http://schemas.openxmlformats.org/drawingml/2006/picture">
                <pic:pic>
                  <pic:nvPicPr>
                    <pic:cNvPr descr="figures/30-sam/A4-1.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3.15: Same as</w:t>
      </w:r>
      <w:r>
        <w:t xml:space="preserve"> </w:t>
      </w:r>
      <w:r>
        <w:t xml:space="preserve">3.14</w:t>
      </w:r>
      <w:r>
        <w:t xml:space="preserve"> </w:t>
      </w:r>
      <w:r>
        <w:t xml:space="preserve">but for 700 hPa geopotential height.</w:t>
      </w:r>
    </w:p>
    <w:p>
      <w:pPr>
        <w:pStyle w:val="CaptionedFigure"/>
      </w:pPr>
      <w:r>
        <w:drawing>
          <wp:inline>
            <wp:extent cx="5334000" cy="4000500"/>
            <wp:effectExtent b="0" l="0" r="0" t="0"/>
            <wp:docPr descr="Figure 3.16: Regression coefficients of 50~hPa and 700~hPa geopotential height zonal anomalies (meters) onto the standardised timeseries of the leading EOF computed for each season independently for the 1979 – 2018 period." title="" id="139" name="Picture"/>
            <a:graphic>
              <a:graphicData uri="http://schemas.openxmlformats.org/drawingml/2006/picture">
                <pic:pic>
                  <pic:nvPicPr>
                    <pic:cNvPr descr="figures/30-sam/A5-1.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3.16: Regression coefficients of 50~hPa and 700~hPa geopotential height zonal anomalies (meters) onto the standardised timeseries of the leading EOF computed for each season independently for the 1979 – 2018 period.</w:t>
      </w:r>
    </w:p>
    <w:p>
      <w:pPr>
        <w:pStyle w:val="CaptionedFigure"/>
      </w:pPr>
      <w:r>
        <w:drawing>
          <wp:inline>
            <wp:extent cx="5334000" cy="4445000"/>
            <wp:effectExtent b="0" l="0" r="0" t="0"/>
            <wp:docPr descr="Figure 3.17: Regression of 50~hPa and 700~hPa geopotential height zonal anomalies (meters) onto the standardised timeseries of the leading EOF computed for the periods 1979 – 1998 and 1999 – 2018. Spatial correlation between both fields is 0.86 for the 50~hPa fields and 0.76 for the 700~hPa fields." title="" id="142" name="Picture"/>
            <a:graphic>
              <a:graphicData uri="http://schemas.openxmlformats.org/drawingml/2006/picture">
                <pic:pic>
                  <pic:nvPicPr>
                    <pic:cNvPr descr="figures/30-sam/A6-1.png" id="143" name="Picture"/>
                    <pic:cNvPicPr>
                      <a:picLocks noChangeArrowheads="1" noChangeAspect="1"/>
                    </pic:cNvPicPr>
                  </pic:nvPicPr>
                  <pic:blipFill>
                    <a:blip r:embed="rId14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3.17: Regression of 50~hPa and 700~hPa geopotential height zonal anomalies (meters) onto the standardised timeseries of the leading EOF computed for the periods 1979 – 1998 and 1999 – 2018. Spatial correlation between both fields is 0.86 for the 50~hPa fields and 0.76 for the 700~hPa fields.</w:t>
      </w:r>
    </w:p>
    <w:p>
      <w:pPr>
        <w:pStyle w:val="CaptionedFigure"/>
      </w:pPr>
      <w:r>
        <w:drawing>
          <wp:inline>
            <wp:extent cx="4620126" cy="4620126"/>
            <wp:effectExtent b="0" l="0" r="0" t="0"/>
            <wp:docPr descr="Figure 3.18: aaa" title="" id="145" name="Picture"/>
            <a:graphic>
              <a:graphicData uri="http://schemas.openxmlformats.org/drawingml/2006/picture">
                <pic:pic>
                  <pic:nvPicPr>
                    <pic:cNvPr descr="figures/30-sam/A1-1.png" id="146" name="Picture"/>
                    <pic:cNvPicPr>
                      <a:picLocks noChangeArrowheads="1" noChangeAspect="1"/>
                    </pic:cNvPicPr>
                  </pic:nvPicPr>
                  <pic:blipFill>
                    <a:blip r:embed="rId144"/>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3.18: aaa</w:t>
      </w:r>
    </w:p>
    <w:p>
      <w:pPr>
        <w:pStyle w:val="CaptionedFigure"/>
      </w:pPr>
      <w:r>
        <w:drawing>
          <wp:inline>
            <wp:extent cx="5334000" cy="3556000"/>
            <wp:effectExtent b="0" l="0" r="0" t="0"/>
            <wp:docPr descr="Figure 3.19: Fourier spectrum of each timeseries computed as Fourier transform smoothed with modified Daniell smoothers with widths 3 and 5. The shading indicates de 95% confidence area derived by computing the spectrum for 5000 simulated samples from a fitted autorregressive model and (95% of the simulated sampels had an amplitude equal or lower). The light line indicates the theoretical expected amplitude from the autorregressive model. For the 1979 – 2018 period." title="" id="148" name="Picture"/>
            <a:graphic>
              <a:graphicData uri="http://schemas.openxmlformats.org/drawingml/2006/picture">
                <pic:pic>
                  <pic:nvPicPr>
                    <pic:cNvPr descr="figures/30-sam/A2-1.png" id="149" name="Picture"/>
                    <pic:cNvPicPr>
                      <a:picLocks noChangeArrowheads="1" noChangeAspect="1"/>
                    </pic:cNvPicPr>
                  </pic:nvPicPr>
                  <pic:blipFill>
                    <a:blip r:embed="rId1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3.19: Fourier spectrum of each timeseries computed as Fourier transform smoothed with modified Daniell smoothers with widths 3 and 5. The shading indicates de 95% confidence area derived by computing the spectrum for 5000 simulated samples from a fitted autorregressive model and (95% of the simulated sampels had an amplitude equal or lower). The light line indicates the theoretical expected amplitude from the autorregressive model. For the 1979 – 2018 period.</w:t>
      </w:r>
    </w:p>
    <w:p>
      <w:pPr>
        <w:pStyle w:val="BodyText"/>
      </w:pPr>
      <w:r>
        <w:t xml:space="preserve">Adentrar un poco más en la relación con el cEOF2</w:t>
      </w:r>
    </w:p>
    <w:bookmarkEnd w:id="150"/>
    <w:bookmarkEnd w:id="151"/>
    <w:bookmarkStart w:id="162" w:name="relación-con-otros-patrones"/>
    <w:p>
      <w:pPr>
        <w:pStyle w:val="Heading1"/>
      </w:pPr>
      <w:r>
        <w:rPr>
          <w:rStyle w:val="SectionNumber"/>
        </w:rPr>
        <w:t xml:space="preserve">4</w:t>
      </w:r>
      <w:r>
        <w:tab/>
      </w:r>
      <w:r>
        <w:t xml:space="preserve">Relación con otros patrones</w:t>
      </w:r>
    </w:p>
    <w:p>
      <w:pPr>
        <w:pStyle w:val="FirstParagraph"/>
      </w:pPr>
      <w:r>
        <w:t xml:space="preserve">Acá seguiría parte</w:t>
      </w:r>
      <w:r>
        <w:t xml:space="preserve"> </w:t>
      </w:r>
      <w:hyperlink r:id="rId26">
        <w:r>
          <w:rPr>
            <w:rStyle w:val="Hyperlink"/>
          </w:rPr>
          <w:t xml:space="preserve">del paper de cEOF</w:t>
        </w:r>
      </w:hyperlink>
      <w:r>
        <w:t xml:space="preserve">.</w:t>
      </w:r>
    </w:p>
    <w:bookmarkStart w:id="152" w:name="datos-y-métodos-2"/>
    <w:p>
      <w:pPr>
        <w:pStyle w:val="Heading2"/>
      </w:pPr>
      <w:r>
        <w:rPr>
          <w:rStyle w:val="SectionNumber"/>
        </w:rPr>
        <w:t xml:space="preserve">4.1</w:t>
      </w:r>
      <w:r>
        <w:tab/>
      </w:r>
      <w:r>
        <w:t xml:space="preserve">Datos y métodos</w:t>
      </w:r>
    </w:p>
    <w:bookmarkEnd w:id="152"/>
    <w:bookmarkStart w:id="156" w:name="sam"/>
    <w:p>
      <w:pPr>
        <w:pStyle w:val="Heading2"/>
      </w:pPr>
      <w:r>
        <w:rPr>
          <w:rStyle w:val="SectionNumber"/>
        </w:rPr>
        <w:t xml:space="preserve">4.2</w:t>
      </w:r>
      <w:r>
        <w:tab/>
      </w:r>
      <w:r>
        <w:t xml:space="preserve">SAM</w:t>
      </w:r>
    </w:p>
    <w:p>
      <w:pPr>
        <w:pStyle w:val="CaptionedFigure"/>
      </w:pPr>
      <w:r>
        <w:drawing>
          <wp:inline>
            <wp:extent cx="3041583" cy="3696101"/>
            <wp:effectExtent b="0" l="0" r="0" t="0"/>
            <wp:docPr descr="Figure 4.1: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154" name="Picture"/>
            <a:graphic>
              <a:graphicData uri="http://schemas.openxmlformats.org/drawingml/2006/picture">
                <pic:pic>
                  <pic:nvPicPr>
                    <pic:cNvPr descr="figures/40-sam-ceof/sam-eof-vertical-1.png" id="155" name="Picture"/>
                    <pic:cNvPicPr>
                      <a:picLocks noChangeArrowheads="1" noChangeAspect="1"/>
                    </pic:cNvPicPr>
                  </pic:nvPicPr>
                  <pic:blipFill>
                    <a:blip r:embed="rId153"/>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r>
        <w:t xml:space="preserve">Figure 4.1: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Ahora exploramos la relación entre SAM y los cEOFs motivados por el parecido entre los mapas de regresión de los cEOFs y los patrones de SAM mostrados en la Sección</w:t>
      </w:r>
      <w:r>
        <w:t xml:space="preserve"> </w:t>
      </w:r>
      <w:r>
        <w:t xml:space="preserve">3.2.2</w:t>
      </w:r>
      <w:r>
        <w:t xml:space="preserve">.</w:t>
      </w:r>
      <w:r>
        <w:t xml:space="preserve"> </w:t>
      </w:r>
      <w:r>
        <w:t xml:space="preserve">Calculamos el coeficiente de determinación entre las series temporales de los cEOFs y los tres índices SAM (SAM, A-SAM y S-SAM) definidos por</w:t>
      </w:r>
      <w:r>
        <w:t xml:space="preserve"> </w:t>
      </w:r>
      <w:r>
        <w:t xml:space="preserve">Campitelli et al. (2022)</w:t>
      </w:r>
      <w:r>
        <w:t xml:space="preserve"> </w:t>
      </w:r>
      <w:r>
        <w:t xml:space="preserve">en cada nivel vertical (Fig. </w:t>
      </w:r>
      <w:r>
        <w:t xml:space="preserve">4.1</w:t>
      </w:r>
      <w:r>
        <w:t xml:space="preserve">).</w:t>
      </w:r>
      <w:r>
        <w:t xml:space="preserve"> </w:t>
      </w:r>
      <w:r>
        <w:t xml:space="preserve">El índice SAM está correlacionado de forma estadísticamente significativa con el 0º cEOF1 en todos los niveles, y con los 90º cEOF1 y 90º cEOF2 en la troposfera.</w:t>
      </w:r>
      <w:r>
        <w:t xml:space="preserve"> </w:t>
      </w:r>
      <w:r>
        <w:t xml:space="preserve">Por otro lado, las correlaciones entre SAM y el 0º cEOF2 no son significativas.</w:t>
      </w:r>
    </w:p>
    <w:p>
      <w:pPr>
        <w:pStyle w:val="BodyText"/>
      </w:pPr>
      <w:r>
        <w:t xml:space="preserve">La relación entre la SAM y el cEOF1 en la troposfera se explica en su totalidad por el componente zonalmente simétrico de la SAM, como muestran la alta correlación con la S-SAM por debajo de 100 hPa y las correlaciones bajas y estadísticamente no significativas entre la A-SAM y el 0º o el 90º cEOF1.</w:t>
      </w:r>
      <w:r>
        <w:t xml:space="preserve"> </w:t>
      </w:r>
      <w:r>
        <w:t xml:space="preserve">En la estratosfera, la CEOF1 de 0º está correlacionada tanto con la A-SAM como con la S-SAM, mientras que la CEOF1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por</w:t>
      </w:r>
      <w:r>
        <w:t xml:space="preserve"> </w:t>
      </w:r>
      <w:r>
        <w:t xml:space="preserve">Campitelli et al. (2022)</w:t>
      </w:r>
      <w:r>
        <w:t xml:space="preserve">.</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En el caso de 90º cEOF2, su correlación con la SAM para la troposfera está asociada a la variabilidad asimétrica de la SAM.</w:t>
      </w:r>
      <w:r>
        <w:t xml:space="preserve"> </w:t>
      </w:r>
      <w:r>
        <w:t xml:space="preserve">De hecho, el 90º cEOF2 comparte hasta 50%, 68%, 72%, 78% varianza con el A-SAM y sólo 20%, 30%, 16%, 14% como máximo con el S-SAM (Figura</w:t>
      </w:r>
      <w:r>
        <w:t xml:space="preserve"> </w:t>
      </w:r>
      <w:r>
        <w:t xml:space="preserve">4.1</w:t>
      </w:r>
      <w:r>
        <w:t xml:space="preserve">.</w:t>
      </w:r>
      <w:r>
        <w:t xml:space="preserve"> </w:t>
      </w:r>
      <w:r>
        <w:t xml:space="preserve">b2).</w:t>
      </w:r>
      <w:r>
        <w:t xml:space="preserve"> </w:t>
      </w:r>
      <w:r>
        <w:t xml:space="preserve">Esta altísima correlación entre A-SAM y 90º cEOF2 sugiere que los modos obtenidos en este trabajo son capaces de caracterizar la componente zonalmente asimétrica de la SAM descrita previamente por</w:t>
      </w:r>
      <w:r>
        <w:t xml:space="preserve"> </w:t>
      </w:r>
      <w:r>
        <w:t xml:space="preserve">Campitelli et al. (2022)</w:t>
      </w:r>
      <w:r>
        <w:t xml:space="preserve">.</w:t>
      </w:r>
    </w:p>
    <w:bookmarkEnd w:id="156"/>
    <w:bookmarkStart w:id="160" w:name="psa"/>
    <w:p>
      <w:pPr>
        <w:pStyle w:val="Heading2"/>
      </w:pPr>
      <w:r>
        <w:rPr>
          <w:rStyle w:val="SectionNumber"/>
        </w:rPr>
        <w:t xml:space="preserve">4.3</w:t>
      </w:r>
      <w:r>
        <w:tab/>
      </w:r>
      <w:r>
        <w:t xml:space="preserve">PSA</w:t>
      </w:r>
    </w:p>
    <w:p>
      <w:pPr>
        <w:pStyle w:val="TableCaption"/>
      </w:pPr>
      <w:r>
        <w:t xml:space="preserve">Table 4.1:</w:t>
      </w:r>
      <w:r>
        <w:t xml:space="preserve"> </w:t>
      </w:r>
      <w:r>
        <w:t xml:space="preserve">Correlation coefficients (r) between cEOF2 components and the PSA1 and PSA2 modes computed as @mo2001 for the 1979 -- 2019 period. 95% confidence intervals in parenthesis. p-values lower than 0.01 in bold.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0.1 -- 0.63)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(CI: 0.28 -- 0.73)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(CI: -0.1 -- 0.49)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 (CI: -0.45 -- 0.14)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 (CI: 0.06 -- 0.6)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(CI: 0.22 -- 0.69)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(CI: -0.12 -- 0.47)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0.52 -- 0.84)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-0.63 -- -0.1)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 (CI: -0.16 -- 0.44)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0.58 -- 0.86)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-0.01 -- 0.56)</w:t>
            </w:r>
          </w:p>
        </w:tc>
      </w:tr>
    </w:tbl>
    <w:p>
      <w:pPr>
        <w:pStyle w:val="BodyText"/>
      </w:pPr>
      <w:r>
        <w:t xml:space="preserve">Dada la similitud entre las estructuras asociadas al cEOF2 (Fig.</w:t>
      </w:r>
      <w:r>
        <w:t xml:space="preserve"> </w:t>
      </w:r>
      <w:r>
        <w:t xml:space="preserve">2.6</w:t>
      </w:r>
      <w:r>
        <w:t xml:space="preserve">) y los patrones de PSA documentados, estudiamos la relación entre ellos.</w:t>
      </w:r>
      <w:r>
        <w:t xml:space="preserve"> </w:t>
      </w:r>
      <w:r>
        <w:t xml:space="preserve">La tabla</w:t>
      </w:r>
      <w:r>
        <w:t xml:space="preserve"> </w:t>
      </w:r>
      <w:r>
        <w:t xml:space="preserve">4.1</w:t>
      </w:r>
      <w:r>
        <w:t xml:space="preserve"> </w:t>
      </w:r>
      <w:r>
        <w:t xml:space="preserve">muestra las correlaciones entre los dos índices PSA y las series temporales para las fases 0º y 90º de CEOF2.</w:t>
      </w:r>
      <w:r>
        <w:t xml:space="preserve"> </w:t>
      </w:r>
      <w:r>
        <w:t xml:space="preserve">Como anticipaba visualmente la figura</w:t>
      </w:r>
      <w:r>
        <w:t xml:space="preserve"> </w:t>
      </w:r>
      <w:r>
        <w:t xml:space="preserve">2.6</w:t>
      </w:r>
      <w:r>
        <w:t xml:space="preserve">, existe una gran correlación positiva entre PSA1 y 90º cEOF2, y entre PSA2 y 0º cEOF2.</w:t>
      </w:r>
      <w:r>
        <w:t xml:space="preserve"> </w:t>
      </w:r>
      <w:r>
        <w:t xml:space="preserve">Por otro lado, no existe una relación significativa entre PSA1 y 0º cEOF2, y entre PSA2 y 90º cEOF2.</w:t>
      </w:r>
      <w:r>
        <w:t xml:space="preserve"> </w:t>
      </w:r>
      <w:r>
        <w:t xml:space="preserve">En consecuencia, cEOF2 representa bien tanto la estructura espacial como la evolución temporal de los modos PSA, por lo que es posible establecer una asociación entre sus dos fases y los dos modos PSA.</w:t>
      </w:r>
      <w:r>
        <w:t xml:space="preserve"> </w:t>
      </w:r>
      <w:r>
        <w:t xml:space="preserve">Es decir, la elección de fase para cEOF2 que maximiza la relación entre ENSO y 90º cEOF2, también maximiza la asociación entre los componentes de cEOF2 y los modos PSA (no mostrado).</w:t>
      </w:r>
    </w:p>
    <w:p>
      <w:pPr>
        <w:pStyle w:val="CaptionedFigure"/>
      </w:pPr>
      <w:r>
        <w:drawing>
          <wp:inline>
            <wp:extent cx="2435191" cy="2310063"/>
            <wp:effectExtent b="0" l="0" r="0" t="0"/>
            <wp:docPr descr="Figure 4.2: Histograma de distribución de fase de cEOF2 para el periodo 1979 – 2019. Los intervalos están centrados en 90º, 0º, -90º, -180º con un ancho de intervalo de 90º. Las pequeñas líneas verticales cerca del eje horizontal marcan las observaciones." title="" id="158" name="Picture"/>
            <a:graphic>
              <a:graphicData uri="http://schemas.openxmlformats.org/drawingml/2006/picture">
                <pic:pic>
                  <pic:nvPicPr>
                    <pic:cNvPr descr="figures/40-sam-ceof/phase-histogram-1.png" id="159" name="Picture"/>
                    <pic:cNvPicPr>
                      <a:picLocks noChangeArrowheads="1" noChangeAspect="1"/>
                    </pic:cNvPicPr>
                  </pic:nvPicPr>
                  <pic:blipFill>
                    <a:blip r:embed="rId157"/>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r>
        <w:t xml:space="preserve">Figure 4.2: Histograma de distribución de fase de cEOF2 para el periodo 1979 – 2019. Los intervalos están centrados en 90º, 0º, -90º, -180º con un ancho de intervalo de 90º. Las pequeñas líneas verticales cerca del eje horizontal marcan las observaciones.</w:t>
      </w:r>
    </w:p>
    <w:p>
      <w:pPr>
        <w:pStyle w:val="BodyText"/>
      </w:pPr>
      <w:r>
        <w:t xml:space="preserve">La figura</w:t>
      </w:r>
      <w:r>
        <w:t xml:space="preserve"> </w:t>
      </w:r>
      <w:r>
        <w:t xml:space="preserve">4.2</w:t>
      </w:r>
      <w:r>
        <w:t xml:space="preserve"> </w:t>
      </w:r>
      <w:r>
        <w:t xml:space="preserve">muestra un histograma que cuenta el número de estaciones SON en las que la fase cEOF2 estaba cerca de cada una de las cuatro fases particulares (positiva/negativa de las fases 0º y 90º), con las observaciones para cada estación marcadas como alfombras en el eje horizontal.</w:t>
      </w:r>
      <w:r>
        <w:t xml:space="preserve"> </w:t>
      </w:r>
      <w:r>
        <w:t xml:space="preserve">En 61% de las estaciones cEOF2 tiene una fase similar a la fase negativa o positiva de 90º, haciendo que la fase de 90º sea la fase más común.</w:t>
      </w:r>
      <w:r>
        <w:t xml:space="preserve"> </w:t>
      </w:r>
      <w:r>
        <w:t xml:space="preserve">Esta es también la fase más correlacionada con ENSO según la definición de la fase de 0º descrita en la Sección @ref(métodos).</w:t>
      </w:r>
    </w:p>
    <w:p>
      <w:pPr>
        <w:pStyle w:val="BodyText"/>
      </w:pPr>
      <w:r>
        <w:t xml:space="preserve">Por lo tanto, en virtud de ser la fase más común, la cEOF2 de 90º explica más varianza que la cEOF2 de 0º.</w:t>
      </w:r>
      <w:r>
        <w:t xml:space="preserve"> </w:t>
      </w:r>
      <w:r>
        <w:t xml:space="preserve">Por lo tanto, el análisis EOF convencional tenderá a separarlos de forma relativamente limpia, con el EOF que representa el 90º cEOF2 siempre por delante del que representa el 0º cEOF2.</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bookmarkEnd w:id="160"/>
    <w:bookmarkStart w:id="161" w:name="enso"/>
    <w:p>
      <w:pPr>
        <w:pStyle w:val="Heading2"/>
      </w:pPr>
      <w:r>
        <w:rPr>
          <w:rStyle w:val="SectionNumber"/>
        </w:rPr>
        <w:t xml:space="preserve">4.4</w:t>
      </w:r>
      <w:r>
        <w:tab/>
      </w:r>
      <w:r>
        <w:t xml:space="preserve">ENSO</w:t>
      </w:r>
    </w:p>
    <w:bookmarkEnd w:id="161"/>
    <w:bookmarkEnd w:id="162"/>
    <w:bookmarkStart w:id="169" w:name="X644928d5239fe9e8fb7e02bc44d1d49aab37276"/>
    <w:p>
      <w:pPr>
        <w:pStyle w:val="Heading1"/>
      </w:pPr>
      <w:r>
        <w:rPr>
          <w:rStyle w:val="SectionNumber"/>
        </w:rPr>
        <w:t xml:space="preserve">5</w:t>
      </w:r>
      <w:r>
        <w:tab/>
      </w:r>
      <w:r>
        <w:t xml:space="preserve">Análisis de estos modos en los modelos de CMIP6</w:t>
      </w:r>
    </w:p>
    <w:p>
      <w:pPr>
        <w:pStyle w:val="FirstParagraph"/>
      </w:pPr>
      <w:r>
        <w:t xml:space="preserve">Acá iría el</w:t>
      </w:r>
      <w:r>
        <w:t xml:space="preserve"> </w:t>
      </w:r>
      <w:hyperlink r:id="rId163">
        <w:r>
          <w:rPr>
            <w:rStyle w:val="Hyperlink"/>
          </w:rPr>
          <w:t xml:space="preserve">análisis de los cEOF en CMIP6</w:t>
        </w:r>
      </w:hyperlink>
      <w:r>
        <w:t xml:space="preserve"> </w:t>
      </w:r>
      <w:r>
        <w:t xml:space="preserve">que ya hice. Está analizado bastante de primavera, faltaría el resto del año.</w:t>
      </w:r>
    </w:p>
    <w:bookmarkStart w:id="164" w:name="datos-y-métodos-3"/>
    <w:p>
      <w:pPr>
        <w:pStyle w:val="Heading2"/>
      </w:pPr>
      <w:r>
        <w:rPr>
          <w:rStyle w:val="SectionNumber"/>
        </w:rPr>
        <w:t xml:space="preserve">5.1</w:t>
      </w:r>
      <w:r>
        <w:tab/>
      </w:r>
      <w:r>
        <w:t xml:space="preserve">Datos y métodos</w:t>
      </w:r>
    </w:p>
    <w:bookmarkEnd w:id="164"/>
    <w:bookmarkStart w:id="167" w:name="primavera-1"/>
    <w:p>
      <w:pPr>
        <w:pStyle w:val="Heading2"/>
      </w:pPr>
      <w:r>
        <w:rPr>
          <w:rStyle w:val="SectionNumber"/>
        </w:rPr>
        <w:t xml:space="preserve">5.2</w:t>
      </w:r>
      <w:r>
        <w:tab/>
      </w:r>
      <w:r>
        <w:t xml:space="preserve">Primavera</w:t>
      </w:r>
    </w:p>
    <w:bookmarkStart w:id="165" w:name="comparación-con-los-modos-observados"/>
    <w:p>
      <w:pPr>
        <w:pStyle w:val="Heading3"/>
      </w:pPr>
      <w:r>
        <w:rPr>
          <w:rStyle w:val="SectionNumber"/>
        </w:rPr>
        <w:t xml:space="preserve">5.2.1</w:t>
      </w:r>
      <w:r>
        <w:tab/>
      </w:r>
      <w:r>
        <w:t xml:space="preserve">Comparación con los modos observados</w:t>
      </w:r>
    </w:p>
    <w:bookmarkEnd w:id="165"/>
    <w:bookmarkStart w:id="166" w:name="tendencias"/>
    <w:p>
      <w:pPr>
        <w:pStyle w:val="Heading3"/>
      </w:pPr>
      <w:r>
        <w:rPr>
          <w:rStyle w:val="SectionNumber"/>
        </w:rPr>
        <w:t xml:space="preserve">5.2.2</w:t>
      </w:r>
      <w:r>
        <w:tab/>
      </w:r>
      <w:r>
        <w:t xml:space="preserve">Tendencias</w:t>
      </w:r>
    </w:p>
    <w:bookmarkEnd w:id="166"/>
    <w:bookmarkEnd w:id="167"/>
    <w:bookmarkStart w:id="168" w:name="otras-estaciones-quizas"/>
    <w:p>
      <w:pPr>
        <w:pStyle w:val="Heading2"/>
      </w:pPr>
      <w:r>
        <w:rPr>
          <w:rStyle w:val="SectionNumber"/>
        </w:rPr>
        <w:t xml:space="preserve">5.3</w:t>
      </w:r>
      <w:r>
        <w:tab/>
      </w:r>
      <w:r>
        <w:t xml:space="preserve">Otras estaciones (quizas)</w:t>
      </w:r>
    </w:p>
    <w:bookmarkEnd w:id="168"/>
    <w:bookmarkEnd w:id="169"/>
    <w:bookmarkStart w:id="170" w:name="conclusiones"/>
    <w:p>
      <w:pPr>
        <w:pStyle w:val="Heading1"/>
      </w:pPr>
      <w:r>
        <w:rPr>
          <w:rStyle w:val="SectionNumber"/>
        </w:rPr>
        <w:t xml:space="preserve">6</w:t>
      </w:r>
      <w:r>
        <w:tab/>
      </w:r>
      <w:r>
        <w:t xml:space="preserve">Conclusiones</w:t>
      </w:r>
    </w:p>
    <w:bookmarkEnd w:id="170"/>
    <w:bookmarkStart w:id="287" w:name="referencias"/>
    <w:p>
      <w:pPr>
        <w:pStyle w:val="Heading1"/>
      </w:pPr>
      <w:r>
        <w:t xml:space="preserve">Referencias</w:t>
      </w:r>
    </w:p>
    <w:p>
      <w:pPr>
        <w:pStyle w:val="FirstParagraph"/>
      </w:pPr>
    </w:p>
    <w:bookmarkStart w:id="286" w:name="refs"/>
    <w:bookmarkStart w:id="172" w:name="ref-arblaster2006"/>
    <w:p>
      <w:pPr>
        <w:pStyle w:val="Bibliography"/>
      </w:pPr>
      <w:r>
        <w:t xml:space="preserve">Arblaster, J.M., and Meehl, G.A., 2006.</w:t>
      </w:r>
      <w:r>
        <w:t xml:space="preserve"> </w:t>
      </w:r>
      <w:hyperlink r:id="rId171">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172"/>
    <w:bookmarkStart w:id="174" w:name="ref-baldwin2001"/>
    <w:p>
      <w:pPr>
        <w:pStyle w:val="Bibliography"/>
      </w:pPr>
      <w:r>
        <w:t xml:space="preserve">Baldwin, M.P., 2001.</w:t>
      </w:r>
      <w:r>
        <w:t xml:space="preserve"> </w:t>
      </w:r>
      <w:hyperlink r:id="rId173">
        <w:r>
          <w:rPr>
            <w:rStyle w:val="Hyperlink"/>
          </w:rPr>
          <w:t xml:space="preserve">Annular modes in global daily surface pressure</w:t>
        </w:r>
      </w:hyperlink>
      <w:r>
        <w:t xml:space="preserve">. Geophysical Research Letters, 28, 21, 4115–4118.</w:t>
      </w:r>
    </w:p>
    <w:bookmarkEnd w:id="174"/>
    <w:bookmarkStart w:id="176" w:name="ref-baldwin2001a"/>
    <w:p>
      <w:pPr>
        <w:pStyle w:val="Bibliography"/>
      </w:pPr>
      <w:r>
        <w:t xml:space="preserve">Baldwin, M.P., and Dunkerton, T.J., 2001.</w:t>
      </w:r>
      <w:r>
        <w:t xml:space="preserve"> </w:t>
      </w:r>
      <w:hyperlink r:id="rId175">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176"/>
    <w:bookmarkStart w:id="178" w:name="ref-baldwin2009"/>
    <w:p>
      <w:pPr>
        <w:pStyle w:val="Bibliography"/>
      </w:pPr>
      <w:r>
        <w:t xml:space="preserve">Baldwin, M.P., and Thompson, D.W.J., 2009.</w:t>
      </w:r>
      <w:r>
        <w:t xml:space="preserve"> </w:t>
      </w:r>
      <w:hyperlink r:id="rId177">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178"/>
    <w:bookmarkStart w:id="180" w:name="ref-baldwin2001b"/>
    <w:p>
      <w:pPr>
        <w:pStyle w:val="Bibliography"/>
      </w:pPr>
      <w:r>
        <w:t xml:space="preserve">Baldwin, M.P., Gray, L.J., Dunkerton, T.J., Hamilton, K., Haynes, P.H., Randel, W.J., Holton, J.R., Alexander, M.J., Hirota, I., Horinouchi, T., and others, 2001.</w:t>
      </w:r>
      <w:r>
        <w:t xml:space="preserve"> </w:t>
      </w:r>
      <w:hyperlink r:id="rId179">
        <w:r>
          <w:rPr>
            <w:rStyle w:val="Hyperlink"/>
          </w:rPr>
          <w:t xml:space="preserve">The quasi-biennial oscillation</w:t>
        </w:r>
      </w:hyperlink>
      <w:r>
        <w:t xml:space="preserve">. Reviews of Geophysics, 39, 2, 179–229.</w:t>
      </w:r>
    </w:p>
    <w:bookmarkEnd w:id="180"/>
    <w:bookmarkStart w:id="182" w:name="ref-bamston1997"/>
    <w:p>
      <w:pPr>
        <w:pStyle w:val="Bibliography"/>
      </w:pPr>
      <w:r>
        <w:t xml:space="preserve">Bamston, A.G., Chelliah, M., and Goldenberg, S.B., 1997.</w:t>
      </w:r>
      <w:r>
        <w:t xml:space="preserve"> </w:t>
      </w:r>
      <w:hyperlink r:id="rId181">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182"/>
    <w:bookmarkStart w:id="184" w:name="ref-benjamini1995"/>
    <w:p>
      <w:pPr>
        <w:pStyle w:val="Bibliography"/>
      </w:pPr>
      <w:r>
        <w:t xml:space="preserve">Benjamini, Y., and Hochberg, Y., 1995.</w:t>
      </w:r>
      <w:r>
        <w:t xml:space="preserve"> </w:t>
      </w:r>
      <w:hyperlink r:id="rId183">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184"/>
    <w:bookmarkStart w:id="186" w:name="ref-cai2011"/>
    <w:p>
      <w:pPr>
        <w:pStyle w:val="Bibliography"/>
      </w:pPr>
      <w:r>
        <w:t xml:space="preserve">Cai, W., Rensch, P. van, Cowan, T., and Hendon, H.H., 2011.</w:t>
      </w:r>
      <w:r>
        <w:t xml:space="preserve"> </w:t>
      </w:r>
      <w:hyperlink r:id="rId185">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186"/>
    <w:bookmarkStart w:id="188" w:name="ref-cai2020a"/>
    <w:p>
      <w:pPr>
        <w:pStyle w:val="Bibliography"/>
      </w:pPr>
      <w:r>
        <w:t xml:space="preserve">Cai, W., McPhaden, M.J., Grimm, A.M., Rodrigues, R.R., Taschetto, A.S., Garreaud, R.D., Dewitte, B., Poveda, G., Ham, Y.-G., Santoso, A., and others, 2020.</w:t>
      </w:r>
      <w:r>
        <w:t xml:space="preserve"> </w:t>
      </w:r>
      <w:hyperlink r:id="rId187">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188"/>
    <w:bookmarkStart w:id="190" w:name="ref-campitelli2022"/>
    <w:p>
      <w:pPr>
        <w:pStyle w:val="Bibliography"/>
      </w:pPr>
      <w:r>
        <w:t xml:space="preserve">Campitelli, E., Díaz, L.B., and Vera, C., 2022.</w:t>
      </w:r>
      <w:r>
        <w:t xml:space="preserve"> </w:t>
      </w:r>
      <w:hyperlink r:id="rId189">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190"/>
    <w:bookmarkStart w:id="192" w:name="ref-chung1999"/>
    <w:p>
      <w:pPr>
        <w:pStyle w:val="Bibliography"/>
      </w:pPr>
      <w:r>
        <w:t xml:space="preserve">Chung, C., and Nigam, S., 1999.</w:t>
      </w:r>
      <w:r>
        <w:t xml:space="preserve"> </w:t>
      </w:r>
      <w:hyperlink r:id="rId191">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192"/>
    <w:bookmarkStart w:id="194" w:name="ref-clem2013"/>
    <w:p>
      <w:pPr>
        <w:pStyle w:val="Bibliography"/>
      </w:pPr>
      <w:r>
        <w:t xml:space="preserve">Clem, K.R., and Fogt, R.L., 2013.</w:t>
      </w:r>
      <w:r>
        <w:t xml:space="preserve"> </w:t>
      </w:r>
      <w:hyperlink r:id="rId193">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194"/>
    <w:bookmarkStart w:id="196" w:name="ref-fan2007"/>
    <w:p>
      <w:pPr>
        <w:pStyle w:val="Bibliography"/>
      </w:pPr>
      <w:r>
        <w:t xml:space="preserve">Fan, K., 2007.</w:t>
      </w:r>
      <w:r>
        <w:t xml:space="preserve"> </w:t>
      </w:r>
      <w:hyperlink r:id="rId195">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196"/>
    <w:bookmarkStart w:id="198" w:name="ref-fogt2006"/>
    <w:p>
      <w:pPr>
        <w:pStyle w:val="Bibliography"/>
      </w:pPr>
      <w:r>
        <w:t xml:space="preserve">Fogt, R.L., and Bromwich, D.H., 2006.</w:t>
      </w:r>
      <w:r>
        <w:t xml:space="preserve"> </w:t>
      </w:r>
      <w:hyperlink r:id="rId197">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198"/>
    <w:bookmarkStart w:id="200" w:name="ref-fogt2020"/>
    <w:p>
      <w:pPr>
        <w:pStyle w:val="Bibliography"/>
      </w:pPr>
      <w:r>
        <w:t xml:space="preserve">Fogt, R.L., and Marshall, G.J., 2020.</w:t>
      </w:r>
      <w:r>
        <w:t xml:space="preserve"> </w:t>
      </w:r>
      <w:hyperlink r:id="rId199">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00"/>
    <w:bookmarkStart w:id="202" w:name="ref-fogt2011a"/>
    <w:p>
      <w:pPr>
        <w:pStyle w:val="Bibliography"/>
      </w:pPr>
      <w:r>
        <w:t xml:space="preserve">Fogt, R.L., Bromwich, D.H., and Hines, K.M., 2011.</w:t>
      </w:r>
      <w:r>
        <w:t xml:space="preserve"> </w:t>
      </w:r>
      <w:hyperlink r:id="rId201">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202"/>
    <w:bookmarkStart w:id="204" w:name="ref-fogt2012"/>
    <w:p>
      <w:pPr>
        <w:pStyle w:val="Bibliography"/>
      </w:pPr>
      <w:r>
        <w:t xml:space="preserve">Fogt, R.L., Jones, J.M., and Renwick, J., 2012.</w:t>
      </w:r>
      <w:r>
        <w:t xml:space="preserve"> </w:t>
      </w:r>
      <w:hyperlink r:id="rId203">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204"/>
    <w:bookmarkStart w:id="206" w:name="ref-garreaud2007"/>
    <w:p>
      <w:pPr>
        <w:pStyle w:val="Bibliography"/>
      </w:pPr>
      <w:r>
        <w:t xml:space="preserve">Garreaud, R., 2007.</w:t>
      </w:r>
      <w:r>
        <w:t xml:space="preserve"> </w:t>
      </w:r>
      <w:hyperlink r:id="rId205">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206"/>
    <w:bookmarkStart w:id="208" w:name="ref-gillett2005"/>
    <w:p>
      <w:pPr>
        <w:pStyle w:val="Bibliography"/>
      </w:pPr>
      <w:r>
        <w:t xml:space="preserve">Gillett, N.P., Allan, R.J., and Ansell, T.J., 2005.</w:t>
      </w:r>
      <w:r>
        <w:t xml:space="preserve"> </w:t>
      </w:r>
      <w:hyperlink r:id="rId207">
        <w:r>
          <w:rPr>
            <w:rStyle w:val="Hyperlink"/>
          </w:rPr>
          <w:t xml:space="preserve">Detection of external influence on sea level pressure with a multi-model ensemble</w:t>
        </w:r>
      </w:hyperlink>
      <w:r>
        <w:t xml:space="preserve">. Geophysical Research Letters, 32, 19.</w:t>
      </w:r>
    </w:p>
    <w:bookmarkEnd w:id="208"/>
    <w:bookmarkStart w:id="210" w:name="ref-gillett2006"/>
    <w:p>
      <w:pPr>
        <w:pStyle w:val="Bibliography"/>
      </w:pPr>
      <w:r>
        <w:t xml:space="preserve">Gillett, N.P., Kell, T.D., and Jones, P.D., 2006.</w:t>
      </w:r>
      <w:r>
        <w:t xml:space="preserve"> </w:t>
      </w:r>
      <w:hyperlink r:id="rId209">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210"/>
    <w:bookmarkStart w:id="212" w:name="ref-gillett2013"/>
    <w:p>
      <w:pPr>
        <w:pStyle w:val="Bibliography"/>
      </w:pPr>
      <w:r>
        <w:t xml:space="preserve">Gillett, N.P., Fyfe, J.C., and Parker, D.E., 2013.</w:t>
      </w:r>
      <w:r>
        <w:t xml:space="preserve"> </w:t>
      </w:r>
      <w:hyperlink r:id="rId211">
        <w:r>
          <w:rPr>
            <w:rStyle w:val="Hyperlink"/>
          </w:rPr>
          <w:t xml:space="preserve">Attribution of observed sea level pressure trends to greenhouse gas, aerosol, and ozone changes</w:t>
        </w:r>
      </w:hyperlink>
      <w:r>
        <w:t xml:space="preserve">. Geophysical Research Letters, 40, 10, 2302–2306.</w:t>
      </w:r>
    </w:p>
    <w:bookmarkEnd w:id="212"/>
    <w:bookmarkStart w:id="214" w:name="ref-gong1999"/>
    <w:p>
      <w:pPr>
        <w:pStyle w:val="Bibliography"/>
      </w:pPr>
      <w:r>
        <w:t xml:space="preserve">Gong, D., and Wang, S., 1999.</w:t>
      </w:r>
      <w:r>
        <w:t xml:space="preserve"> </w:t>
      </w:r>
      <w:hyperlink r:id="rId213">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214"/>
    <w:bookmarkStart w:id="216" w:name="ref-grytsai2011"/>
    <w:p>
      <w:pPr>
        <w:pStyle w:val="Bibliography"/>
      </w:pPr>
      <w:r>
        <w:t xml:space="preserve">Grytsai, A., 2011.</w:t>
      </w:r>
      <w:r>
        <w:t xml:space="preserve"> </w:t>
      </w:r>
      <w:hyperlink r:id="rId215">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216"/>
    <w:bookmarkStart w:id="218" w:name="ref-hartmann1979"/>
    <w:p>
      <w:pPr>
        <w:pStyle w:val="Bibliography"/>
      </w:pPr>
      <w:r>
        <w:t xml:space="preserve">Hartmann, D.L., and Garcia, R.R., 1979.</w:t>
      </w:r>
      <w:r>
        <w:t xml:space="preserve"> </w:t>
      </w:r>
      <w:hyperlink r:id="rId217">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218"/>
    <w:bookmarkStart w:id="220" w:name="ref-hendon2007"/>
    <w:p>
      <w:pPr>
        <w:pStyle w:val="Bibliography"/>
      </w:pPr>
      <w:r>
        <w:t xml:space="preserve">Hendon, H.H., Thompson, D.W.J., and Wheeler, M.C., 2007.</w:t>
      </w:r>
      <w:r>
        <w:t xml:space="preserve"> </w:t>
      </w:r>
      <w:hyperlink r:id="rId219">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220"/>
    <w:bookmarkStart w:id="222" w:name="ref-hendon2014"/>
    <w:p>
      <w:pPr>
        <w:pStyle w:val="Bibliography"/>
      </w:pPr>
      <w:r>
        <w:t xml:space="preserve">Hendon, H.H., Lim, E.-P., and Nguyen, H., 2014.</w:t>
      </w:r>
      <w:r>
        <w:t xml:space="preserve"> </w:t>
      </w:r>
      <w:hyperlink r:id="rId221">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222"/>
    <w:bookmarkStart w:id="224" w:name="ref-ho2012"/>
    <w:p>
      <w:pPr>
        <w:pStyle w:val="Bibliography"/>
      </w:pPr>
      <w:r>
        <w:t xml:space="preserve">Ho, M., Kiem, A.S., and Verdon-Kidd, D.C., 2012.</w:t>
      </w:r>
      <w:r>
        <w:t xml:space="preserve"> </w:t>
      </w:r>
      <w:hyperlink r:id="rId223">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224"/>
    <w:bookmarkStart w:id="226" w:name="ref-horel1984"/>
    <w:p>
      <w:pPr>
        <w:pStyle w:val="Bibliography"/>
      </w:pPr>
      <w:r>
        <w:t xml:space="preserve">Horel, J.D., 1984.</w:t>
      </w:r>
      <w:r>
        <w:t xml:space="preserve"> </w:t>
      </w:r>
      <w:hyperlink r:id="rId225">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226"/>
    <w:bookmarkStart w:id="228" w:name="ref-irving2016"/>
    <w:p>
      <w:pPr>
        <w:pStyle w:val="Bibliography"/>
      </w:pPr>
      <w:r>
        <w:t xml:space="preserve">Irving, D., and Simmonds, I., 2016.</w:t>
      </w:r>
      <w:r>
        <w:t xml:space="preserve"> </w:t>
      </w:r>
      <w:hyperlink r:id="rId227">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228"/>
    <w:bookmarkStart w:id="230" w:name="ref-jones2009"/>
    <w:p>
      <w:pPr>
        <w:pStyle w:val="Bibliography"/>
      </w:pPr>
      <w:r>
        <w:t xml:space="preserve">Jones, J.M., Fogt, R.L., Widmann, M., Marshall, G.J., Jones, P.D., and Visbeck, M., 2009.</w:t>
      </w:r>
      <w:r>
        <w:t xml:space="preserve"> </w:t>
      </w:r>
      <w:hyperlink r:id="rId229">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230"/>
    <w:bookmarkStart w:id="232" w:name="ref-jones2019"/>
    <w:p>
      <w:pPr>
        <w:pStyle w:val="Bibliography"/>
      </w:pPr>
      <w:r>
        <w:t xml:space="preserve">Jones, M.E., Bromwich, D.H., Nicolas, J.P., Carrasco, J., Plavcová, E., Zou, X., and Wang, S.-H., 2019.</w:t>
      </w:r>
      <w:r>
        <w:t xml:space="preserve"> </w:t>
      </w:r>
      <w:hyperlink r:id="rId231">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232"/>
    <w:bookmarkStart w:id="234" w:name="ref-kao2009"/>
    <w:p>
      <w:pPr>
        <w:pStyle w:val="Bibliography"/>
      </w:pPr>
      <w:r>
        <w:t xml:space="preserve">Kao, H.-Y., and Yu, J.-Y., 2009.</w:t>
      </w:r>
      <w:r>
        <w:t xml:space="preserve"> </w:t>
      </w:r>
      <w:hyperlink r:id="rId233">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234"/>
    <w:bookmarkStart w:id="236" w:name="ref-karoly1989"/>
    <w:p>
      <w:pPr>
        <w:pStyle w:val="Bibliography"/>
      </w:pPr>
      <w:r>
        <w:t xml:space="preserve">Karoly, D.J., 1989.</w:t>
      </w:r>
      <w:r>
        <w:t xml:space="preserve"> </w:t>
      </w:r>
      <w:hyperlink r:id="rId235">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236"/>
    <w:bookmarkStart w:id="238" w:name="ref-katz1991"/>
    <w:p>
      <w:pPr>
        <w:pStyle w:val="Bibliography"/>
      </w:pPr>
      <w:r>
        <w:t xml:space="preserve">Katz, R.W., and Brown, B.G., 1991.</w:t>
      </w:r>
      <w:r>
        <w:t xml:space="preserve"> </w:t>
      </w:r>
      <w:hyperlink r:id="rId237">
        <w:r>
          <w:rPr>
            <w:rStyle w:val="Hyperlink"/>
          </w:rPr>
          <w:t xml:space="preserve">The problem of multiplicity in research on teleconnections</w:t>
        </w:r>
      </w:hyperlink>
      <w:r>
        <w:t xml:space="preserve">. International Journal of Climatology, 11, 5, 505–513.</w:t>
      </w:r>
    </w:p>
    <w:bookmarkEnd w:id="238"/>
    <w:bookmarkStart w:id="240" w:name="ref-kidson1988"/>
    <w:p>
      <w:pPr>
        <w:pStyle w:val="Bibliography"/>
      </w:pPr>
      <w:r>
        <w:t xml:space="preserve">Kidson, J.W., 1988.</w:t>
      </w:r>
      <w:r>
        <w:t xml:space="preserve"> </w:t>
      </w:r>
      <w:hyperlink r:id="rId239">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240"/>
    <w:bookmarkStart w:id="242" w:name="ref-lim2016"/>
    <w:p>
      <w:pPr>
        <w:pStyle w:val="Bibliography"/>
      </w:pPr>
      <w:r>
        <w:t xml:space="preserve">Lim, E.-P., Hendon, H.H., Arblaster, J.M., Delage, F., Nguyen, H., Min, S.-K., and Wheeler, M.C., 2016.</w:t>
      </w:r>
      <w:r>
        <w:t xml:space="preserve"> </w:t>
      </w:r>
      <w:hyperlink r:id="rId241">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242"/>
    <w:bookmarkStart w:id="244" w:name="ref-marshall2003"/>
    <w:p>
      <w:pPr>
        <w:pStyle w:val="Bibliography"/>
      </w:pPr>
      <w:r>
        <w:t xml:space="preserve">Marshall, G.J., 2003.</w:t>
      </w:r>
      <w:r>
        <w:t xml:space="preserve"> </w:t>
      </w:r>
      <w:hyperlink r:id="rId243">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244"/>
    <w:bookmarkStart w:id="246" w:name="ref-marshall2016"/>
    <w:p>
      <w:pPr>
        <w:pStyle w:val="Bibliography"/>
      </w:pPr>
      <w:r>
        <w:t xml:space="preserve">Marshall, G.J., and Thompson, D.W.J., 2016.</w:t>
      </w:r>
      <w:r>
        <w:t xml:space="preserve"> </w:t>
      </w:r>
      <w:hyperlink r:id="rId245">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246"/>
    <w:bookmarkStart w:id="248" w:name="ref-marshall2004"/>
    <w:p>
      <w:pPr>
        <w:pStyle w:val="Bibliography"/>
      </w:pPr>
      <w:r>
        <w:t xml:space="preserve">Marshall, G.J., Stott, P.A., Turner, J., Connolley, W.M., King, J.C., and Lachlan-Cope, T.A., 2004.</w:t>
      </w:r>
      <w:r>
        <w:t xml:space="preserve"> </w:t>
      </w:r>
      <w:hyperlink r:id="rId247">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248"/>
    <w:bookmarkStart w:id="250" w:name="ref-mo2000"/>
    <w:p>
      <w:pPr>
        <w:pStyle w:val="Bibliography"/>
      </w:pPr>
      <w:r>
        <w:t xml:space="preserve">Mo, K.C., 2000.</w:t>
      </w:r>
      <w:r>
        <w:t xml:space="preserve"> </w:t>
      </w:r>
      <w:hyperlink r:id="rId249">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250"/>
    <w:bookmarkStart w:id="252" w:name="ref-mo1987"/>
    <w:p>
      <w:pPr>
        <w:pStyle w:val="Bibliography"/>
      </w:pPr>
      <w:r>
        <w:t xml:space="preserve">Mo, K.C., and Ghil, M., 1987.</w:t>
      </w:r>
      <w:r>
        <w:t xml:space="preserve"> </w:t>
      </w:r>
      <w:hyperlink r:id="rId251">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252"/>
    <w:bookmarkStart w:id="254" w:name="ref-mo2001"/>
    <w:p>
      <w:pPr>
        <w:pStyle w:val="Bibliography"/>
      </w:pPr>
      <w:r>
        <w:t xml:space="preserve">Mo, K.C., and Paegle, J.N., 2001.</w:t>
      </w:r>
      <w:r>
        <w:t xml:space="preserve"> </w:t>
      </w:r>
      <w:hyperlink r:id="rId253">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254"/>
    <w:bookmarkStart w:id="256" w:name="ref-nicolas2014"/>
    <w:p>
      <w:pPr>
        <w:pStyle w:val="Bibliography"/>
      </w:pPr>
      <w:r>
        <w:t xml:space="preserve">Nicolas, J.P., and Bromwich, D.H., 2014.</w:t>
      </w:r>
      <w:r>
        <w:t xml:space="preserve"> </w:t>
      </w:r>
      <w:hyperlink r:id="rId255">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256"/>
    <w:bookmarkStart w:id="258" w:name="ref-nuncio2015"/>
    <w:p>
      <w:pPr>
        <w:pStyle w:val="Bibliography"/>
      </w:pPr>
      <w:r>
        <w:t xml:space="preserve">Nuncio, M., and Yuan, X., 2015.</w:t>
      </w:r>
      <w:r>
        <w:t xml:space="preserve"> </w:t>
      </w:r>
      <w:hyperlink r:id="rId257">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258"/>
    <w:bookmarkStart w:id="260" w:name="ref-raphael2004"/>
    <w:p>
      <w:pPr>
        <w:pStyle w:val="Bibliography"/>
      </w:pPr>
      <w:r>
        <w:t xml:space="preserve">Raphael, M.N., 2004.</w:t>
      </w:r>
      <w:r>
        <w:t xml:space="preserve"> </w:t>
      </w:r>
      <w:hyperlink r:id="rId259">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260"/>
    <w:bookmarkStart w:id="262" w:name="ref-rogers1982"/>
    <w:p>
      <w:pPr>
        <w:pStyle w:val="Bibliography"/>
      </w:pPr>
      <w:r>
        <w:t xml:space="preserve">Rogers, J.C., and van Loon, H., 1982.</w:t>
      </w:r>
      <w:r>
        <w:t xml:space="preserve"> </w:t>
      </w:r>
      <w:hyperlink r:id="rId261">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262"/>
    <w:bookmarkStart w:id="264" w:name="ref-ropelewski1987"/>
    <w:p>
      <w:pPr>
        <w:pStyle w:val="Bibliography"/>
      </w:pPr>
      <w:r>
        <w:t xml:space="preserve">Ropelewski, C.F., and Jones, P.D., 1987.</w:t>
      </w:r>
      <w:r>
        <w:t xml:space="preserve"> </w:t>
      </w:r>
      <w:hyperlink r:id="rId263">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264"/>
    <w:bookmarkStart w:id="266" w:name="ref-rosso2018"/>
    <w:p>
      <w:pPr>
        <w:pStyle w:val="Bibliography"/>
      </w:pPr>
      <w:r>
        <w:t xml:space="preserve">Rosso, F.V., Boiaski, N.T., Ferraz, S.E.T., and Robles, T.C., 2018.</w:t>
      </w:r>
      <w:r>
        <w:t xml:space="preserve"> </w:t>
      </w:r>
      <w:hyperlink r:id="rId265">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266"/>
    <w:bookmarkStart w:id="268" w:name="ref-saji1999"/>
    <w:p>
      <w:pPr>
        <w:pStyle w:val="Bibliography"/>
      </w:pPr>
      <w:r>
        <w:t xml:space="preserve">Saji, N.H., Goswami, B.N., Vinayachandran, P.N., and Yamagata, T., 1999.</w:t>
      </w:r>
      <w:r>
        <w:t xml:space="preserve"> </w:t>
      </w:r>
      <w:hyperlink r:id="rId267">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268"/>
    <w:bookmarkStart w:id="270" w:name="ref-sheather1991"/>
    <w:p>
      <w:pPr>
        <w:pStyle w:val="Bibliography"/>
      </w:pPr>
      <w:r>
        <w:t xml:space="preserve">Sheather, S.J., and Jones, M.C., 1991.</w:t>
      </w:r>
      <w:r>
        <w:t xml:space="preserve"> </w:t>
      </w:r>
      <w:hyperlink r:id="rId269">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270"/>
    <w:bookmarkStart w:id="272" w:name="ref-silvestri2009"/>
    <w:p>
      <w:pPr>
        <w:pStyle w:val="Bibliography"/>
      </w:pPr>
      <w:r>
        <w:t xml:space="preserve">Silvestri, G., and Vera, C., 2009.</w:t>
      </w:r>
      <w:r>
        <w:t xml:space="preserve"> </w:t>
      </w:r>
      <w:hyperlink r:id="rId271">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272"/>
    <w:bookmarkStart w:id="274" w:name="ref-smith1995"/>
    <w:p>
      <w:pPr>
        <w:pStyle w:val="Bibliography"/>
      </w:pPr>
      <w:r>
        <w:t xml:space="preserve">Smith, A.K., 1995.</w:t>
      </w:r>
      <w:r>
        <w:t xml:space="preserve"> </w:t>
      </w:r>
      <w:hyperlink r:id="rId273">
        <w:r>
          <w:rPr>
            <w:rStyle w:val="Hyperlink"/>
          </w:rPr>
          <w:t xml:space="preserve">Numerical simulation of global variations of temperature, ozone, and trace species in the stratosphere</w:t>
        </w:r>
      </w:hyperlink>
      <w:r>
        <w:t xml:space="preserve">. Journal of Geophysical Research: Atmospheres, 100, D1, 1253–1269.</w:t>
      </w:r>
    </w:p>
    <w:bookmarkEnd w:id="274"/>
    <w:bookmarkStart w:id="276" w:name="ref-vasconcellos2022"/>
    <w:p>
      <w:pPr>
        <w:pStyle w:val="Bibliography"/>
      </w:pPr>
      <w:r>
        <w:t xml:space="preserve">Vasconcellos, F.C., Mattos-Gava, M.L.L., and Sansigolo, C.A., 2022.</w:t>
      </w:r>
      <w:r>
        <w:t xml:space="preserve"> </w:t>
      </w:r>
      <w:hyperlink r:id="rId275">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276"/>
    <w:bookmarkStart w:id="277"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277"/>
    <w:bookmarkStart w:id="279" w:name="ref-wilks2016"/>
    <w:p>
      <w:pPr>
        <w:pStyle w:val="Bibliography"/>
      </w:pPr>
      <w:r>
        <w:t xml:space="preserve">Wilks, D.S., 2016.</w:t>
      </w:r>
      <w:r>
        <w:t xml:space="preserve"> </w:t>
      </w:r>
      <w:hyperlink r:id="rId278">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279"/>
    <w:bookmarkStart w:id="281" w:name="ref-wirth1993"/>
    <w:p>
      <w:pPr>
        <w:pStyle w:val="Bibliography"/>
      </w:pPr>
      <w:r>
        <w:t xml:space="preserve">Wirth, V., 1993.</w:t>
      </w:r>
      <w:r>
        <w:t xml:space="preserve"> </w:t>
      </w:r>
      <w:hyperlink r:id="rId280">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281"/>
    <w:bookmarkStart w:id="283" w:name="ref-wolter2011"/>
    <w:p>
      <w:pPr>
        <w:pStyle w:val="Bibliography"/>
      </w:pPr>
      <w:r>
        <w:t xml:space="preserve">Wolter, K., and Timlin, M.S., 2011.</w:t>
      </w:r>
      <w:r>
        <w:t xml:space="preserve"> </w:t>
      </w:r>
      <w:hyperlink r:id="rId282">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283"/>
    <w:bookmarkStart w:id="285" w:name="ref-zamboni2010"/>
    <w:p>
      <w:pPr>
        <w:pStyle w:val="Bibliography"/>
      </w:pPr>
      <w:r>
        <w:t xml:space="preserve">Zamboni, L., Mechoso, C.R., and Kucharski, F., 2010.</w:t>
      </w:r>
      <w:r>
        <w:t xml:space="preserve"> </w:t>
      </w:r>
      <w:hyperlink r:id="rId284">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285"/>
    <w:bookmarkEnd w:id="286"/>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69" Target="media/rId69.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110" Target="media/rId110.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23" Target="media/rId123.png" /><Relationship Type="http://schemas.openxmlformats.org/officeDocument/2006/relationships/image" Id="rId87" Target="media/rId87.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106" Target="media/rId106.png" /><Relationship Type="http://schemas.openxmlformats.org/officeDocument/2006/relationships/image" Id="rId120" Target="media/rId120.png" /><Relationship Type="http://schemas.openxmlformats.org/officeDocument/2006/relationships/image" Id="rId103" Target="media/rId103.png" /><Relationship Type="http://schemas.openxmlformats.org/officeDocument/2006/relationships/image" Id="rId116" Target="media/rId116.png" /><Relationship Type="http://schemas.openxmlformats.org/officeDocument/2006/relationships/image" Id="rId113" Target="media/rId113.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45" Target="https://doi.org/10.1002/2015JD024665" TargetMode="External" /><Relationship Type="http://schemas.openxmlformats.org/officeDocument/2006/relationships/hyperlink" Id="rId241" Target="https://doi.org/10.1002/2016GL069453" TargetMode="External" /><Relationship Type="http://schemas.openxmlformats.org/officeDocument/2006/relationships/hyperlink" Id="rId211" Target="https://doi.org/10.1002/grl.50500" TargetMode="External" /><Relationship Type="http://schemas.openxmlformats.org/officeDocument/2006/relationships/hyperlink" Id="rId193" Target="https://doi.org/10.1002/jgrd.50860" TargetMode="External" /><Relationship Type="http://schemas.openxmlformats.org/officeDocument/2006/relationships/hyperlink" Id="rId282" Target="https://doi.org/10.1002/joc.2336" TargetMode="External" /><Relationship Type="http://schemas.openxmlformats.org/officeDocument/2006/relationships/hyperlink" Id="rId237" Target="https://doi.org/10.1002/joc.3370110504" TargetMode="External" /><Relationship Type="http://schemas.openxmlformats.org/officeDocument/2006/relationships/hyperlink" Id="rId253" Target="https://doi.org/10.1002/joc.685" TargetMode="External" /><Relationship Type="http://schemas.openxmlformats.org/officeDocument/2006/relationships/hyperlink" Id="rId177" Target="https://doi.org/10.1002/qj.479" TargetMode="External" /><Relationship Type="http://schemas.openxmlformats.org/officeDocument/2006/relationships/hyperlink" Id="rId199" Target="https://doi.org/10.1002/wcc.652" TargetMode="External" /><Relationship Type="http://schemas.openxmlformats.org/officeDocument/2006/relationships/hyperlink" Id="rId201" Target="https://doi.org/10.1007/s00382-010-0905-0" TargetMode="External" /><Relationship Type="http://schemas.openxmlformats.org/officeDocument/2006/relationships/hyperlink" Id="rId189" Target="https://doi.org/10.1007/s00382-021-05896-5" TargetMode="External" /><Relationship Type="http://schemas.openxmlformats.org/officeDocument/2006/relationships/hyperlink" Id="rId213" Target="https://doi.org/10.1029/1999GL900003" TargetMode="External" /><Relationship Type="http://schemas.openxmlformats.org/officeDocument/2006/relationships/hyperlink" Id="rId191" Target="https://doi.org/10.1029/1999JD900234" TargetMode="External" /><Relationship Type="http://schemas.openxmlformats.org/officeDocument/2006/relationships/hyperlink" Id="rId179" Target="https://doi.org/10.1029/1999RG000073" TargetMode="External" /><Relationship Type="http://schemas.openxmlformats.org/officeDocument/2006/relationships/hyperlink" Id="rId173" Target="https://doi.org/10.1029/2001GL013564" TargetMode="External" /><Relationship Type="http://schemas.openxmlformats.org/officeDocument/2006/relationships/hyperlink" Id="rId247" Target="https://doi.org/10.1029/2004GL019952" TargetMode="External" /><Relationship Type="http://schemas.openxmlformats.org/officeDocument/2006/relationships/hyperlink" Id="rId259" Target="https://doi.org/10.1029/2004GL020365" TargetMode="External" /><Relationship Type="http://schemas.openxmlformats.org/officeDocument/2006/relationships/hyperlink" Id="rId207" Target="https://doi.org/10.1029/2005GL023640" TargetMode="External" /><Relationship Type="http://schemas.openxmlformats.org/officeDocument/2006/relationships/hyperlink" Id="rId209" Target="https://doi.org/10.1029/2006GL027721" TargetMode="External" /><Relationship Type="http://schemas.openxmlformats.org/officeDocument/2006/relationships/hyperlink" Id="rId195" Target="https://doi.org/10.1029/2006GL028045" TargetMode="External" /><Relationship Type="http://schemas.openxmlformats.org/officeDocument/2006/relationships/hyperlink" Id="rId280" Target="https://doi.org/10.1029/92JD02820" TargetMode="External" /><Relationship Type="http://schemas.openxmlformats.org/officeDocument/2006/relationships/hyperlink" Id="rId273" Target="https://doi.org/10.1029/94JD02395" TargetMode="External" /><Relationship Type="http://schemas.openxmlformats.org/officeDocument/2006/relationships/hyperlink" Id="rId267" Target="https://doi.org/10.1038/43854" TargetMode="External" /><Relationship Type="http://schemas.openxmlformats.org/officeDocument/2006/relationships/hyperlink" Id="rId187" Target="https://doi.org/10.1038/s43017-020-0040-3" TargetMode="External" /><Relationship Type="http://schemas.openxmlformats.org/officeDocument/2006/relationships/hyperlink" Id="rId215" Target="https://doi.org/10.1080/01431161.2010.541518" TargetMode="External" /><Relationship Type="http://schemas.openxmlformats.org/officeDocument/2006/relationships/hyperlink" Id="rId181" Target="https://doi.org/10.1080/07055900.1997.9649597" TargetMode="External" /><Relationship Type="http://schemas.openxmlformats.org/officeDocument/2006/relationships/hyperlink" Id="rId183" Target="https://doi.org/10.1111/j.2517-6161.1995.tb02031.x" TargetMode="External" /><Relationship Type="http://schemas.openxmlformats.org/officeDocument/2006/relationships/hyperlink" Id="rId175" Target="https://doi.org/10.1126/science.1063315" TargetMode="External" /><Relationship Type="http://schemas.openxmlformats.org/officeDocument/2006/relationships/hyperlink" Id="rId239" Target="https://doi.org/10.1175/1520-0442(1988)001&lt;1177:IVITSH&gt;2.0.CO;2" TargetMode="External" /><Relationship Type="http://schemas.openxmlformats.org/officeDocument/2006/relationships/hyperlink" Id="rId235" Target="https://doi.org/10.1175/1520-0442(1989)002&lt;1239:SHCFAW&gt;2.0.CO;2" TargetMode="External" /><Relationship Type="http://schemas.openxmlformats.org/officeDocument/2006/relationships/hyperlink" Id="rId249" Target="https://doi.org/10.1175/1520-0442(2000)013&lt;3599:RBLFVI&gt;2.0.CO;2" TargetMode="External" /><Relationship Type="http://schemas.openxmlformats.org/officeDocument/2006/relationships/hyperlink" Id="rId243" Target="https://doi.org/10.1175/1520-0442(2003)016&lt;4134:TITSAM&gt;2.0.CO;2" TargetMode="External" /><Relationship Type="http://schemas.openxmlformats.org/officeDocument/2006/relationships/hyperlink" Id="rId225" Target="https://doi.org/10.1175/1520-0450(1984)023&lt;1660:CPCATA&gt;2.0.CO;2" TargetMode="External" /><Relationship Type="http://schemas.openxmlformats.org/officeDocument/2006/relationships/hyperlink" Id="rId217" Target="https://doi.org/10.1175/1520-0469(1979)036&lt;0350:AMMOOT&gt;2.0.CO;2" TargetMode="External" /><Relationship Type="http://schemas.openxmlformats.org/officeDocument/2006/relationships/hyperlink" Id="rId251" Target="https://doi.org/10.1175/1520-0469(1987)044&lt;0877:SADOPA&gt;2.0.CO;2" TargetMode="External" /><Relationship Type="http://schemas.openxmlformats.org/officeDocument/2006/relationships/hyperlink" Id="rId261" Target="https://doi.org/10.1175/1520-0493(1982)110&lt;1375:SVOSLP&gt;2.0.CO;2" TargetMode="External" /><Relationship Type="http://schemas.openxmlformats.org/officeDocument/2006/relationships/hyperlink" Id="rId263" Target="https://doi.org/10.1175/1520-0493(1987)115&lt;2161:AEOTTS&gt;2.0.CO;2" TargetMode="External" /><Relationship Type="http://schemas.openxmlformats.org/officeDocument/2006/relationships/hyperlink" Id="rId233" Target="https://doi.org/10.1175/2008JCLI2309.1" TargetMode="External" /><Relationship Type="http://schemas.openxmlformats.org/officeDocument/2006/relationships/hyperlink" Id="rId229" Target="https://doi.org/10.1175/2009JCLI2785.1" TargetMode="External" /><Relationship Type="http://schemas.openxmlformats.org/officeDocument/2006/relationships/hyperlink" Id="rId271" Target="https://doi.org/10.1175/2009JCLI3036.1" TargetMode="External" /><Relationship Type="http://schemas.openxmlformats.org/officeDocument/2006/relationships/hyperlink" Id="rId284" Target="https://doi.org/10.1175/2009JCLI3129.1" TargetMode="External" /><Relationship Type="http://schemas.openxmlformats.org/officeDocument/2006/relationships/hyperlink" Id="rId185" Target="https://doi.org/10.1175/2011JCLI4129.1" TargetMode="External" /><Relationship Type="http://schemas.openxmlformats.org/officeDocument/2006/relationships/hyperlink" Id="rId278" Target="https://doi.org/10.1175/BAMS-D-15-00267.1" TargetMode="External" /><Relationship Type="http://schemas.openxmlformats.org/officeDocument/2006/relationships/hyperlink" Id="rId203" Target="https://doi.org/10.1175/JCLI-D-11-00474.1" TargetMode="External" /><Relationship Type="http://schemas.openxmlformats.org/officeDocument/2006/relationships/hyperlink" Id="rId221" Target="https://doi.org/10.1175/JCLI-D-13-00550.1" TargetMode="External" /><Relationship Type="http://schemas.openxmlformats.org/officeDocument/2006/relationships/hyperlink" Id="rId255" Target="https://doi.org/10.1175/JCLI-D-13-00733.1" TargetMode="External" /><Relationship Type="http://schemas.openxmlformats.org/officeDocument/2006/relationships/hyperlink" Id="rId257" Target="https://doi.org/10.1175/JCLI-D-14-00390.1" TargetMode="External" /><Relationship Type="http://schemas.openxmlformats.org/officeDocument/2006/relationships/hyperlink" Id="rId227" Target="https://doi.org/10.1175/JCLI-D-15-0843.1" TargetMode="External" /><Relationship Type="http://schemas.openxmlformats.org/officeDocument/2006/relationships/hyperlink" Id="rId231" Target="https://doi.org/10.1175/JCLI-D-18-0565.1" TargetMode="External" /><Relationship Type="http://schemas.openxmlformats.org/officeDocument/2006/relationships/hyperlink" Id="rId197" Target="https://doi.org/10.1175/JCLI3671.1" TargetMode="External" /><Relationship Type="http://schemas.openxmlformats.org/officeDocument/2006/relationships/hyperlink" Id="rId171" Target="https://doi.org/10.1175/JCLI3774.1" TargetMode="External" /><Relationship Type="http://schemas.openxmlformats.org/officeDocument/2006/relationships/hyperlink" Id="rId219" Target="https://doi.org/10.1175/JCLI4134.1" TargetMode="External" /><Relationship Type="http://schemas.openxmlformats.org/officeDocument/2006/relationships/hyperlink" Id="rId205" Target="https://doi.org/10.1175/JCLI4257.1" TargetMode="External" /><Relationship Type="http://schemas.openxmlformats.org/officeDocument/2006/relationships/hyperlink" Id="rId275" Target="https://doi.org/10.20937/ATM.52910" TargetMode="External" /><Relationship Type="http://schemas.openxmlformats.org/officeDocument/2006/relationships/hyperlink" Id="rId265" Target="https://doi.org/10.3390/atmos9110431" TargetMode="External" /><Relationship Type="http://schemas.openxmlformats.org/officeDocument/2006/relationships/hyperlink" Id="rId223"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163" Target="https://htmlpreview.github.io/?https://github.com/eliocamp/onda3/blob/master/35-cEOF-CMIP6-superensemble-SON.html" TargetMode="External" /><Relationship Type="http://schemas.openxmlformats.org/officeDocument/2006/relationships/hyperlink" Id="rId269"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45" Target="https://doi.org/10.1002/2015JD024665" TargetMode="External" /><Relationship Type="http://schemas.openxmlformats.org/officeDocument/2006/relationships/hyperlink" Id="rId241" Target="https://doi.org/10.1002/2016GL069453" TargetMode="External" /><Relationship Type="http://schemas.openxmlformats.org/officeDocument/2006/relationships/hyperlink" Id="rId211" Target="https://doi.org/10.1002/grl.50500" TargetMode="External" /><Relationship Type="http://schemas.openxmlformats.org/officeDocument/2006/relationships/hyperlink" Id="rId193" Target="https://doi.org/10.1002/jgrd.50860" TargetMode="External" /><Relationship Type="http://schemas.openxmlformats.org/officeDocument/2006/relationships/hyperlink" Id="rId282" Target="https://doi.org/10.1002/joc.2336" TargetMode="External" /><Relationship Type="http://schemas.openxmlformats.org/officeDocument/2006/relationships/hyperlink" Id="rId237" Target="https://doi.org/10.1002/joc.3370110504" TargetMode="External" /><Relationship Type="http://schemas.openxmlformats.org/officeDocument/2006/relationships/hyperlink" Id="rId253" Target="https://doi.org/10.1002/joc.685" TargetMode="External" /><Relationship Type="http://schemas.openxmlformats.org/officeDocument/2006/relationships/hyperlink" Id="rId177" Target="https://doi.org/10.1002/qj.479" TargetMode="External" /><Relationship Type="http://schemas.openxmlformats.org/officeDocument/2006/relationships/hyperlink" Id="rId199" Target="https://doi.org/10.1002/wcc.652" TargetMode="External" /><Relationship Type="http://schemas.openxmlformats.org/officeDocument/2006/relationships/hyperlink" Id="rId201" Target="https://doi.org/10.1007/s00382-010-0905-0" TargetMode="External" /><Relationship Type="http://schemas.openxmlformats.org/officeDocument/2006/relationships/hyperlink" Id="rId189" Target="https://doi.org/10.1007/s00382-021-05896-5" TargetMode="External" /><Relationship Type="http://schemas.openxmlformats.org/officeDocument/2006/relationships/hyperlink" Id="rId213" Target="https://doi.org/10.1029/1999GL900003" TargetMode="External" /><Relationship Type="http://schemas.openxmlformats.org/officeDocument/2006/relationships/hyperlink" Id="rId191" Target="https://doi.org/10.1029/1999JD900234" TargetMode="External" /><Relationship Type="http://schemas.openxmlformats.org/officeDocument/2006/relationships/hyperlink" Id="rId179" Target="https://doi.org/10.1029/1999RG000073" TargetMode="External" /><Relationship Type="http://schemas.openxmlformats.org/officeDocument/2006/relationships/hyperlink" Id="rId173" Target="https://doi.org/10.1029/2001GL013564" TargetMode="External" /><Relationship Type="http://schemas.openxmlformats.org/officeDocument/2006/relationships/hyperlink" Id="rId247" Target="https://doi.org/10.1029/2004GL019952" TargetMode="External" /><Relationship Type="http://schemas.openxmlformats.org/officeDocument/2006/relationships/hyperlink" Id="rId259" Target="https://doi.org/10.1029/2004GL020365" TargetMode="External" /><Relationship Type="http://schemas.openxmlformats.org/officeDocument/2006/relationships/hyperlink" Id="rId207" Target="https://doi.org/10.1029/2005GL023640" TargetMode="External" /><Relationship Type="http://schemas.openxmlformats.org/officeDocument/2006/relationships/hyperlink" Id="rId209" Target="https://doi.org/10.1029/2006GL027721" TargetMode="External" /><Relationship Type="http://schemas.openxmlformats.org/officeDocument/2006/relationships/hyperlink" Id="rId195" Target="https://doi.org/10.1029/2006GL028045" TargetMode="External" /><Relationship Type="http://schemas.openxmlformats.org/officeDocument/2006/relationships/hyperlink" Id="rId280" Target="https://doi.org/10.1029/92JD02820" TargetMode="External" /><Relationship Type="http://schemas.openxmlformats.org/officeDocument/2006/relationships/hyperlink" Id="rId273" Target="https://doi.org/10.1029/94JD02395" TargetMode="External" /><Relationship Type="http://schemas.openxmlformats.org/officeDocument/2006/relationships/hyperlink" Id="rId267" Target="https://doi.org/10.1038/43854" TargetMode="External" /><Relationship Type="http://schemas.openxmlformats.org/officeDocument/2006/relationships/hyperlink" Id="rId187" Target="https://doi.org/10.1038/s43017-020-0040-3" TargetMode="External" /><Relationship Type="http://schemas.openxmlformats.org/officeDocument/2006/relationships/hyperlink" Id="rId215" Target="https://doi.org/10.1080/01431161.2010.541518" TargetMode="External" /><Relationship Type="http://schemas.openxmlformats.org/officeDocument/2006/relationships/hyperlink" Id="rId181" Target="https://doi.org/10.1080/07055900.1997.9649597" TargetMode="External" /><Relationship Type="http://schemas.openxmlformats.org/officeDocument/2006/relationships/hyperlink" Id="rId183" Target="https://doi.org/10.1111/j.2517-6161.1995.tb02031.x" TargetMode="External" /><Relationship Type="http://schemas.openxmlformats.org/officeDocument/2006/relationships/hyperlink" Id="rId175" Target="https://doi.org/10.1126/science.1063315" TargetMode="External" /><Relationship Type="http://schemas.openxmlformats.org/officeDocument/2006/relationships/hyperlink" Id="rId239" Target="https://doi.org/10.1175/1520-0442(1988)001&lt;1177:IVITSH&gt;2.0.CO;2" TargetMode="External" /><Relationship Type="http://schemas.openxmlformats.org/officeDocument/2006/relationships/hyperlink" Id="rId235" Target="https://doi.org/10.1175/1520-0442(1989)002&lt;1239:SHCFAW&gt;2.0.CO;2" TargetMode="External" /><Relationship Type="http://schemas.openxmlformats.org/officeDocument/2006/relationships/hyperlink" Id="rId249" Target="https://doi.org/10.1175/1520-0442(2000)013&lt;3599:RBLFVI&gt;2.0.CO;2" TargetMode="External" /><Relationship Type="http://schemas.openxmlformats.org/officeDocument/2006/relationships/hyperlink" Id="rId243" Target="https://doi.org/10.1175/1520-0442(2003)016&lt;4134:TITSAM&gt;2.0.CO;2" TargetMode="External" /><Relationship Type="http://schemas.openxmlformats.org/officeDocument/2006/relationships/hyperlink" Id="rId225" Target="https://doi.org/10.1175/1520-0450(1984)023&lt;1660:CPCATA&gt;2.0.CO;2" TargetMode="External" /><Relationship Type="http://schemas.openxmlformats.org/officeDocument/2006/relationships/hyperlink" Id="rId217" Target="https://doi.org/10.1175/1520-0469(1979)036&lt;0350:AMMOOT&gt;2.0.CO;2" TargetMode="External" /><Relationship Type="http://schemas.openxmlformats.org/officeDocument/2006/relationships/hyperlink" Id="rId251" Target="https://doi.org/10.1175/1520-0469(1987)044&lt;0877:SADOPA&gt;2.0.CO;2" TargetMode="External" /><Relationship Type="http://schemas.openxmlformats.org/officeDocument/2006/relationships/hyperlink" Id="rId261" Target="https://doi.org/10.1175/1520-0493(1982)110&lt;1375:SVOSLP&gt;2.0.CO;2" TargetMode="External" /><Relationship Type="http://schemas.openxmlformats.org/officeDocument/2006/relationships/hyperlink" Id="rId263" Target="https://doi.org/10.1175/1520-0493(1987)115&lt;2161:AEOTTS&gt;2.0.CO;2" TargetMode="External" /><Relationship Type="http://schemas.openxmlformats.org/officeDocument/2006/relationships/hyperlink" Id="rId233" Target="https://doi.org/10.1175/2008JCLI2309.1" TargetMode="External" /><Relationship Type="http://schemas.openxmlformats.org/officeDocument/2006/relationships/hyperlink" Id="rId229" Target="https://doi.org/10.1175/2009JCLI2785.1" TargetMode="External" /><Relationship Type="http://schemas.openxmlformats.org/officeDocument/2006/relationships/hyperlink" Id="rId271" Target="https://doi.org/10.1175/2009JCLI3036.1" TargetMode="External" /><Relationship Type="http://schemas.openxmlformats.org/officeDocument/2006/relationships/hyperlink" Id="rId284" Target="https://doi.org/10.1175/2009JCLI3129.1" TargetMode="External" /><Relationship Type="http://schemas.openxmlformats.org/officeDocument/2006/relationships/hyperlink" Id="rId185" Target="https://doi.org/10.1175/2011JCLI4129.1" TargetMode="External" /><Relationship Type="http://schemas.openxmlformats.org/officeDocument/2006/relationships/hyperlink" Id="rId278" Target="https://doi.org/10.1175/BAMS-D-15-00267.1" TargetMode="External" /><Relationship Type="http://schemas.openxmlformats.org/officeDocument/2006/relationships/hyperlink" Id="rId203" Target="https://doi.org/10.1175/JCLI-D-11-00474.1" TargetMode="External" /><Relationship Type="http://schemas.openxmlformats.org/officeDocument/2006/relationships/hyperlink" Id="rId221" Target="https://doi.org/10.1175/JCLI-D-13-00550.1" TargetMode="External" /><Relationship Type="http://schemas.openxmlformats.org/officeDocument/2006/relationships/hyperlink" Id="rId255" Target="https://doi.org/10.1175/JCLI-D-13-00733.1" TargetMode="External" /><Relationship Type="http://schemas.openxmlformats.org/officeDocument/2006/relationships/hyperlink" Id="rId257" Target="https://doi.org/10.1175/JCLI-D-14-00390.1" TargetMode="External" /><Relationship Type="http://schemas.openxmlformats.org/officeDocument/2006/relationships/hyperlink" Id="rId227" Target="https://doi.org/10.1175/JCLI-D-15-0843.1" TargetMode="External" /><Relationship Type="http://schemas.openxmlformats.org/officeDocument/2006/relationships/hyperlink" Id="rId231" Target="https://doi.org/10.1175/JCLI-D-18-0565.1" TargetMode="External" /><Relationship Type="http://schemas.openxmlformats.org/officeDocument/2006/relationships/hyperlink" Id="rId197" Target="https://doi.org/10.1175/JCLI3671.1" TargetMode="External" /><Relationship Type="http://schemas.openxmlformats.org/officeDocument/2006/relationships/hyperlink" Id="rId171" Target="https://doi.org/10.1175/JCLI3774.1" TargetMode="External" /><Relationship Type="http://schemas.openxmlformats.org/officeDocument/2006/relationships/hyperlink" Id="rId219" Target="https://doi.org/10.1175/JCLI4134.1" TargetMode="External" /><Relationship Type="http://schemas.openxmlformats.org/officeDocument/2006/relationships/hyperlink" Id="rId205" Target="https://doi.org/10.1175/JCLI4257.1" TargetMode="External" /><Relationship Type="http://schemas.openxmlformats.org/officeDocument/2006/relationships/hyperlink" Id="rId275" Target="https://doi.org/10.20937/ATM.52910" TargetMode="External" /><Relationship Type="http://schemas.openxmlformats.org/officeDocument/2006/relationships/hyperlink" Id="rId265" Target="https://doi.org/10.3390/atmos9110431" TargetMode="External" /><Relationship Type="http://schemas.openxmlformats.org/officeDocument/2006/relationships/hyperlink" Id="rId223"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163" Target="https://htmlpreview.github.io/?https://github.com/eliocamp/onda3/blob/master/35-cEOF-CMIP6-superensemble-SON.html" TargetMode="External" /><Relationship Type="http://schemas.openxmlformats.org/officeDocument/2006/relationships/hyperlink" Id="rId269"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2023-05-03T20:07:24Z</dcterms:created>
  <dcterms:modified xsi:type="dcterms:W3CDTF">2023-05-03T20:07:24Z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BUENOS AIRES, 2023</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 preview = TRUE)</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