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200" w:after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200" w:after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200" w:after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200" w:after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200" w:after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ReviewHub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86AB"/>
          <w:sz w:val="36"/>
          <w:szCs w:val="36"/>
        </w:rPr>
        <w:t xml:space="preserve">ניתוח פערי ציות משפטי — Legal Compliance Gap Analysis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</w:tblGrid>
      <w:tr>
        <w:tc>
          <w:tcPr>
            <w:tcW w:type="dxa" w:w="5760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E8F4FD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השוואה לסטנדרטים ישראליים בתעשייה: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Easy.co.il  ·  D.co.il  ·  Zap.co.il  ·  ZapGroup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מסמך: מרץ 2026  |  סודי — לשימוש פנימי בלבד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200" w:after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200" w:after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200" w:after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הוכן ע"י: Claude — Legal-Tech &amp; Systems Architect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ReviewHub בע"מ  ·  legal@reviewshub.info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A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סיכום מנהלים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מסמך זה בוחן את התשתית המשפטית של ReviewHub ומשווה אותה לסטנדרטים הנהוגים בפלטפורמות הביקורות והמסחר הישראליות המובילות (Easy.co.il, D.co.il, Zap.co.il, ZapGroup). הניתוח נערך בהתאם לחוקים הישראליים הרלוונטיים ולתקנות ה-GDPR האירופאיות.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ממצא עיקרי: ReviewHub מציגה תשתית משפטית מרשימה ביחס לגודלה ולשלב ההתפתחות שלה. 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רוב הדרישות החוקיות מולאו — בעיקר בתחומי Safe Harbor, Notice &amp; Takedown, פרטיות, אבטחה, הגנת הצרכן ודיוור ישיר. זוהו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3 פערים מהותיים: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(1) מדיניות עוגיות, (2) מסמך DPA ל-B2B, (3) מספר ח.פ. — שיש לטפל בהם בטווח הקצר.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rPr>
          <w:tblHeader/>
        </w:trPr>
        <w:tc>
          <w:tcPr>
            <w:tcW w:type="dxa" w:w="468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תחום</w:t>
            </w:r>
          </w:p>
        </w:tc>
        <w:tc>
          <w:tcPr>
            <w:tcW w:type="dxa" w:w="15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  <w:tc>
          <w:tcPr>
            <w:tcW w:type="dxa" w:w="15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דחיפות</w:t>
            </w:r>
          </w:p>
        </w:tc>
        <w:tc>
          <w:tcPr>
            <w:tcW w:type="dxa" w:w="15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מאמץ</w:t>
            </w:r>
          </w:p>
        </w:tc>
      </w:tr>
      <w:tr>
        <w:tc>
          <w:tcPr>
            <w:tcW w:type="dxa" w:w="468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Safe Harbor ואחריות פלטפורמה</w:t>
            </w:r>
          </w:p>
        </w:tc>
        <w:tc>
          <w:tcPr>
            <w:tcW w:type="dxa" w:w="156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עומד בדרישות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הליך Notice &amp; Takedown</w:t>
            </w:r>
          </w:p>
        </w:tc>
        <w:tc>
          <w:tcPr>
            <w:tcW w:type="dxa" w:w="156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עומד בדרישות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מדיניות פרטיות (Data Privacy)</w:t>
            </w:r>
          </w:p>
        </w:tc>
        <w:tc>
          <w:tcPr>
            <w:tcW w:type="dxa" w:w="156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עומד בדרישות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מדיניות עוגיות (Cookie Policy)</w:t>
            </w:r>
          </w:p>
        </w:tc>
        <w:tc>
          <w:tcPr>
            <w:tcW w:type="dxa" w:w="156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חסר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גבוה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1–4 שעות</w:t>
            </w:r>
          </w:p>
        </w:tc>
      </w:tr>
      <w:tr>
        <w:tc>
          <w:tcPr>
            <w:tcW w:type="dxa" w:w="468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הנגשה (Accessibility)</w:t>
            </w:r>
          </w:p>
        </w:tc>
        <w:tc>
          <w:tcPr>
            <w:tcW w:type="dxa" w:w="1560"/>
            <w:tcBorders>
              <w:top w:val="single" w:color="F39C12" w:sz="6"/>
              <w:left w:val="single" w:color="F39C12" w:sz="6"/>
              <w:bottom w:val="single" w:color="F39C12" w:sz="6"/>
              <w:right w:val="single" w:color="F39C12" w:sz="6"/>
            </w:tcBorders>
            <w:shd w:fill="F39C1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חלקי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הגנת הצרכן וביטול עסקה</w:t>
            </w:r>
          </w:p>
        </w:tc>
        <w:tc>
          <w:tcPr>
            <w:tcW w:type="dxa" w:w="156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עומד בדרישות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דיוור ישיר ואיסור ספאם</w:t>
            </w:r>
          </w:p>
        </w:tc>
        <w:tc>
          <w:tcPr>
            <w:tcW w:type="dxa" w:w="156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עומד בדרישות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אבטחת מידע</w:t>
            </w:r>
          </w:p>
        </w:tc>
        <w:tc>
          <w:tcPr>
            <w:tcW w:type="dxa" w:w="156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עומד בדרישות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זכויות יוצרים (DMCA / IP)</w:t>
            </w:r>
          </w:p>
        </w:tc>
        <w:tc>
          <w:tcPr>
            <w:tcW w:type="dxa" w:w="156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עומד בדרישות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רישום החברה ופרטים מזהים</w:t>
            </w:r>
          </w:p>
        </w:tc>
        <w:tc>
          <w:tcPr>
            <w:tcW w:type="dxa" w:w="156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חסר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גבוה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1–4 שעות</w:t>
            </w:r>
          </w:p>
        </w:tc>
      </w:tr>
      <w:tr>
        <w:tc>
          <w:tcPr>
            <w:tcW w:type="dxa" w:w="468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תנאי שימוש לבוטים / Scraping / AI Training</w:t>
            </w:r>
          </w:p>
        </w:tc>
        <w:tc>
          <w:tcPr>
            <w:tcW w:type="dxa" w:w="156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עומד בדרישות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הסכם עיבוד נתונים (DPA) ל-B2B</w:t>
            </w:r>
          </w:p>
        </w:tc>
        <w:tc>
          <w:tcPr>
            <w:tcW w:type="dxa" w:w="156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חסר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גבוה</w:t>
            </w:r>
          </w:p>
        </w:tc>
        <w:tc>
          <w:tcPr>
            <w:tcW w:type="dxa" w:w="15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1–4 שעות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4500"/>
      </w:tblGrid>
      <w:tr>
        <w:tc>
          <w:tcPr>
            <w:tcW w:type="dxa" w:w="162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עומד בדרישות</w:t>
            </w:r>
          </w:p>
        </w:tc>
        <w:tc>
          <w:tcPr>
            <w:tcW w:type="dxa" w:w="1620"/>
            <w:tcBorders>
              <w:top w:val="single" w:color="F39C12" w:sz="6"/>
              <w:left w:val="single" w:color="F39C12" w:sz="6"/>
              <w:bottom w:val="single" w:color="F39C12" w:sz="6"/>
              <w:right w:val="single" w:color="F39C12" w:sz="6"/>
            </w:tcBorders>
            <w:shd w:fill="F39C1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חלקי</w:t>
            </w:r>
          </w:p>
        </w:tc>
        <w:tc>
          <w:tcPr>
            <w:tcW w:type="dxa" w:w="162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חסר</w:t>
            </w:r>
          </w:p>
        </w:tc>
        <w:tc>
          <w:tcPr>
            <w:tcW w:type="dxa" w:w="4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מקרא — 9 ✅  |  2 ⚠️  |  3 ❌  (מתוך 12 קטגוריות)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מתודולוגיה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מקורות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ReviewHub: עיון ישיר בקבצי קוד המקור (src/pages/TermsAndConditions.tsx, src/pages/PrivacyPolicy.tsx, src/pages/legal/TermsOfUse.tsx, src/pages/legal/PrivacyPolicy.tsx) ובמיגרציות SQL.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מתחרים: ניתוח פרסומים ידועים ומתועדים של Easy.co.il (הצהרת נגישות ומדיניות פרטיות), D.co.il (תנאי שימוש), Zap.co.il (FAQ ביקורות), ZapGroup (מדיניות פרטיות) — בהתבסס על ידע מקצועי מעודכן.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מסגרת משפטית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חוק איסור לשון הרע, התשכ"ה-1965 — Safe Harbor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חוק הגנת הפרטיות, התשמ"א-1981 + תיקון 13 (2023)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תקנות הגנת הפרטיות (אבטחת מידע), התשע"ז-2017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חוק הגנת הצרכן, התשמ"א-1981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חוק התקשורת (בזק ושידורים), התשמ"ב-1982 — חוק הספאם + עוגיות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חוק המחשבים, התשנ"ה-1995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תקנות שוויון זכויות לאנשים עם מוגבלות (התאמות נגישות), התשע"ג-2013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GDPR Regulation (EU) 2016/679 — Art. 6, 13, 14, 22, 27, 28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EU Digital Services Act (DSA) 2022 — Art. 6, 16, 17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סולם דירוג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✅ עומד בדרישות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הדרישה ממולאת ברמה שוות-ערך לתחרות ולחוק.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⚠️ חלקי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קיים פתרון חלקי אך חסרים רכיבים קריטיים.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❌ חסר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הדרישה אינה מולאת כלל; נדרשת פעולה מיידית.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ניתוח פערים מפורט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A. Safe Harbor ואחריות פלטפורמה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20"/>
              <w:bottom w:val="single" w:color="2E86AB" w:sz="6"/>
              <w:right w:val="single" w:color="2E86AB" w:sz="6"/>
            </w:tcBorders>
            <w:shd w:fill="ED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חוק / תקנה: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חוק איסור לשון הרע התשכ"ה-1965, סעיף 15; EU DSA Art. 6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ReviewHub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מוגדר במפורש בתנאי שימוש + מרכיב Safe Harbor ייחודי. 5 עקרונות Safe Harbor. הליך Notice &amp; Takedown מפורט.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מתחרים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Easy.co.il: הצהרת פלטפורמה ניטרלית. D.co.il: הגבלת אחריות כללית. Zap: Safe Harbor בסיסי ב-FAQ.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סטטוס</w:t>
            </w:r>
          </w:p>
        </w:tc>
        <w:tc>
          <w:tcPr>
            <w:tcW w:type="dxa" w:w="720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עומד בדרישות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פערים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המלצה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שמירה על הגדרה. הוספת הפניה מפורשת ל-EU DSA Article 6 בגרסה האנגלית.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B. הליך Notice &amp; Takedown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20"/>
              <w:bottom w:val="single" w:color="2E86AB" w:sz="6"/>
              <w:right w:val="single" w:color="2E86AB" w:sz="6"/>
            </w:tcBorders>
            <w:shd w:fill="ED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חוק / תקנה: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חוק איסור לשון הרע סעיף 15(8); EU DSA Art. 16-17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ReviewHub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 שלבים מוגדרים. 72 שעות בדיקה ראשונית. 7 ימי תגובה לכותב. מנגנון ערעור חדש (DisputePortal + Evidence Engine).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מתחרים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Easy: 72h SLA, אפשרות ערעור לבית משפט. Zap: הסרה + מענה לדוא"ל בלבד. D.co.il: שאלות ייצוגיות + form.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סטטוס</w:t>
            </w:r>
          </w:p>
        </w:tc>
        <w:tc>
          <w:tcPr>
            <w:tcW w:type="dxa" w:w="720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עומד בדרישות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פערים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ה-DSA דורש פרסום 'מספר ממוצע של דיווחים' ו-'שיעורי הסרה' שנתיים (אם &gt; 45M משתמשים EU — לא רלוונטי עכשיו).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המלצה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להוסיף קישור ל-"יומן הדיווחים הציבורי" בתנאי שימוש. לבדוק DSA applicability ב-2026.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C. מדיניות פרטיות (Data Privacy)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20"/>
              <w:bottom w:val="single" w:color="2E86AB" w:sz="6"/>
              <w:right w:val="single" w:color="2E86AB" w:sz="6"/>
            </w:tcBorders>
            <w:shd w:fill="ED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חוק / תקנה: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חוק הגנת הפרטיות התשמ"א-1981; תקנות אבטחת מידע 2017; GDPR Art. 13/14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ReviewHub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סעיפים מלאים. בסיס GDPR Art. 6 מפורט. זכויות Art. 15-21 מפורטות. מחיקה 30 יום. IP מחיקה 90 יום.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מתחרים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Easy: מדיניות GDPR + ישראלי. ZapGroup: מדיניות נפרדת לאפליקציה. D.co.il: מדיניות בסיסית.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סטטוס</w:t>
            </w:r>
          </w:p>
        </w:tc>
        <w:tc>
          <w:tcPr>
            <w:tcW w:type="dxa" w:w="720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עומד בדרישות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פערים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חסרה: (1) טבלת עוגיות מפורטת. (2) EU Representative / DPO לפי GDPR Art. 27. (3) Transfer Impact Assessment לסינגפור. (4) תיאור GDPR Art. 22 (automated decisions).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המלצה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להוסיף 4 סעיפים חדשים — ראו נוסח מוצע בפרק 6.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D. מדיניות עוגיות (Cookie Policy)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20"/>
              <w:bottom w:val="single" w:color="2E86AB" w:sz="6"/>
              <w:right w:val="single" w:color="2E86AB" w:sz="6"/>
            </w:tcBorders>
            <w:shd w:fill="ED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חוק / תקנה: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חוק התקשורת (בזק ושידורים) התשמ"ב-1982 סעיף 30א; GDPR Art. 7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ReviewHub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CookieConsentBanner קיים בקוד. אין עמוד/דף מדיניות עוגיות עצמאי עם טבלת קטגוריות.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מתחרים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Easy: עמוד עוגיות נפרד עם טבלה (שם עוגיה, מטרה, תוקף, ספק). ZapGroup: ניהול הסכמות מלא.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סטטוס</w:t>
            </w:r>
          </w:p>
        </w:tc>
        <w:tc>
          <w:tcPr>
            <w:tcW w:type="dxa" w:w="72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חסר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פערים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אין עמוד /cookies עם: (1) טבלת כל העוגיות. (2) הסבר על ספקי עוגיות של צד שלישי. (3) אופציית opt-out לכל קטגוריה.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המלצה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ליצור עמוד Cookie Policy עם טבלה. לחבר ל-CookieConsentBanner. ראו נוסח בפרק 6.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E. הנגשה (Accessibility)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20"/>
              <w:bottom w:val="single" w:color="2E86AB" w:sz="6"/>
              <w:right w:val="single" w:color="2E86AB" w:sz="6"/>
            </w:tcBorders>
            <w:shd w:fill="ED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חוק / תקנה: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תקנות שוויון זכויות לאנשים עם מוגבלות (התאמות נגישות לשירות) התשע"ג-2013; WCAG 2.1 AA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ReviewHub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עמוד Accessibility קיים בקוד (/accessibility).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מתחרים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Easy: הצהרת נגישות עם תאריך בדיקה, רמת WCAG, ואיש קשר נגישות. D.co.il: כפתור נגישות + הצהרה.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סטטוס</w:t>
            </w:r>
          </w:p>
        </w:tc>
        <w:tc>
          <w:tcPr>
            <w:tcW w:type="dxa" w:w="7200"/>
            <w:tcBorders>
              <w:top w:val="single" w:color="F39C12" w:sz="6"/>
              <w:left w:val="single" w:color="F39C12" w:sz="6"/>
              <w:bottom w:val="single" w:color="F39C12" w:sz="6"/>
              <w:right w:val="single" w:color="F39C12" w:sz="6"/>
            </w:tcBorders>
            <w:shd w:fill="F39C1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חלקי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פערים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לא ניתן לבדוק תוכן הדף מבחינה טכנית. הצהרת נגישות ישראלית חייבת לכלול: תאריך בדיקה, רמת עמידה (AA/AAA), פירוט חסמים ידועים, ופרטי איש קשר נגישות.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המלצה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לוודא שהדף כולל את כל הרכיבים החובה. ראו עדכון מוצע בפרק 6.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F. הגנת הצרכן וביטול עסקה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20"/>
              <w:bottom w:val="single" w:color="2E86AB" w:sz="6"/>
              <w:right w:val="single" w:color="2E86AB" w:sz="6"/>
            </w:tcBorders>
            <w:shd w:fill="ED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חוק / תקנה: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חוק הגנת הצרכן התשמ"א-1981 סעיף 14ג; תקנות הגנת הצרכן (ביטול עסקה) התשע"א-2010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ReviewHub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14 ימי ביטול מפורש. דמי ביטול 5% / 100 ₪. Pro Rata לאחר שימוש. מדיניות ביטולים נפרדת (/refund-policy).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מתחרים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Easy: 14 ימים, ללא ביטול לאחר שימוש. Zap: פרטי ביטול לפי קטגוריה. D.co.il: ביטול לפי חוק.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סטטוס</w:t>
            </w:r>
          </w:p>
        </w:tc>
        <w:tc>
          <w:tcPr>
            <w:tcW w:type="dxa" w:w="720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עומד בדרישות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פערים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המלצה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שמירה על מבנה קיים.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G. דיוור ישיר ואיסור ספאם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20"/>
              <w:bottom w:val="single" w:color="2E86AB" w:sz="6"/>
              <w:right w:val="single" w:color="2E86AB" w:sz="6"/>
            </w:tcBorders>
            <w:shd w:fill="ED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חוק / תקנה: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חוק התקשורת (בזק ושידורים) התשמ"ב-1982 סעיף 30א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ReviewHub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סעיף מלא. Opt-in מפורש. Opt-out בלחיצה אחת. 3 ימי ביצוע. הפרדת הזמנות ביקורת.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מתחרים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Easy: ניהול הרשמות, opt-out מידי. Zap: ניהול ב-My Account. D.co.il: opt-out בדוא"ל.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סטטוס</w:t>
            </w:r>
          </w:p>
        </w:tc>
        <w:tc>
          <w:tcPr>
            <w:tcW w:type="dxa" w:w="720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עומד בדרישות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פערים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המלצה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שמירה על מבנה קיים.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H. אבטחת מידע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20"/>
              <w:bottom w:val="single" w:color="2E86AB" w:sz="6"/>
              <w:right w:val="single" w:color="2E86AB" w:sz="6"/>
            </w:tcBorders>
            <w:shd w:fill="ED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חוק / תקנה: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תקנות הגנת הפרטיות (אבטחת מידע) התשע"ז-2017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ReviewHub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TLS 1.3, AES-256, bcrypt, RLS, RBAC, גיבויים יומיים, הודעת פרצה תוך 72h.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מתחרים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Easy: ISO 27001 reference. ZapGroup: אמצעי אבטחה כלליים. D.co.il: PCI-DSS לתשלומים.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סטטוס</w:t>
            </w:r>
          </w:p>
        </w:tc>
        <w:tc>
          <w:tcPr>
            <w:tcW w:type="dxa" w:w="720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עומד בדרישות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פערים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אין אזכור של רישום מאגר מידע ברשות (חוק הגנת הפרטיות מחייב רישום מאגרים מסוג מסוים).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המלצה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לבדוק חובת רישום מאגר מידע לפי סעיף 8 לחוק + תקנות. להוסיף אזכור בתנאים אם רלוונטי.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I. זכויות יוצרים (DMCA / 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20"/>
              <w:bottom w:val="single" w:color="2E86AB" w:sz="6"/>
              <w:right w:val="single" w:color="2E86AB" w:sz="6"/>
            </w:tcBorders>
            <w:shd w:fill="ED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חוק / תקנה: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חוק זכות יוצרים התשס"ח-2007; DMCA §512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ReviewHub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סעיף הסרת תוכן מפר מלא. 6 פרטים חובה. מענה תוך 7 ימי עסקים.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מתחרים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Easy: DMCA-style form. Zap: פנייה לדוא"ל בלבד. D.co.il: סעיף IP בתנאים.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סטטוס</w:t>
            </w:r>
          </w:p>
        </w:tc>
        <w:tc>
          <w:tcPr>
            <w:tcW w:type="dxa" w:w="720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עומד בדרישות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פערים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המלצה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שמירה. לשקול הוספת Counter-Notice procedure.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J. רישום החברה ופרטים מזהים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20"/>
              <w:bottom w:val="single" w:color="2E86AB" w:sz="6"/>
              <w:right w:val="single" w:color="2E86AB" w:sz="6"/>
            </w:tcBorders>
            <w:shd w:fill="ED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חוק / תקנה: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חוק החברות התשנ"ט-1999 סעיף 350; חוק הגנת הצרכן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ReviewHub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מצוין 'ReviewHub בע"מ, תל אביב'. חסר מספר חברה (ח.פ.).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מתחרים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Easy: ח.פ. + כתובת מדויקת. ZapGroup: כל פרטי החברה. D.co.il: ח.פ. בתנאים.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סטטוס</w:t>
            </w:r>
          </w:p>
        </w:tc>
        <w:tc>
          <w:tcPr>
            <w:tcW w:type="dxa" w:w="72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חסר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פערים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חסר מספר ח.פ. (חובה לפי חוק החברות). חסרה כתובת פיזית מלאה לצרכי תביעה.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המלצה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להוסיף מספר ח.פ. וכתובת מדויקת לכל עמודי Legal. ראו נוסח בפרק 6.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K. תנאי שימוש לבוטים / Scraping / AI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20"/>
              <w:bottom w:val="single" w:color="2E86AB" w:sz="6"/>
              <w:right w:val="single" w:color="2E86AB" w:sz="6"/>
            </w:tcBorders>
            <w:shd w:fill="ED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חוק / תקנה: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חוק עוולות מסחריות התשנ"ט-1999; CFAA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ReviewHub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איסור מפורש על גרידת נתונים ואימון AI בתנאים.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מתחרים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Easy: robots.txt + תנאים. Zap: robots.txt + חסימה טכנית. D.co.il: איסור בתנאים.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סטטוס</w:t>
            </w:r>
          </w:p>
        </w:tc>
        <w:tc>
          <w:tcPr>
            <w:tcW w:type="dxa" w:w="720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עומד בדרישות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פערים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המלצה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לוודא שיש robots.txt תואם ב-/public.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L. הסכם עיבוד נתונים (DPA) ל-B2B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20"/>
              <w:bottom w:val="single" w:color="2E86AB" w:sz="6"/>
              <w:right w:val="single" w:color="2E86AB" w:sz="6"/>
            </w:tcBorders>
            <w:shd w:fill="ED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חוק / תקנה: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GDPR Art. 28; חוק הגנת הפרטיות סעיף 16ב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ReviewHub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DPA אוזכר בתנאים בקצרה ('כפוף להסכם עיבוד נתונים'). אין מסמך DPA ייעודי נגיש.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מתחרים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Easy: DPA מלא להורדה. Zap: DPA עבור מפרסמים. D.co.il: DPA ב-B2B agreements.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סטטוס</w:t>
            </w:r>
          </w:p>
        </w:tc>
        <w:tc>
          <w:tcPr>
            <w:tcW w:type="dxa" w:w="72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חסר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פערים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בעלי עסקים המשתמשים בפלטפורמה הם 'מעבדי נתונים' / 'בעלי מאגרים' ונדרש DPA מלא לפי GDPR Art. 28 וחוק ישראלי.</w:t>
            </w:r>
          </w:p>
        </w:tc>
      </w:tr>
      <w:tr>
        <w:tc>
          <w:tcPr>
            <w:tcW w:type="dxa" w:w="21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EAF7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המלצה</w:t>
            </w:r>
          </w:p>
        </w:tc>
        <w:tc>
          <w:tcPr>
            <w:tcW w:type="dxa" w:w="72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ליצור מסמך DPA ייעודי זמין להורדה ב-/legal/dpa. ראו קווי מתאר בפרק 6.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מטריצת עדיפויות — Action Plan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הטבלה הבאה מסכמת את כל הפעולות המומלצות לפי עדיפות: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40"/>
        <w:gridCol w:w="1260"/>
        <w:gridCol w:w="1260"/>
      </w:tblGrid>
      <w:tr>
        <w:trPr>
          <w:tblHeader/>
        </w:trPr>
        <w:tc>
          <w:tcPr>
            <w:tcW w:type="dxa" w:w="27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414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</w:t>
            </w:r>
          </w:p>
        </w:tc>
        <w:tc>
          <w:tcPr>
            <w:tcW w:type="dxa" w:w="12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מאמץ</w:t>
            </w:r>
          </w:p>
        </w:tc>
        <w:tc>
          <w:tcPr>
            <w:tcW w:type="dxa" w:w="126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השפעה</w:t>
            </w:r>
          </w:p>
        </w:tc>
      </w:tr>
      <w:tr>
        <w:tc>
          <w:tcPr>
            <w:tcW w:type="dxa" w:w="27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🔴 דחוף — חוקי</w:t>
            </w:r>
          </w:p>
        </w:tc>
        <w:tc>
          <w:tcPr>
            <w:tcW w:type="dxa" w:w="414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הוספת מספר ח.פ. לכל עמודי Legal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נמוך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חוקי</w:t>
            </w:r>
          </w:p>
        </w:tc>
      </w:tr>
      <w:tr>
        <w:tc>
          <w:tcPr>
            <w:tcW w:type="dxa" w:w="27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🔴 דחוף — חוקי</w:t>
            </w:r>
          </w:p>
        </w:tc>
        <w:tc>
          <w:tcPr>
            <w:tcW w:type="dxa" w:w="414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יצירת עמוד Cookie Policy עם טבלת עוגיות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GDPR + חוק ישראלי</w:t>
            </w:r>
          </w:p>
        </w:tc>
      </w:tr>
      <w:tr>
        <w:tc>
          <w:tcPr>
            <w:tcW w:type="dxa" w:w="27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🔴 דחוף — חוקי</w:t>
            </w:r>
          </w:p>
        </w:tc>
        <w:tc>
          <w:tcPr>
            <w:tcW w:type="dxa" w:w="414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יצירת מסמך DPA ייעודי ל-B2B לקוחות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גבוה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GDPR Art. 28</w:t>
            </w:r>
          </w:p>
        </w:tc>
      </w:tr>
      <w:tr>
        <w:tc>
          <w:tcPr>
            <w:tcW w:type="dxa" w:w="27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🟡 חשוב — ביטחון משפטי</w:t>
            </w:r>
          </w:p>
        </w:tc>
        <w:tc>
          <w:tcPr>
            <w:tcW w:type="dxa" w:w="414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הוספת EU Representative / DPO Contact לפרטיות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נמוך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GDPR Art. 27</w:t>
            </w:r>
          </w:p>
        </w:tc>
      </w:tr>
      <w:tr>
        <w:tc>
          <w:tcPr>
            <w:tcW w:type="dxa" w:w="27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🟡 חשוב — ביטחון משפטי</w:t>
            </w:r>
          </w:p>
        </w:tc>
        <w:tc>
          <w:tcPr>
            <w:tcW w:type="dxa" w:w="414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בדיקת תוכן דף הנגישות + עדכון לפי תבנית ישראלית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חוק נגישות</w:t>
            </w:r>
          </w:p>
        </w:tc>
      </w:tr>
      <w:tr>
        <w:tc>
          <w:tcPr>
            <w:tcW w:type="dxa" w:w="27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🟡 חשוב — ביטחון משפטי</w:t>
            </w:r>
          </w:p>
        </w:tc>
        <w:tc>
          <w:tcPr>
            <w:tcW w:type="dxa" w:w="414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הוספת Transfer Impact Assessment (Supabase → Singapore)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גבוה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GDPR Ch. 5</w:t>
            </w:r>
          </w:p>
        </w:tc>
      </w:tr>
      <w:tr>
        <w:tc>
          <w:tcPr>
            <w:tcW w:type="dxa" w:w="27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🟡 חשוב — ביטחון משפטי</w:t>
            </w:r>
          </w:p>
        </w:tc>
        <w:tc>
          <w:tcPr>
            <w:tcW w:type="dxa" w:w="414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הוספת GDPR Art. 22 (automated decisions) בפרטיות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נמוך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GDPR</w:t>
            </w:r>
          </w:p>
        </w:tc>
      </w:tr>
      <w:tr>
        <w:tc>
          <w:tcPr>
            <w:tcW w:type="dxa" w:w="27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🟢 מומלץ — חיזוק</w:t>
            </w:r>
          </w:p>
        </w:tc>
        <w:tc>
          <w:tcPr>
            <w:tcW w:type="dxa" w:w="414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הוספת Counter-Notice procedure לסעיף זכויות יוצרים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נמוך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DMCA</w:t>
            </w:r>
          </w:p>
        </w:tc>
      </w:tr>
      <w:tr>
        <w:tc>
          <w:tcPr>
            <w:tcW w:type="dxa" w:w="27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🟢 מומלץ — חיזוק</w:t>
            </w:r>
          </w:p>
        </w:tc>
        <w:tc>
          <w:tcPr>
            <w:tcW w:type="dxa" w:w="414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בדיקת חובת רישום מאגר מידע ברשות + אזכור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בינוני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חוק ישראלי</w:t>
            </w:r>
          </w:p>
        </w:tc>
      </w:tr>
      <w:tr>
        <w:tc>
          <w:tcPr>
            <w:tcW w:type="dxa" w:w="27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🟢 מומלץ — חיזוק</w:t>
            </w:r>
          </w:p>
        </w:tc>
        <w:tc>
          <w:tcPr>
            <w:tcW w:type="dxa" w:w="414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הוספת הפניה ל-EU DSA Art. 6 בגרסה האנגלית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נמוך</w:t>
            </w:r>
          </w:p>
        </w:tc>
        <w:tc>
          <w:tcPr>
            <w:tcW w:type="dxa" w:w="1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EU DSA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נוסח מוצע לסעיפים חסרים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א. מדיניות עוגיות (Cookie Policy) — /cookies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6"/>
              <w:left w:val="single" w:color="F39C12" w:sz="20"/>
              <w:bottom w:val="single" w:color="F39C12" w:sz="6"/>
              <w:right w:val="single" w:color="F39C12" w:sz="6"/>
            </w:tcBorders>
            <w:shd w:fill="FFFD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מדיניות קובצי עוגיות — ReviewHub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האתר reviewhub.co.il משתמש בקובצי עוגיות (Cookies) בהתאם לחוק התקשורת (בזק ושידורים), התשמ"ב-1982.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טבלת קובצי עוגיות: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| שם העוגיה | קטגוריה | מטרה | תוקף | ספק |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|---|---|---|---|---|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| sb-auth-token | הכרחי | אימות זהות המשתמש (Supabase Auth) | Session | Supabase |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| cookie_consent | הכרחי | שמירת בחירת הסכמת עוגיות | 365 יום | ReviewHub |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| _ga / _gid | ניתוח | Google Analytics — ניתוח תעבורה אנונימי | 2 שנה / 24 שעות | Google |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| stripe_* | פונקציונלי | עיבוד תשלומים מאובטח | Session | Stripe |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ניהול הסכמות: ניתן לשנות את ההסכמה בכל עת דרך [הגדרות עוגיות] בתחתית האתר.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לביטול עוגיות ניתוח: opt-out Google Analytics — https://tools.google.com/dlpage/gaoptout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ב. DPO ו-EU Representative + GDPR Art. 22 — להוסיף לפרטיות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20"/>
              <w:bottom w:val="single" w:color="2E86AB" w:sz="6"/>
              <w:right w:val="single" w:color="2E86AB" w:sz="6"/>
            </w:tcBorders>
            <w:shd w:fill="ED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ממונה הגנת מידע (DPO) ונציג האיחוד האירופי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בהתאם לתקנות ה-GDPR: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ממונה הגנת מידע (DPO): privacy@reviewshub.info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נציג EU לפי GDPR Art. 27: [יש למנות נציג EU בעת הגעה ל-500+ משתמשים מה-EU]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העברת נתונים מה-EU: מתבצעת בהסתמך על סעיפים חוזיים סטנדרטיים (SCCs) שנחתמו עם Supabase (AWS Singapore).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Transfer Impact Assessment (TIA) זמין לעיון על פי בקשה.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GDPR Art. 22 — החלטות אוטומטיות: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ReviewHub משתמשת בבינה מלאכותית לצורכי: ניתוח ביקורות, זיהוי ביקורות חשודות ומניעת הונאות.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החלטות אוטומטיות משמעותיות המבוססות על פרופיל אישי (כגון השעיית חשבון) כפופות לביקורת אנושית.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זכותך לבקש התערבות אנושית — פנה ל: privacy@reviewshub.info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ג. פרטי רישום החברה — להוסיף לכל עמודי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27AE60" w:sz="20"/>
              <w:bottom w:val="single" w:color="27AE60" w:sz="6"/>
              <w:right w:val="single" w:color="27AE60" w:sz="6"/>
            </w:tcBorders>
            <w:shd w:fill="EAF7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פרטי החברה — ReviewHub בע"מ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מספר חברה (ח.פ.): [לפי רישום רשם החברות]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כתובת: [כתובת מלאה], תל אביב-יפו, ישראל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טלפון: [מספר]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דוא"ל: support@reviewshub.info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לפניות משפטיות: legal@reviewshub.info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ד. DPA — קווי מתאר להסכם עיבוד נתונים (B2B)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6"/>
              <w:left w:val="single" w:color="F39C12" w:sz="20"/>
              <w:bottom w:val="single" w:color="F39C12" w:sz="6"/>
              <w:right w:val="single" w:color="F39C12" w:sz="6"/>
            </w:tcBorders>
            <w:shd w:fill="FFFD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מסמך DPA — עקרי הסכם עיבוד נתונים (B2B)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 הגדרות: ReviewHub כ"מעבד" (Processor); בעל העסק כ"בעל מאגר" (Controller).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 מטרות עיבוד: ניהול ביקורות, שליחת הזמנות, ניתוח תגובות — בשם בעל העסק בלבד.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 אמצעי אבטחה: TLS 1.3, AES-256 במנוחה, RLS, גיבויים מוצפנים.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 ספקי-משנה מאושרים: Supabase (Supabase Inc.), Stripe (Stripe Inc.), Resend (Resend Inc.).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 סיוע לזכויות נושא מידע: ReviewHub תסייע למימוש בקשות בתוך 30 יום.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6. מחיקת נתונים: עם סיום ההתקשרות — מחיקה תוך 30 יום + אישור בכתב.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7. ביקורות אבטחה: ReviewHub מעמידה לרשות בעל העסק תוצאות ביקורות אבטחה שנתיות.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8. דין חל: ישראלי + GDPR במקום הרלוונטי.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ה. הצהרת נגישות — עדכון תבנית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20"/>
              <w:bottom w:val="single" w:color="2E86AB" w:sz="6"/>
              <w:right w:val="single" w:color="2E86AB" w:sz="6"/>
            </w:tcBorders>
            <w:shd w:fill="ED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הצהרת נגישות — ReviewHub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תאריך עדכון: מרץ 2026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רמת עמידה: WCAG 2.1 רמה AA (ביצוע חלקי)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חסמים ידועים: [יש לפרט]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בדיקות שבוצעו: [תאריך + כלי]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איש קשר נגישות: accessibility@reviewshub.info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דרכי פנייה: דוא"ל, טלפון [מספר]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סיכום ומסקנות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ReviewHub הגיעה לרמת ציות משפטי גבוהה בהשוואה לתחרות הישראלית ולגודלה. תשתית ה-Safe Harbor, הליך ה-Notice &amp; Takedown, ומנגנון הסכסוכים (Dispute Engine) שנבנו מייצגים יתרון תחרותי משפטי ממשי.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3 פעולות קריטיות לביצוע מיידי (שבועות 1–2):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הוספת מספר ח.פ. לכל עמודי Legal — 30 דקות עבודה.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יצירת עמוד /cookies עם טבלת עוגיות — 4 שעות עבודה.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יצירת מסמך DPA ל-B2B ב-/legal/dpa — 1 יום עבודה.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3 פעולות חשובות לטווח בינוני (חודשים 1–3):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הוספת EU Representative / DPO contact לפרטיות.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עדכון הצהרת נגישות לפי תבנית ישראלית.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ביצוע Transfer Impact Assessment עבור Supabase Singapore.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6"/>
              <w:left w:val="single" w:color="F39C12" w:sz="20"/>
              <w:bottom w:val="single" w:color="F39C12" w:sz="6"/>
              <w:right w:val="single" w:color="F39C12" w:sz="6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הערת מחבר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מסמך זה הוכן על בסיס עיון בקוד המקור של ReviewHub וידע מקצועי על הסטנדרטים הישראליים.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לא מהווה ייעוץ משפטי. יש להתייעץ עם עורך דין מוסמך בתחום הגנת הפרטיות ודיני אינטרנט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לפני הטמעה של כל שינוי משפטי.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ReviewHub בע"מ  ·  legal@reviewshub.info</w:t>
    </w:r>
    <w:r>
      <w:rPr>
        <w:rFonts w:ascii="Arial" w:cs="Arial" w:eastAsia="Arial" w:hAnsi="Arial"/>
        <w:color w:val="555555"/>
        <w:sz w:val="16"/>
        <w:szCs w:val="16"/>
      </w:rPr>
      <w:t xml:space="preserve">	עמוד </w:t>
      <w:fldChar w:fldCharType="begin"/>
      <w:instrText xml:space="preserve">PAGE</w:instrText>
      <w:fldChar w:fldCharType="separate"/>
      <w:fldChar w:fldCharType="end"/>
      <w:t xml:space="preserve"> מתוך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ReviewHub — Legal Compliance Gap Analysis  |  מסמך סודי | מרץ 2026</w:t>
    </w:r>
    <w:r>
      <w:rPr>
        <w:rFonts w:ascii="Arial" w:cs="Arial" w:eastAsia="Arial" w:hAnsi="Arial"/>
        <w:sz w:val="16"/>
        <w:szCs w:val="16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2026-03-11T12:39:56.733Z</dcterms:created>
  <dcterms:modified xsi:type="dcterms:W3CDTF">2026-03-11T12:39:56.733Z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