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2E4057"/>
          <w:sz w:val="52"/>
          <w:szCs w:val="52"/>
        </w:rPr>
        <w:t xml:space="preserve">Building Self-Improving AI Agents</w:t>
      </w:r>
    </w:p>
    <w:p>
      <w:pPr>
        <w:spacing w:before="0" w:after="80"/>
        <w:jc w:val="center"/>
      </w:pPr>
      <w:r>
        <w:rPr>
          <w:rFonts w:ascii="Arial" w:cs="Arial" w:eastAsia="Arial" w:hAnsi="Arial"/>
          <w:b w:val="false"/>
          <w:bCs w:val="false"/>
          <w:color w:val="1A1A2E"/>
          <w:sz w:val="36"/>
          <w:szCs w:val="36"/>
        </w:rPr>
        <w:t xml:space="preserve">Sponsor Toolkit Map</w:t>
      </w:r>
    </w:p>
    <w:p>
      <w:pPr>
        <w:pBdr>
          <w:bottom w:val="single" w:color="2E4057" w:sz="8" w:space="8"/>
        </w:pBdr>
        <w:spacing w:before="0" w:after="400"/>
        <w:jc w:val="center"/>
      </w:pPr>
      <w:r>
        <w:rPr>
          <w:rFonts w:ascii="Arial" w:cs="Arial" w:eastAsia="Arial" w:hAnsi="Arial"/>
          <w:i/>
          <w:iCs/>
          <w:color w:val="666666"/>
          <w:sz w:val="22"/>
          <w:szCs w:val="22"/>
        </w:rPr>
        <w:t xml:space="preserve">7 Sponsors · Full Stack for Autonomous Agent Development</w:t>
      </w:r>
    </w:p>
    <w:p>
      <w:pPr>
        <w:pStyle w:val="Heading1"/>
        <w:pBdr>
          <w:bottom w:val="single" w:color="2E4057" w:sz="6" w:space="4"/>
        </w:pBdr>
        <w:spacing w:before="400" w:after="200"/>
      </w:pPr>
      <w:r>
        <w:rPr>
          <w:rFonts w:ascii="Arial" w:cs="Arial" w:eastAsia="Arial" w:hAnsi="Arial"/>
          <w:b/>
          <w:bCs/>
          <w:color w:val="2E4057"/>
          <w:sz w:val="36"/>
          <w:szCs w:val="36"/>
        </w:rPr>
        <w:t xml:space="preserve">Executive Summary</w:t>
      </w:r>
    </w:p>
    <w:p>
      <w:pPr>
        <w:spacing w:before="60" w:after="60"/>
      </w:pPr>
      <w:r>
        <w:rPr>
          <w:rFonts w:ascii="Arial" w:cs="Arial" w:eastAsia="Arial" w:hAnsi="Arial"/>
          <w:color w:val="1A1A2E"/>
          <w:sz w:val="22"/>
          <w:szCs w:val="22"/>
        </w:rPr>
        <w:t xml:space="preserve">These 7 sponsors span the essential layers needed to build, evaluate, govern, and deploy autonomous self-improving AI agents — from reasoning engines and orchestration to voice safety, enterprise governance, observability, creative tooling, and BI feedback loops. The most directly impactful for agent self-improvement are Braintrust (evaluation &amp; loop automation), Cleric (live production reference), Google DeepMind (reasoning backbone &amp; multi-agent framework), and Airia (enterprise orchestration &amp; A/B testing). The remaining three fill high-value niches: Modulate AI for voice safety guardrails, Lightdash for metrics-driven feedback, and Flora AI for creative asset generation as a downstream agent capability.</w:t>
      </w:r>
    </w:p>
    <w:p>
      <w:pPr>
        <w:spacing w:before="80" w:after="80"/>
      </w:pPr>
      <w:r>
        <w:t xml:space="preserve"/>
      </w:r>
    </w:p>
    <w:p>
      <w:pPr>
        <w:pStyle w:val="Heading2"/>
        <w:spacing w:before="300" w:after="120"/>
      </w:pPr>
      <w:r>
        <w:rPr>
          <w:rFonts w:ascii="Arial" w:cs="Arial" w:eastAsia="Arial" w:hAnsi="Arial"/>
          <w:b/>
          <w:bCs/>
          <w:color w:val="1A1A2E"/>
          <w:sz w:val="26"/>
          <w:szCs w:val="26"/>
        </w:rPr>
        <w:t xml:space="preserve">Sponsor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none"/>
              <w:left w:val="none"/>
              <w:bottom w:val="none"/>
              <w:right w:val="none"/>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3000"/>
            <w:tcBorders>
              <w:top w:val="none"/>
              <w:left w:val="none"/>
              <w:bottom w:val="none"/>
              <w:right w:val="none"/>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Primary Role</w:t>
            </w:r>
          </w:p>
        </w:tc>
        <w:tc>
          <w:tcPr>
            <w:tcW w:type="dxa" w:w="4160"/>
            <w:tcBorders>
              <w:top w:val="none"/>
              <w:left w:val="none"/>
              <w:bottom w:val="none"/>
              <w:right w:val="none"/>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Self-Improvement Relevance</w:t>
            </w:r>
          </w:p>
        </w:tc>
      </w:tr>
      <w:tr>
        <w:tc>
          <w:tcPr>
            <w:tcW w:type="dxa" w:w="22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b/>
                <w:bCs/>
                <w:color w:val="2E4057"/>
                <w:sz w:val="20"/>
                <w:szCs w:val="20"/>
              </w:rPr>
              <w:t xml:space="preserve">Google DeepMind</w:t>
            </w:r>
          </w:p>
        </w:tc>
        <w:tc>
          <w:tcPr>
            <w:tcW w:type="dxa" w:w="30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Reasoning backbone &amp; agent framework</w:t>
            </w:r>
          </w:p>
        </w:tc>
        <w:tc>
          <w:tcPr>
            <w:tcW w:type="dxa" w:w="416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High — ADK, Gemini API, Gemma fine-tuning, eval tools</w:t>
            </w:r>
          </w:p>
        </w:tc>
      </w:tr>
      <w:tr>
        <w:tc>
          <w:tcPr>
            <w:tcW w:type="dxa" w:w="22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Braintrust</w:t>
            </w:r>
          </w:p>
        </w:tc>
        <w:tc>
          <w:tcPr>
            <w:tcW w:type="dxa" w:w="30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Evaluation &amp; continuous improvement</w:t>
            </w:r>
          </w:p>
        </w:tc>
        <w:tc>
          <w:tcPr>
            <w:tcW w:type="dxa" w:w="416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 Loop Agent, trace-to-dataset, CI/CD gates</w:t>
            </w:r>
          </w:p>
        </w:tc>
      </w:tr>
      <w:tr>
        <w:tc>
          <w:tcPr>
            <w:tcW w:type="dxa" w:w="22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b/>
                <w:bCs/>
                <w:color w:val="2E4057"/>
                <w:sz w:val="20"/>
                <w:szCs w:val="20"/>
              </w:rPr>
              <w:t xml:space="preserve">Airia</w:t>
            </w:r>
          </w:p>
        </w:tc>
        <w:tc>
          <w:tcPr>
            <w:tcW w:type="dxa" w:w="30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Enterprise orchestration &amp; governance</w:t>
            </w:r>
          </w:p>
        </w:tc>
        <w:tc>
          <w:tcPr>
            <w:tcW w:type="dxa" w:w="416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High — Battleground A/B testing, AI Gateway, constraints</w:t>
            </w:r>
          </w:p>
        </w:tc>
      </w:tr>
      <w:tr>
        <w:tc>
          <w:tcPr>
            <w:tcW w:type="dxa" w:w="22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Cleric</w:t>
            </w:r>
          </w:p>
        </w:tc>
        <w:tc>
          <w:tcPr>
            <w:tcW w:type="dxa" w:w="30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Autonomous SRE reference agent</w:t>
            </w:r>
          </w:p>
        </w:tc>
        <w:tc>
          <w:tcPr>
            <w:tcW w:type="dxa" w:w="416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live production self-improving agent architecture</w:t>
            </w:r>
          </w:p>
        </w:tc>
      </w:tr>
      <w:tr>
        <w:tc>
          <w:tcPr>
            <w:tcW w:type="dxa" w:w="22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b/>
                <w:bCs/>
                <w:color w:val="2E4057"/>
                <w:sz w:val="20"/>
                <w:szCs w:val="20"/>
              </w:rPr>
              <w:t xml:space="preserve">Modulate AI</w:t>
            </w:r>
          </w:p>
        </w:tc>
        <w:tc>
          <w:tcPr>
            <w:tcW w:type="dxa" w:w="30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Voice safety guardrails</w:t>
            </w:r>
          </w:p>
        </w:tc>
        <w:tc>
          <w:tcPr>
            <w:tcW w:type="dxa" w:w="416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Medium — Appeals API feedback loop, moderation models</w:t>
            </w:r>
          </w:p>
        </w:tc>
      </w:tr>
      <w:tr>
        <w:tc>
          <w:tcPr>
            <w:tcW w:type="dxa" w:w="22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Lightdash</w:t>
            </w:r>
          </w:p>
        </w:tc>
        <w:tc>
          <w:tcPr>
            <w:tcW w:type="dxa" w:w="30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Metrics-driven BI feedback</w:t>
            </w:r>
          </w:p>
        </w:tc>
        <w:tc>
          <w:tcPr>
            <w:tcW w:type="dxa" w:w="416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 MCP server, dbt metrics, threshold-based triggers</w:t>
            </w:r>
          </w:p>
        </w:tc>
      </w:tr>
      <w:tr>
        <w:tc>
          <w:tcPr>
            <w:tcW w:type="dxa" w:w="22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b/>
                <w:bCs/>
                <w:color w:val="2E4057"/>
                <w:sz w:val="20"/>
                <w:szCs w:val="20"/>
              </w:rPr>
              <w:t xml:space="preserve">Flora AI</w:t>
            </w:r>
          </w:p>
        </w:tc>
        <w:tc>
          <w:tcPr>
            <w:tcW w:type="dxa" w:w="300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Creative asset generation</w:t>
            </w:r>
          </w:p>
        </w:tc>
        <w:tc>
          <w:tcPr>
            <w:tcW w:type="dxa" w:w="4160"/>
            <w:tcBorders>
              <w:top w:val="none"/>
              <w:left w:val="none"/>
              <w:bottom w:val="none"/>
              <w:right w:val="none"/>
            </w:tcBorders>
            <w:shd w:fill="F0F4F8" w:val="clear"/>
            <w:tcMar>
              <w:top w:type="dxa" w:w="80"/>
              <w:left w:type="dxa" w:w="120"/>
              <w:bottom w:type="dxa" w:w="80"/>
              <w:right w:type="dxa" w:w="120"/>
            </w:tcMar>
          </w:tcPr>
          <w:p>
            <w:r>
              <w:rPr>
                <w:rFonts w:ascii="Arial" w:cs="Arial" w:eastAsia="Arial" w:hAnsi="Arial"/>
                <w:color w:val="1A1A2E"/>
                <w:sz w:val="20"/>
                <w:szCs w:val="20"/>
              </w:rPr>
              <w:t xml:space="preserve">Low — downstream asset endpoint only, no eval/memory</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1. Google DeepMind — Reasoning Engine &amp; Agent Framework</w:t>
      </w:r>
    </w:p>
    <w:p>
      <w:pPr>
        <w:spacing w:before="60" w:after="60"/>
      </w:pPr>
      <w:r>
        <w:rPr>
          <w:rFonts w:ascii="Arial" w:cs="Arial" w:eastAsia="Arial" w:hAnsi="Arial"/>
          <w:color w:val="1A1A2E"/>
          <w:sz w:val="22"/>
          <w:szCs w:val="22"/>
        </w:rPr>
        <w:t xml:space="preserve">Google DeepMind provides the core AI backbone for self-improving agents through the Gemini API and the open-source Agent Development Kit (ADK).</w:t>
      </w:r>
    </w:p>
    <w:p>
      <w:pPr>
        <w:spacing w:before="80" w:after="80"/>
      </w:pPr>
      <w:r>
        <w:t xml:space="preserve"/>
      </w:r>
    </w:p>
    <w:p>
      <w:pPr>
        <w:spacing w:before="200" w:after="80"/>
      </w:pPr>
      <w:r>
        <w:rPr>
          <w:rFonts w:ascii="Arial" w:cs="Arial" w:eastAsia="Arial" w:hAnsi="Arial"/>
          <w:b/>
          <w:bCs/>
          <w:color w:val="2E4057"/>
          <w:sz w:val="22"/>
          <w:szCs w:val="22"/>
        </w:rPr>
        <w:t xml:space="preserve">Key Products for Agent Builders</w:t>
      </w:r>
    </w:p>
    <w:p>
      <w:pPr>
        <w:spacing w:before="60" w:after="60"/>
      </w:pPr>
      <w:r>
        <w:rPr>
          <w:rFonts w:ascii="Arial" w:cs="Arial" w:eastAsia="Arial" w:hAnsi="Arial"/>
          <w:b/>
          <w:bCs/>
          <w:color w:val="1A1A2E"/>
          <w:sz w:val="22"/>
          <w:szCs w:val="22"/>
        </w:rPr>
        <w:t xml:space="preserve">Gemini API (via Google AI Studio or Vertex AI)</w:t>
      </w:r>
    </w:p>
    <w:p>
      <w:pPr>
        <w:pStyle w:val="ListParagraph"/>
        <w:numPr>
          <w:ilvl w:val="0"/>
          <w:numId w:val="2"/>
        </w:numPr>
        <w:spacing w:before="40" w:after="40"/>
      </w:pPr>
      <w:r>
        <w:rPr>
          <w:rFonts w:ascii="Arial" w:cs="Arial" w:eastAsia="Arial" w:hAnsi="Arial"/>
          <w:color w:val="1A1A2E"/>
          <w:sz w:val="22"/>
          <w:szCs w:val="22"/>
        </w:rPr>
        <w:t xml:space="preserve">Full model lineup: Gemini 2.5 Pro Preview for state-of-the-art reasoning, Gemini 2.5 Pro for coding and long context (1M tokens), and cost-efficient Flash variants starting at $0.10/1M input tokens.</w:t>
      </w:r>
    </w:p>
    <w:p>
      <w:pPr>
        <w:pStyle w:val="ListParagraph"/>
        <w:numPr>
          <w:ilvl w:val="0"/>
          <w:numId w:val="2"/>
        </w:numPr>
        <w:spacing w:before="40" w:after="40"/>
      </w:pPr>
      <w:r>
        <w:rPr>
          <w:rFonts w:ascii="Arial" w:cs="Arial" w:eastAsia="Arial" w:hAnsi="Arial"/>
          <w:color w:val="1A1A2E"/>
          <w:sz w:val="22"/>
          <w:szCs w:val="22"/>
        </w:rPr>
        <w:t xml:space="preserve">SDKs ship in Python, TypeScript, Go, and Java, with an OpenAI-compatible endpoint for drop-in migration.</w:t>
      </w:r>
    </w:p>
    <w:p>
      <w:pPr>
        <w:spacing w:before="80" w:after="80"/>
      </w:pPr>
      <w:r>
        <w:t xml:space="preserve"/>
      </w:r>
    </w:p>
    <w:p>
      <w:pPr>
        <w:spacing w:before="60" w:after="60"/>
      </w:pPr>
      <w:r>
        <w:rPr>
          <w:rFonts w:ascii="Arial" w:cs="Arial" w:eastAsia="Arial" w:hAnsi="Arial"/>
          <w:b/>
          <w:bCs/>
          <w:color w:val="1A1A2E"/>
          <w:sz w:val="22"/>
          <w:szCs w:val="22"/>
        </w:rPr>
        <w:t xml:space="preserve">Agent Development Kit (ADK)</w:t>
      </w:r>
    </w:p>
    <w:p>
      <w:pPr>
        <w:pStyle w:val="ListParagraph"/>
        <w:numPr>
          <w:ilvl w:val="0"/>
          <w:numId w:val="2"/>
        </w:numPr>
        <w:spacing w:before="40" w:after="40"/>
      </w:pPr>
      <w:r>
        <w:rPr>
          <w:rFonts w:ascii="Arial" w:cs="Arial" w:eastAsia="Arial" w:hAnsi="Arial"/>
          <w:color w:val="1A1A2E"/>
          <w:sz w:val="22"/>
          <w:szCs w:val="22"/>
        </w:rPr>
        <w:t xml:space="preserve">Apache 2.0 open-source framework (pip install google-adk) for building multi-agent systems with hierarchical orchestration, sequential/parallel/looping workflows, and LLM-driven dynamic routing between sub-agents.</w:t>
      </w:r>
    </w:p>
    <w:p>
      <w:pPr>
        <w:pStyle w:val="ListParagraph"/>
        <w:numPr>
          <w:ilvl w:val="0"/>
          <w:numId w:val="2"/>
        </w:numPr>
        <w:spacing w:before="40" w:after="40"/>
      </w:pPr>
      <w:r>
        <w:rPr>
          <w:rFonts w:ascii="Arial" w:cs="Arial" w:eastAsia="Arial" w:hAnsi="Arial"/>
          <w:color w:val="1A1A2E"/>
          <w:sz w:val="22"/>
          <w:szCs w:val="22"/>
        </w:rPr>
        <w:t xml:space="preserve">Model-agnostic — works with Anthropic, Meta, Mistral via LiteLLM.</w:t>
      </w:r>
    </w:p>
    <w:p>
      <w:pPr>
        <w:pStyle w:val="ListParagraph"/>
        <w:numPr>
          <w:ilvl w:val="0"/>
          <w:numId w:val="2"/>
        </w:numPr>
        <w:spacing w:before="40" w:after="40"/>
      </w:pPr>
      <w:r>
        <w:rPr>
          <w:rFonts w:ascii="Arial" w:cs="Arial" w:eastAsia="Arial" w:hAnsi="Arial"/>
          <w:color w:val="1A1A2E"/>
          <w:sz w:val="22"/>
          <w:szCs w:val="22"/>
        </w:rPr>
        <w:t xml:space="preserve">Supports MCP tools natively, includes built-in evaluation via adk eval.</w:t>
      </w:r>
    </w:p>
    <w:p>
      <w:pPr>
        <w:pStyle w:val="ListParagraph"/>
        <w:numPr>
          <w:ilvl w:val="0"/>
          <w:numId w:val="2"/>
        </w:numPr>
        <w:spacing w:before="40" w:after="40"/>
      </w:pPr>
      <w:r>
        <w:rPr>
          <w:rFonts w:ascii="Arial" w:cs="Arial" w:eastAsia="Arial" w:hAnsi="Arial"/>
          <w:color w:val="1A1A2E"/>
          <w:sz w:val="22"/>
          <w:szCs w:val="22"/>
        </w:rPr>
        <w:t xml:space="preserve">Development UI enables testing and debugging agents visually.</w:t>
      </w:r>
    </w:p>
    <w:p>
      <w:pPr>
        <w:spacing w:before="80" w:after="80"/>
      </w:pPr>
      <w:r>
        <w:t xml:space="preserve"/>
      </w:r>
    </w:p>
    <w:p>
      <w:pPr>
        <w:spacing w:before="60" w:after="60"/>
      </w:pPr>
      <w:r>
        <w:rPr>
          <w:rFonts w:ascii="Arial" w:cs="Arial" w:eastAsia="Arial" w:hAnsi="Arial"/>
          <w:b/>
          <w:bCs/>
          <w:color w:val="1A1A2E"/>
          <w:sz w:val="22"/>
          <w:szCs w:val="22"/>
        </w:rPr>
        <w:t xml:space="preserve">Interactions API (beta, December 2025)</w:t>
      </w:r>
    </w:p>
    <w:p>
      <w:pPr>
        <w:pStyle w:val="ListParagraph"/>
        <w:numPr>
          <w:ilvl w:val="0"/>
          <w:numId w:val="2"/>
        </w:numPr>
        <w:spacing w:before="40" w:after="40"/>
      </w:pPr>
      <w:r>
        <w:rPr>
          <w:rFonts w:ascii="Arial" w:cs="Arial" w:eastAsia="Arial" w:hAnsi="Arial"/>
          <w:color w:val="1A1A2E"/>
          <w:sz w:val="22"/>
          <w:szCs w:val="22"/>
        </w:rPr>
        <w:t xml:space="preserve">Adds server-side state management and background execution — letting agents run long tasks without maintaining a client connection.</w:t>
      </w:r>
    </w:p>
    <w:p>
      <w:pPr>
        <w:pStyle w:val="ListParagraph"/>
        <w:numPr>
          <w:ilvl w:val="0"/>
          <w:numId w:val="2"/>
        </w:numPr>
        <w:spacing w:before="40" w:after="40"/>
      </w:pPr>
      <w:r>
        <w:rPr>
          <w:rFonts w:ascii="Arial" w:cs="Arial" w:eastAsia="Arial" w:hAnsi="Arial"/>
          <w:color w:val="1A1A2E"/>
          <w:sz w:val="22"/>
          <w:szCs w:val="22"/>
        </w:rPr>
        <w:t xml:space="preserve">Google Thought Signatures preserve encrypted reasoning chains across API calls, enabling multi-step self-improvement workflows.</w:t>
      </w:r>
    </w:p>
    <w:p>
      <w:pPr>
        <w:pStyle w:val="ListParagraph"/>
        <w:numPr>
          <w:ilvl w:val="0"/>
          <w:numId w:val="2"/>
        </w:numPr>
        <w:spacing w:before="40" w:after="40"/>
      </w:pPr>
      <w:r>
        <w:rPr>
          <w:rFonts w:ascii="Arial" w:cs="Arial" w:eastAsia="Arial" w:hAnsi="Arial"/>
          <w:color w:val="1A1A2E"/>
          <w:sz w:val="22"/>
          <w:szCs w:val="22"/>
        </w:rPr>
        <w:t xml:space="preserve">Deep Research agent can be invoked programmatically for autonomous multi-step investigation.</w:t>
      </w:r>
    </w:p>
    <w:p>
      <w:pPr>
        <w:spacing w:before="80" w:after="80"/>
      </w:pPr>
      <w:r>
        <w:t xml:space="preserve"/>
      </w:r>
    </w:p>
    <w:p>
      <w:pPr>
        <w:spacing w:before="60" w:after="60"/>
      </w:pPr>
      <w:r>
        <w:rPr>
          <w:rFonts w:ascii="Arial" w:cs="Arial" w:eastAsia="Arial" w:hAnsi="Arial"/>
          <w:b/>
          <w:bCs/>
          <w:color w:val="1A1A2E"/>
          <w:sz w:val="22"/>
          <w:szCs w:val="22"/>
        </w:rPr>
        <w:t xml:space="preserve">Gemma Open-Source Models</w:t>
      </w:r>
    </w:p>
    <w:p>
      <w:pPr>
        <w:pStyle w:val="ListParagraph"/>
        <w:numPr>
          <w:ilvl w:val="0"/>
          <w:numId w:val="2"/>
        </w:numPr>
        <w:spacing w:before="40" w:after="40"/>
      </w:pPr>
      <w:r>
        <w:rPr>
          <w:rFonts w:ascii="Arial" w:cs="Arial" w:eastAsia="Arial" w:hAnsi="Arial"/>
          <w:color w:val="1A1A2E"/>
          <w:sz w:val="22"/>
          <w:szCs w:val="22"/>
        </w:rPr>
        <w:t xml:space="preserve">1B–27B parameter models enable local fine-tuning on domain-specific data as agents accumulate experience — the key ingredient for true self-improvement.</w:t>
      </w:r>
    </w:p>
    <w:p>
      <w:pPr>
        <w:spacing w:before="80" w:after="80"/>
      </w:pPr>
      <w:r>
        <w:t xml:space="preserve"/>
      </w:r>
    </w:p>
    <w:p>
      <w:pPr>
        <w:spacing w:before="200" w:after="80"/>
      </w:pPr>
      <w:r>
        <w:rPr>
          <w:rFonts w:ascii="Arial" w:cs="Arial" w:eastAsia="Arial" w:hAnsi="Arial"/>
          <w:b/>
          <w:bCs/>
          <w:color w:val="2E4057"/>
          <w:sz w:val="22"/>
          <w:szCs w:val="22"/>
        </w:rPr>
        <w:t xml:space="preserve">Self-Improvement Architecture</w:t>
      </w:r>
    </w:p>
    <w:p>
      <w:pPr>
        <w:spacing w:before="60" w:after="60"/>
      </w:pPr>
      <w:r>
        <w:rPr>
          <w:rFonts w:ascii="Arial" w:cs="Arial" w:eastAsia="Arial" w:hAnsi="Arial"/>
          <w:color w:val="1A1A2E"/>
          <w:sz w:val="22"/>
          <w:szCs w:val="22"/>
        </w:rPr>
        <w:t xml:space="preserve">Use ADK to build a planner/executor/evaluator multi-agent system → leverage Interactions API for persistent state → fine-tune Gemma on accumulated experience → use ADK eval tools to measure improvement → iterate.</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Free Tier</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No credit card required. 1M token context, 250K TPM — ideal for prototyping.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Flash Models</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$0.10/1M input tokens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Pro Models</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Variable — see Google AI Studio for current rates</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2. Braintrust — Evaluation Backbone for Continuous Improvement</w:t>
      </w:r>
    </w:p>
    <w:p>
      <w:pPr>
        <w:spacing w:before="60" w:after="60"/>
      </w:pPr>
      <w:r>
        <w:rPr>
          <w:rFonts w:ascii="Arial" w:cs="Arial" w:eastAsia="Arial" w:hAnsi="Arial"/>
          <w:color w:val="1A1A2E"/>
          <w:sz w:val="22"/>
          <w:szCs w:val="22"/>
        </w:rPr>
        <w:t xml:space="preserve">Braintrust is purpose-built for AI evaluation and observability, with a unique self-improvement tool called Loop that auto-generates better prompts and scorers from plain English descriptions.</w:t>
      </w:r>
    </w:p>
    <w:p>
      <w:pPr>
        <w:spacing w:before="80" w:after="80"/>
      </w:pPr>
      <w:r>
        <w:t xml:space="preserve"/>
      </w:r>
    </w:p>
    <w:p>
      <w:pPr>
        <w:spacing w:before="200" w:after="80"/>
      </w:pPr>
      <w:r>
        <w:rPr>
          <w:rFonts w:ascii="Arial" w:cs="Arial" w:eastAsia="Arial" w:hAnsi="Arial"/>
          <w:b/>
          <w:bCs/>
          <w:color w:val="2E4057"/>
          <w:sz w:val="22"/>
          <w:szCs w:val="22"/>
        </w:rPr>
        <w:t xml:space="preserve">Core Capabilities</w:t>
      </w:r>
    </w:p>
    <w:p>
      <w:pPr>
        <w:pStyle w:val="ListParagraph"/>
        <w:numPr>
          <w:ilvl w:val="0"/>
          <w:numId w:val="2"/>
        </w:numPr>
        <w:spacing w:before="40" w:after="40"/>
      </w:pPr>
      <w:r>
        <w:rPr>
          <w:rFonts w:ascii="Arial" w:cs="Arial" w:eastAsia="Arial" w:hAnsi="Arial"/>
          <w:color w:val="1A1A2E"/>
          <w:sz w:val="22"/>
          <w:szCs w:val="22"/>
        </w:rPr>
        <w:t xml:space="preserve">SDK (Python, TypeScript, Go, Ruby, C#) captures every LLM call, tool invocation, and reasoning step as structured traces.</w:t>
      </w:r>
    </w:p>
    <w:p>
      <w:pPr>
        <w:pStyle w:val="ListParagraph"/>
        <w:numPr>
          <w:ilvl w:val="0"/>
          <w:numId w:val="2"/>
        </w:numPr>
        <w:spacing w:before="40" w:after="40"/>
      </w:pPr>
      <w:r>
        <w:rPr>
          <w:rFonts w:ascii="Arial" w:cs="Arial" w:eastAsia="Arial" w:hAnsi="Arial"/>
          <w:color w:val="1A1A2E"/>
          <w:sz w:val="22"/>
          <w:szCs w:val="22"/>
        </w:rPr>
        <w:t xml:space="preserve">AI Proxy/Gateway routes LLM calls through Braintrust for automatic logging and metric collection.</w:t>
      </w:r>
    </w:p>
    <w:p>
      <w:pPr>
        <w:pStyle w:val="ListParagraph"/>
        <w:numPr>
          <w:ilvl w:val="0"/>
          <w:numId w:val="2"/>
        </w:numPr>
        <w:spacing w:before="40" w:after="40"/>
      </w:pPr>
      <w:r>
        <w:rPr>
          <w:rFonts w:ascii="Arial" w:cs="Arial" w:eastAsia="Arial" w:hAnsi="Arial"/>
          <w:color w:val="1A1A2E"/>
          <w:sz w:val="22"/>
          <w:szCs w:val="22"/>
        </w:rPr>
        <w:t xml:space="preserve">Brainstore, their purpose-built database, queries millions of traces 80x faster than traditional databases.</w:t>
      </w:r>
    </w:p>
    <w:p>
      <w:pPr>
        <w:spacing w:before="80" w:after="80"/>
      </w:pPr>
      <w:r>
        <w:t xml:space="preserve"/>
      </w:r>
    </w:p>
    <w:p>
      <w:pPr>
        <w:spacing w:before="200" w:after="80"/>
      </w:pPr>
      <w:r>
        <w:rPr>
          <w:rFonts w:ascii="Arial" w:cs="Arial" w:eastAsia="Arial" w:hAnsi="Arial"/>
          <w:b/>
          <w:bCs/>
          <w:color w:val="2E4057"/>
          <w:sz w:val="22"/>
          <w:szCs w:val="22"/>
        </w:rPr>
        <w:t xml:space="preserve">Self-Improvement Toolkit — Standout Features</w:t>
      </w:r>
    </w:p>
    <w:p>
      <w:pPr>
        <w:pStyle w:val="ListParagraph"/>
        <w:numPr>
          <w:ilvl w:val="0"/>
          <w:numId w:val="2"/>
        </w:numPr>
        <w:spacing w:before="40" w:after="40"/>
      </w:pPr>
      <w:r>
        <w:rPr>
          <w:rFonts w:ascii="Arial" w:cs="Arial" w:eastAsia="Arial" w:hAnsi="Arial"/>
          <w:color w:val="1A1A2E"/>
          <w:sz w:val="22"/>
          <w:szCs w:val="22"/>
        </w:rPr>
        <w:t xml:space="preserve">Loop Agent: takes optimization goals described in natural language and automatically generates improved prompts, scorers, and datasets.</w:t>
      </w:r>
    </w:p>
    <w:p>
      <w:pPr>
        <w:pStyle w:val="ListParagraph"/>
        <w:numPr>
          <w:ilvl w:val="0"/>
          <w:numId w:val="2"/>
        </w:numPr>
        <w:spacing w:before="40" w:after="40"/>
      </w:pPr>
      <w:r>
        <w:rPr>
          <w:rFonts w:ascii="Arial" w:cs="Arial" w:eastAsia="Arial" w:hAnsi="Arial"/>
          <w:color w:val="1A1A2E"/>
          <w:sz w:val="22"/>
          <w:szCs w:val="22"/>
        </w:rPr>
        <w:t xml:space="preserve">One-click trace-to-dataset conversion turns production failures into permanent regression tests.</w:t>
      </w:r>
    </w:p>
    <w:p>
      <w:pPr>
        <w:pStyle w:val="ListParagraph"/>
        <w:numPr>
          <w:ilvl w:val="0"/>
          <w:numId w:val="2"/>
        </w:numPr>
        <w:spacing w:before="40" w:after="40"/>
      </w:pPr>
      <w:r>
        <w:rPr>
          <w:rFonts w:ascii="Arial" w:cs="Arial" w:eastAsia="Arial" w:hAnsi="Arial"/>
          <w:color w:val="1A1A2E"/>
          <w:sz w:val="22"/>
          <w:szCs w:val="22"/>
        </w:rPr>
        <w:t xml:space="preserve">Prompt Playground enables side-by-side comparisons.</w:t>
      </w:r>
    </w:p>
    <w:p>
      <w:pPr>
        <w:pStyle w:val="ListParagraph"/>
        <w:numPr>
          <w:ilvl w:val="0"/>
          <w:numId w:val="2"/>
        </w:numPr>
        <w:spacing w:before="40" w:after="40"/>
      </w:pPr>
      <w:r>
        <w:rPr>
          <w:rFonts w:ascii="Arial" w:cs="Arial" w:eastAsia="Arial" w:hAnsi="Arial"/>
          <w:color w:val="1A1A2E"/>
          <w:sz w:val="22"/>
          <w:szCs w:val="22"/>
        </w:rPr>
        <w:t xml:space="preserve">GitHub Actions integration blocks bad releases via automated CI/CD evaluation gates.</w:t>
      </w:r>
    </w:p>
    <w:p>
      <w:pPr>
        <w:spacing w:before="80" w:after="80"/>
      </w:pPr>
      <w:r>
        <w:t xml:space="preserve"/>
      </w:r>
    </w:p>
    <w:p>
      <w:pPr>
        <w:spacing w:before="200" w:after="80"/>
      </w:pPr>
      <w:r>
        <w:rPr>
          <w:rFonts w:ascii="Arial" w:cs="Arial" w:eastAsia="Arial" w:hAnsi="Arial"/>
          <w:b/>
          <w:bCs/>
          <w:color w:val="2E4057"/>
          <w:sz w:val="22"/>
          <w:szCs w:val="22"/>
        </w:rPr>
        <w:t xml:space="preserve">Self-Improvement Workflow</w:t>
      </w:r>
    </w:p>
    <w:p>
      <w:pPr>
        <w:spacing w:before="60" w:after="60"/>
      </w:pPr>
      <w:r>
        <w:rPr>
          <w:rFonts w:ascii="Arial" w:cs="Arial" w:eastAsia="Arial" w:hAnsi="Arial"/>
          <w:color w:val="1A1A2E"/>
          <w:sz w:val="22"/>
          <w:szCs w:val="22"/>
        </w:rPr>
        <w:t xml:space="preserve">Instrument your agent → monitor production quality in real-time → when failures occur, one-click convert to test cases → use Loop to auto-generate better prompts → run experiments to validate → deploy via the proxy → repeat. This is the tightest self-improvement loop in the tooling landscape.</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Free Tier</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1M trace spans, 10K evaluation scores, unlimited team members — no credit card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Pro</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$249/month — unlimited spans, extended retention.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Enterprise</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Self-hosting + HIPAA compliance — contact sales.</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3. Airia — Enterprise AI Orchestration &amp; Governance</w:t>
      </w:r>
    </w:p>
    <w:p>
      <w:pPr>
        <w:spacing w:before="60" w:after="60"/>
      </w:pPr>
      <w:r>
        <w:rPr>
          <w:rFonts w:ascii="Arial" w:cs="Arial" w:eastAsia="Arial" w:hAnsi="Arial"/>
          <w:color w:val="1A1A2E"/>
          <w:sz w:val="22"/>
          <w:szCs w:val="22"/>
        </w:rPr>
        <w:t xml:space="preserve">Airia is an enterprise AI orchestration platform backed by $100M in funding. It serves 300+ enterprise customers including Kyndryl and BuzzFeed, and is available on AWS and Azure Marketplaces.</w:t>
      </w:r>
    </w:p>
    <w:p>
      <w:pPr>
        <w:spacing w:before="80" w:after="80"/>
      </w:pPr>
      <w:r>
        <w:t xml:space="preserve"/>
      </w:r>
    </w:p>
    <w:p>
      <w:pPr>
        <w:spacing w:before="200" w:after="80"/>
      </w:pPr>
      <w:r>
        <w:rPr>
          <w:rFonts w:ascii="Arial" w:cs="Arial" w:eastAsia="Arial" w:hAnsi="Arial"/>
          <w:b/>
          <w:bCs/>
          <w:color w:val="2E4057"/>
          <w:sz w:val="22"/>
          <w:szCs w:val="22"/>
        </w:rPr>
        <w:t xml:space="preserve">Key Products</w:t>
      </w:r>
    </w:p>
    <w:p>
      <w:pPr>
        <w:spacing w:before="60" w:after="60"/>
      </w:pPr>
      <w:r>
        <w:rPr>
          <w:rFonts w:ascii="Arial" w:cs="Arial" w:eastAsia="Arial" w:hAnsi="Arial"/>
          <w:b/>
          <w:bCs/>
          <w:color w:val="1A1A2E"/>
          <w:sz w:val="22"/>
          <w:szCs w:val="22"/>
        </w:rPr>
        <w:t xml:space="preserve">Agent Studio</w:t>
      </w:r>
    </w:p>
    <w:p>
      <w:pPr>
        <w:pStyle w:val="ListParagraph"/>
        <w:numPr>
          <w:ilvl w:val="0"/>
          <w:numId w:val="2"/>
        </w:numPr>
        <w:spacing w:before="40" w:after="40"/>
      </w:pPr>
      <w:r>
        <w:rPr>
          <w:rFonts w:ascii="Arial" w:cs="Arial" w:eastAsia="Arial" w:hAnsi="Arial"/>
          <w:color w:val="1A1A2E"/>
          <w:sz w:val="22"/>
          <w:szCs w:val="22"/>
        </w:rPr>
        <w:t xml:space="preserve">Drag-and-drop canvas for building multi-step agent workflows visually — no code required for prototyping, with pro-code options for production.</w:t>
      </w:r>
    </w:p>
    <w:p>
      <w:pPr>
        <w:spacing w:before="80" w:after="80"/>
      </w:pPr>
      <w:r>
        <w:t xml:space="preserve"/>
      </w:r>
    </w:p>
    <w:p>
      <w:pPr>
        <w:spacing w:before="60" w:after="60"/>
      </w:pPr>
      <w:r>
        <w:rPr>
          <w:rFonts w:ascii="Arial" w:cs="Arial" w:eastAsia="Arial" w:hAnsi="Arial"/>
          <w:b/>
          <w:bCs/>
          <w:color w:val="1A1A2E"/>
          <w:sz w:val="22"/>
          <w:szCs w:val="22"/>
        </w:rPr>
        <w:t xml:space="preserve">AI Gateway</w:t>
      </w:r>
    </w:p>
    <w:p>
      <w:pPr>
        <w:pStyle w:val="ListParagraph"/>
        <w:numPr>
          <w:ilvl w:val="0"/>
          <w:numId w:val="2"/>
        </w:numPr>
        <w:spacing w:before="40" w:after="40"/>
      </w:pPr>
      <w:r>
        <w:rPr>
          <w:rFonts w:ascii="Arial" w:cs="Arial" w:eastAsia="Arial" w:hAnsi="Arial"/>
          <w:color w:val="1A1A2E"/>
          <w:sz w:val="22"/>
          <w:szCs w:val="22"/>
        </w:rPr>
        <w:t xml:space="preserve">Intelligently routes requests to the best model based on task type, cost, latency, and compliance requirements, with automatic failover and load balancing.</w:t>
      </w:r>
    </w:p>
    <w:p>
      <w:pPr>
        <w:spacing w:before="80" w:after="80"/>
      </w:pPr>
      <w:r>
        <w:t xml:space="preserve"/>
      </w:r>
    </w:p>
    <w:p>
      <w:pPr>
        <w:spacing w:before="60" w:after="60"/>
      </w:pPr>
      <w:r>
        <w:rPr>
          <w:rFonts w:ascii="Arial" w:cs="Arial" w:eastAsia="Arial" w:hAnsi="Arial"/>
          <w:b/>
          <w:bCs/>
          <w:color w:val="1A1A2E"/>
          <w:sz w:val="22"/>
          <w:szCs w:val="22"/>
        </w:rPr>
        <w:t xml:space="preserve">Agent Constraints (launched September 2025)</w:t>
      </w:r>
    </w:p>
    <w:p>
      <w:pPr>
        <w:pStyle w:val="ListParagraph"/>
        <w:numPr>
          <w:ilvl w:val="0"/>
          <w:numId w:val="2"/>
        </w:numPr>
        <w:spacing w:before="40" w:after="40"/>
      </w:pPr>
      <w:r>
        <w:rPr>
          <w:rFonts w:ascii="Arial" w:cs="Arial" w:eastAsia="Arial" w:hAnsi="Arial"/>
          <w:color w:val="1A1A2E"/>
          <w:sz w:val="22"/>
          <w:szCs w:val="22"/>
        </w:rPr>
        <w:t xml:space="preserve">Policy engine that applies security and governance rules across all agents centrally at the infrastructure layer — no code modifications needed.</w:t>
      </w:r>
    </w:p>
    <w:p>
      <w:pPr>
        <w:spacing w:before="80" w:after="80"/>
      </w:pPr>
      <w:r>
        <w:t xml:space="preserve"/>
      </w:r>
    </w:p>
    <w:p>
      <w:pPr>
        <w:spacing w:before="60" w:after="60"/>
      </w:pPr>
      <w:r>
        <w:rPr>
          <w:rFonts w:ascii="Arial" w:cs="Arial" w:eastAsia="Arial" w:hAnsi="Arial"/>
          <w:b/>
          <w:bCs/>
          <w:color w:val="1A1A2E"/>
          <w:sz w:val="22"/>
          <w:szCs w:val="22"/>
        </w:rPr>
        <w:t xml:space="preserve">Battleground</w:t>
      </w:r>
    </w:p>
    <w:p>
      <w:pPr>
        <w:pStyle w:val="ListParagraph"/>
        <w:numPr>
          <w:ilvl w:val="0"/>
          <w:numId w:val="2"/>
        </w:numPr>
        <w:spacing w:before="40" w:after="40"/>
      </w:pPr>
      <w:r>
        <w:rPr>
          <w:rFonts w:ascii="Arial" w:cs="Arial" w:eastAsia="Arial" w:hAnsi="Arial"/>
          <w:color w:val="1A1A2E"/>
          <w:sz w:val="22"/>
          <w:szCs w:val="22"/>
        </w:rPr>
        <w:t xml:space="preserve">Enables A/B testing of different agent configurations against each other, selecting winners based on measurable performance — a practical self-improvement mechanism.</w:t>
      </w:r>
    </w:p>
    <w:p>
      <w:pPr>
        <w:spacing w:before="80" w:after="80"/>
      </w:pPr>
      <w:r>
        <w:t xml:space="preserve"/>
      </w:r>
    </w:p>
    <w:p>
      <w:pPr>
        <w:spacing w:before="60" w:after="60"/>
      </w:pPr>
      <w:r>
        <w:rPr>
          <w:rFonts w:ascii="Arial" w:cs="Arial" w:eastAsia="Arial" w:hAnsi="Arial"/>
          <w:b/>
          <w:bCs/>
          <w:color w:val="1A1A2E"/>
          <w:sz w:val="22"/>
          <w:szCs w:val="22"/>
        </w:rPr>
        <w:t xml:space="preserve">Secure MCP Gateway</w:t>
      </w:r>
    </w:p>
    <w:p>
      <w:pPr>
        <w:pStyle w:val="ListParagraph"/>
        <w:numPr>
          <w:ilvl w:val="0"/>
          <w:numId w:val="2"/>
        </w:numPr>
        <w:spacing w:before="40" w:after="40"/>
      </w:pPr>
      <w:r>
        <w:rPr>
          <w:rFonts w:ascii="Arial" w:cs="Arial" w:eastAsia="Arial" w:hAnsi="Arial"/>
          <w:color w:val="1A1A2E"/>
          <w:sz w:val="22"/>
          <w:szCs w:val="22"/>
        </w:rPr>
        <w:t xml:space="preserve">Enables enterprise-scale MCP tool integration.</w:t>
      </w:r>
    </w:p>
    <w:p>
      <w:pPr>
        <w:spacing w:before="80" w:after="80"/>
      </w:pPr>
      <w:r>
        <w:t xml:space="preserve"/>
      </w:r>
    </w:p>
    <w:p>
      <w:pPr>
        <w:spacing w:before="200" w:after="80"/>
      </w:pPr>
      <w:r>
        <w:rPr>
          <w:rFonts w:ascii="Arial" w:cs="Arial" w:eastAsia="Arial" w:hAnsi="Arial"/>
          <w:b/>
          <w:bCs/>
          <w:color w:val="2E4057"/>
          <w:sz w:val="22"/>
          <w:szCs w:val="22"/>
        </w:rPr>
        <w:t xml:space="preserve">Self-Improvement Workflow</w:t>
      </w:r>
    </w:p>
    <w:p>
      <w:pPr>
        <w:spacing w:before="60" w:after="60"/>
      </w:pPr>
      <w:r>
        <w:rPr>
          <w:rFonts w:ascii="Arial" w:cs="Arial" w:eastAsia="Arial" w:hAnsi="Arial"/>
          <w:color w:val="1A1A2E"/>
          <w:sz w:val="22"/>
          <w:szCs w:val="22"/>
        </w:rPr>
        <w:t xml:space="preserve">Prototype agents visually → A/B test configurations in Battleground → route intelligently via AI Gateway → enforce governance via Agent Constraints → monitor via audit trails → iterate.</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Free Starter</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2,500 workflow executions/month.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Team / Enterprise</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Contact sales — token costs from LLM providers are separate.</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4. Cleric — Live Reference Implementation of Self-Improving Agents</w:t>
      </w:r>
    </w:p>
    <w:p>
      <w:pPr>
        <w:spacing w:before="60" w:after="60"/>
      </w:pPr>
      <w:r>
        <w:rPr>
          <w:rFonts w:ascii="Arial" w:cs="Arial" w:eastAsia="Arial" w:hAnsi="Arial"/>
          <w:color w:val="1A1A2E"/>
          <w:sz w:val="22"/>
          <w:szCs w:val="22"/>
        </w:rPr>
        <w:t xml:space="preserve">Cleric is an autonomous AI SRE agent that investigates production incidents, performs root cause analysis, and genuinely learns from every incident it handles. Named a Gartner Cool Vendor 2025 in AI for SRE and Observability, it has conducted over 200,000 production-grade investigations with ~5 minutes average time to root cause and 92% actionable findings.</w:t>
      </w:r>
    </w:p>
    <w:p>
      <w:pPr>
        <w:spacing w:before="80" w:after="80"/>
      </w:pPr>
      <w:r>
        <w:t xml:space="preserve"/>
      </w:r>
    </w:p>
    <w:p>
      <w:pPr>
        <w:spacing w:before="200" w:after="80"/>
      </w:pPr>
      <w:r>
        <w:rPr>
          <w:rFonts w:ascii="Arial" w:cs="Arial" w:eastAsia="Arial" w:hAnsi="Arial"/>
          <w:b/>
          <w:bCs/>
          <w:color w:val="2E4057"/>
          <w:sz w:val="22"/>
          <w:szCs w:val="22"/>
        </w:rPr>
        <w:t xml:space="preserve">Architecture — Three-Tier Memory System</w:t>
      </w:r>
    </w:p>
    <w:p>
      <w:pPr>
        <w:pStyle w:val="ListParagraph"/>
        <w:numPr>
          <w:ilvl w:val="0"/>
          <w:numId w:val="2"/>
        </w:numPr>
        <w:spacing w:before="40" w:after="40"/>
      </w:pPr>
      <w:r>
        <w:rPr>
          <w:rFonts w:ascii="Arial" w:cs="Arial" w:eastAsia="Arial" w:hAnsi="Arial"/>
          <w:color w:val="1A1A2E"/>
          <w:sz w:val="22"/>
          <w:szCs w:val="22"/>
        </w:rPr>
        <w:t xml:space="preserve">Knowledge Graph: auto-maps services, dependencies, and ownership.</w:t>
      </w:r>
    </w:p>
    <w:p>
      <w:pPr>
        <w:pStyle w:val="ListParagraph"/>
        <w:numPr>
          <w:ilvl w:val="0"/>
          <w:numId w:val="2"/>
        </w:numPr>
        <w:spacing w:before="40" w:after="40"/>
      </w:pPr>
      <w:r>
        <w:rPr>
          <w:rFonts w:ascii="Arial" w:cs="Arial" w:eastAsia="Arial" w:hAnsi="Arial"/>
          <w:color w:val="1A1A2E"/>
          <w:sz w:val="22"/>
          <w:szCs w:val="22"/>
        </w:rPr>
        <w:t xml:space="preserve">Procedural Memory: stores runbooks and team processes.</w:t>
      </w:r>
    </w:p>
    <w:p>
      <w:pPr>
        <w:pStyle w:val="ListParagraph"/>
        <w:numPr>
          <w:ilvl w:val="0"/>
          <w:numId w:val="2"/>
        </w:numPr>
        <w:spacing w:before="40" w:after="40"/>
      </w:pPr>
      <w:r>
        <w:rPr>
          <w:rFonts w:ascii="Arial" w:cs="Arial" w:eastAsia="Arial" w:hAnsi="Arial"/>
          <w:color w:val="1A1A2E"/>
          <w:sz w:val="22"/>
          <w:szCs w:val="22"/>
        </w:rPr>
        <w:t xml:space="preserve">Episodic Memory: records specific incidents, actions taken, and outcomes (extracted from Slack threads, PRs, and postmortems). Every fix teaches Cleric something new.</w:t>
      </w:r>
    </w:p>
    <w:p>
      <w:pPr>
        <w:spacing w:before="80" w:after="80"/>
      </w:pPr>
      <w:r>
        <w:t xml:space="preserve"/>
      </w:r>
    </w:p>
    <w:p>
      <w:pPr>
        <w:spacing w:before="200" w:after="80"/>
      </w:pPr>
      <w:r>
        <w:rPr>
          <w:rFonts w:ascii="Arial" w:cs="Arial" w:eastAsia="Arial" w:hAnsi="Arial"/>
          <w:b/>
          <w:bCs/>
          <w:color w:val="2E4057"/>
          <w:sz w:val="22"/>
          <w:szCs w:val="22"/>
        </w:rPr>
        <w:t xml:space="preserve">Investigation Engine</w:t>
      </w:r>
    </w:p>
    <w:p>
      <w:pPr>
        <w:pStyle w:val="ListParagraph"/>
        <w:numPr>
          <w:ilvl w:val="0"/>
          <w:numId w:val="2"/>
        </w:numPr>
        <w:spacing w:before="40" w:after="40"/>
      </w:pPr>
      <w:r>
        <w:rPr>
          <w:rFonts w:ascii="Arial" w:cs="Arial" w:eastAsia="Arial" w:hAnsi="Arial"/>
          <w:color w:val="1A1A2E"/>
          <w:sz w:val="22"/>
          <w:szCs w:val="22"/>
        </w:rPr>
        <w:t xml:space="preserve">Hypothesis-driven reasoning — forms and tests multiple hypotheses in parallel with transparent reasoning trees.</w:t>
      </w:r>
    </w:p>
    <w:p>
      <w:pPr>
        <w:pStyle w:val="ListParagraph"/>
        <w:numPr>
          <w:ilvl w:val="0"/>
          <w:numId w:val="2"/>
        </w:numPr>
        <w:spacing w:before="40" w:after="40"/>
      </w:pPr>
      <w:r>
        <w:rPr>
          <w:rFonts w:ascii="Arial" w:cs="Arial" w:eastAsia="Arial" w:hAnsi="Arial"/>
          <w:color w:val="1A1A2E"/>
          <w:sz w:val="22"/>
          <w:szCs w:val="22"/>
        </w:rPr>
        <w:t xml:space="preserve">Proprietary confidence scoring determines when to surface findings versus stay quiet, reducing alert fatigue and improving over time based on feedback.</w:t>
      </w:r>
    </w:p>
    <w:p>
      <w:pPr>
        <w:spacing w:before="80" w:after="80"/>
      </w:pPr>
      <w:r>
        <w:t xml:space="preserve"/>
      </w:r>
    </w:p>
    <w:p>
      <w:pPr>
        <w:spacing w:before="200" w:after="80"/>
      </w:pPr>
      <w:r>
        <w:rPr>
          <w:rFonts w:ascii="Arial" w:cs="Arial" w:eastAsia="Arial" w:hAnsi="Arial"/>
          <w:b/>
          <w:bCs/>
          <w:color w:val="2E4057"/>
          <w:sz w:val="22"/>
          <w:szCs w:val="22"/>
        </w:rPr>
        <w:t xml:space="preserve">Integrations</w:t>
      </w:r>
    </w:p>
    <w:p>
      <w:pPr>
        <w:spacing w:before="60" w:after="60"/>
      </w:pPr>
      <w:r>
        <w:rPr>
          <w:rFonts w:ascii="Arial" w:cs="Arial" w:eastAsia="Arial" w:hAnsi="Arial"/>
          <w:color w:val="1A1A2E"/>
          <w:sz w:val="22"/>
          <w:szCs w:val="22"/>
        </w:rPr>
        <w:t xml:space="preserve">PagerDuty, Datadog, Prometheus, CloudWatch, Sentry, Kubernetes APIs, AWS/GCP/Azure, GitHub (including PR creation for fixes), Confluence, and Notion. All integrations are source-available and extensible — you can teach Cleric to work with internal APIs.</w:t>
      </w:r>
    </w:p>
    <w:p>
      <w:pPr>
        <w:spacing w:before="80" w:after="80"/>
      </w:pPr>
      <w:r>
        <w:t xml:space="preserve"/>
      </w:r>
    </w:p>
    <w:p>
      <w:pPr>
        <w:spacing w:before="200" w:after="80"/>
      </w:pPr>
      <w:r>
        <w:rPr>
          <w:rFonts w:ascii="Arial" w:cs="Arial" w:eastAsia="Arial" w:hAnsi="Arial"/>
          <w:b/>
          <w:bCs/>
          <w:color w:val="2E4057"/>
          <w:sz w:val="22"/>
          <w:szCs w:val="22"/>
        </w:rPr>
        <w:t xml:space="preserve">Architectural Patterns Worth Studying</w:t>
      </w:r>
    </w:p>
    <w:p>
      <w:pPr>
        <w:pStyle w:val="ListParagraph"/>
        <w:numPr>
          <w:ilvl w:val="0"/>
          <w:numId w:val="2"/>
        </w:numPr>
        <w:spacing w:before="40" w:after="40"/>
      </w:pPr>
      <w:r>
        <w:rPr>
          <w:rFonts w:ascii="Arial" w:cs="Arial" w:eastAsia="Arial" w:hAnsi="Arial"/>
          <w:color w:val="1A1A2E"/>
          <w:sz w:val="22"/>
          <w:szCs w:val="22"/>
        </w:rPr>
        <w:t xml:space="preserve">Progressive trust model: start read-only → suggest fixes → create PRs → eventually auto-remediate.</w:t>
      </w:r>
    </w:p>
    <w:p>
      <w:pPr>
        <w:pStyle w:val="ListParagraph"/>
        <w:numPr>
          <w:ilvl w:val="0"/>
          <w:numId w:val="2"/>
        </w:numPr>
        <w:spacing w:before="40" w:after="40"/>
      </w:pPr>
      <w:r>
        <w:rPr>
          <w:rFonts w:ascii="Arial" w:cs="Arial" w:eastAsia="Arial" w:hAnsi="Arial"/>
          <w:color w:val="1A1A2E"/>
          <w:sz w:val="22"/>
          <w:szCs w:val="22"/>
        </w:rPr>
        <w:t xml:space="preserve">Memory-driven self-improvement running in production at scale.</w:t>
      </w:r>
    </w:p>
    <w:p>
      <w:pPr>
        <w:pStyle w:val="ListParagraph"/>
        <w:numPr>
          <w:ilvl w:val="0"/>
          <w:numId w:val="2"/>
        </w:numPr>
        <w:spacing w:before="40" w:after="40"/>
      </w:pPr>
      <w:r>
        <w:rPr>
          <w:rFonts w:ascii="Arial" w:cs="Arial" w:eastAsia="Arial" w:hAnsi="Arial"/>
          <w:color w:val="1A1A2E"/>
          <w:sz w:val="22"/>
          <w:szCs w:val="22"/>
        </w:rPr>
        <w:t xml:space="preserve">Patterns accumulate across teams and systems — emergent organizational knowledge.</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Self-service signup</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signup.hq.cleric.ai — pricing requires contacting sales.</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5. Modulate AI — Voice Safety Guardrails</w:t>
      </w:r>
    </w:p>
    <w:p>
      <w:pPr>
        <w:spacing w:before="60" w:after="60"/>
      </w:pPr>
      <w:r>
        <w:rPr>
          <w:rFonts w:ascii="Arial" w:cs="Arial" w:eastAsia="Arial" w:hAnsi="Arial"/>
          <w:color w:val="1A1A2E"/>
          <w:sz w:val="22"/>
          <w:szCs w:val="22"/>
        </w:rPr>
        <w:t xml:space="preserve">Modulate's ToxMod is the world's first voice-native moderation system, powered by an Ensemble Listening Model (Velma) comprising hundreds of specialized sub-models that analyze not just words but emotion, tone, sarcasm, escalation dynamics, and interruption patterns in real time.</w:t>
      </w:r>
    </w:p>
    <w:p>
      <w:pPr>
        <w:spacing w:before="80" w:after="80"/>
      </w:pPr>
      <w:r>
        <w:t xml:space="preserve"/>
      </w:r>
    </w:p>
    <w:p>
      <w:pPr>
        <w:spacing w:before="200" w:after="80"/>
      </w:pPr>
      <w:r>
        <w:rPr>
          <w:rFonts w:ascii="Arial" w:cs="Arial" w:eastAsia="Arial" w:hAnsi="Arial"/>
          <w:b/>
          <w:bCs/>
          <w:color w:val="2E4057"/>
          <w:sz w:val="22"/>
          <w:szCs w:val="22"/>
        </w:rPr>
        <w:t xml:space="preserve">For Agent Builders</w:t>
      </w:r>
    </w:p>
    <w:p>
      <w:pPr>
        <w:spacing w:before="60" w:after="60"/>
      </w:pPr>
      <w:r>
        <w:rPr>
          <w:rFonts w:ascii="Arial" w:cs="Arial" w:eastAsia="Arial" w:hAnsi="Arial"/>
          <w:color w:val="1A1A2E"/>
          <w:sz w:val="22"/>
          <w:szCs w:val="22"/>
        </w:rPr>
        <w:t xml:space="preserve">ToxMod serves as a safety guardrail layer for any voice-based AI agent. It detects harassment, threats, grooming, and doxxing in live conversations across 18 languages. When toxicity is detected, automated escalation can trigger warnings, conversation termination, or human handoff.</w:t>
      </w:r>
    </w:p>
    <w:p>
      <w:pPr>
        <w:spacing w:before="80" w:after="80"/>
      </w:pPr>
      <w:r>
        <w:t xml:space="preserve"/>
      </w:r>
    </w:p>
    <w:p>
      <w:pPr>
        <w:spacing w:before="200" w:after="80"/>
      </w:pPr>
      <w:r>
        <w:rPr>
          <w:rFonts w:ascii="Arial" w:cs="Arial" w:eastAsia="Arial" w:hAnsi="Arial"/>
          <w:b/>
          <w:bCs/>
          <w:color w:val="2E4057"/>
          <w:sz w:val="22"/>
          <w:szCs w:val="22"/>
        </w:rPr>
        <w:t xml:space="preserve">Key APIs</w:t>
      </w:r>
    </w:p>
    <w:p>
      <w:pPr>
        <w:pStyle w:val="ListParagraph"/>
        <w:numPr>
          <w:ilvl w:val="0"/>
          <w:numId w:val="2"/>
        </w:numPr>
        <w:spacing w:before="40" w:after="40"/>
      </w:pPr>
      <w:r>
        <w:rPr>
          <w:rFonts w:ascii="Arial" w:cs="Arial" w:eastAsia="Arial" w:hAnsi="Arial"/>
          <w:color w:val="1A1A2E"/>
          <w:sz w:val="22"/>
          <w:szCs w:val="22"/>
        </w:rPr>
        <w:t xml:space="preserve">Moderation Action Integration: webhook notifications with transcriptions, audio URLs, and toxicity scores.</w:t>
      </w:r>
    </w:p>
    <w:p>
      <w:pPr>
        <w:pStyle w:val="ListParagraph"/>
        <w:numPr>
          <w:ilvl w:val="0"/>
          <w:numId w:val="2"/>
        </w:numPr>
        <w:spacing w:before="40" w:after="40"/>
      </w:pPr>
      <w:r>
        <w:rPr>
          <w:rFonts w:ascii="Arial" w:cs="Arial" w:eastAsia="Arial" w:hAnsi="Arial"/>
          <w:color w:val="1A1A2E"/>
          <w:sz w:val="22"/>
          <w:szCs w:val="22"/>
        </w:rPr>
        <w:t xml:space="preserve">Appeals API: feeds overturned decisions back into ToxMod, creating a genuine self-improvement loop where moderation models continuously refine accuracy based on outcomes.</w:t>
      </w:r>
    </w:p>
    <w:p>
      <w:pPr>
        <w:pStyle w:val="ListParagraph"/>
        <w:numPr>
          <w:ilvl w:val="0"/>
          <w:numId w:val="2"/>
        </w:numPr>
        <w:spacing w:before="40" w:after="40"/>
      </w:pPr>
      <w:r>
        <w:rPr>
          <w:rFonts w:ascii="Arial" w:cs="Arial" w:eastAsia="Arial" w:hAnsi="Arial"/>
          <w:color w:val="1A1A2E"/>
          <w:sz w:val="22"/>
          <w:szCs w:val="22"/>
        </w:rPr>
        <w:t xml:space="preserve">Data Insights API: provides behavioral analytics programmatically.</w:t>
      </w:r>
    </w:p>
    <w:p>
      <w:pPr>
        <w:spacing w:before="80" w:after="80"/>
      </w:pPr>
      <w:r>
        <w:t xml:space="preserve"/>
      </w:r>
    </w:p>
    <w:p>
      <w:pPr>
        <w:spacing w:before="200" w:after="80"/>
      </w:pPr>
      <w:r>
        <w:rPr>
          <w:rFonts w:ascii="Arial" w:cs="Arial" w:eastAsia="Arial" w:hAnsi="Arial"/>
          <w:b/>
          <w:bCs/>
          <w:color w:val="2E4057"/>
          <w:sz w:val="22"/>
          <w:szCs w:val="22"/>
        </w:rPr>
        <w:t xml:space="preserve">SDKs &amp; Compliance</w:t>
      </w:r>
    </w:p>
    <w:p>
      <w:pPr>
        <w:pStyle w:val="ListParagraph"/>
        <w:numPr>
          <w:ilvl w:val="0"/>
          <w:numId w:val="2"/>
        </w:numPr>
        <w:spacing w:before="40" w:after="40"/>
      </w:pPr>
      <w:r>
        <w:rPr>
          <w:rFonts w:ascii="Arial" w:cs="Arial" w:eastAsia="Arial" w:hAnsi="Arial"/>
          <w:color w:val="1A1A2E"/>
          <w:sz w:val="22"/>
          <w:szCs w:val="22"/>
        </w:rPr>
        <w:t xml:space="preserve">Native C/C++ libraries for Windows, macOS, Linux, Android, iOS with Unity and Unreal Engine plugins.</w:t>
      </w:r>
    </w:p>
    <w:p>
      <w:pPr>
        <w:pStyle w:val="ListParagraph"/>
        <w:numPr>
          <w:ilvl w:val="0"/>
          <w:numId w:val="2"/>
        </w:numPr>
        <w:spacing w:before="40" w:after="40"/>
      </w:pPr>
      <w:r>
        <w:rPr>
          <w:rFonts w:ascii="Arial" w:cs="Arial" w:eastAsia="Arial" w:hAnsi="Arial"/>
          <w:color w:val="1A1A2E"/>
          <w:sz w:val="22"/>
          <w:szCs w:val="22"/>
        </w:rPr>
        <w:t xml:space="preserve">ISO 27001 and GDPR compliant.</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Starter</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$0/month — 1,500 one-time voice hours, $0.075/hour overage.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Epic</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$5,000/month — 50,000 hours across 18 languages.</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6. Lightdash — Metrics-Driven Feedback Loops via Open-Source BI</w:t>
      </w:r>
    </w:p>
    <w:p>
      <w:pPr>
        <w:spacing w:before="60" w:after="60"/>
      </w:pPr>
      <w:r>
        <w:rPr>
          <w:rFonts w:ascii="Arial" w:cs="Arial" w:eastAsia="Arial" w:hAnsi="Arial"/>
          <w:color w:val="1A1A2E"/>
          <w:sz w:val="22"/>
          <w:szCs w:val="22"/>
        </w:rPr>
        <w:t xml:space="preserve">Lightdash is an MIT-licensed open-source BI platform built natively on dbt, funded by an $11M Series A from Accel. It connects AI agents to governed business metrics for measurable, outcome-driven self-improvement.</w:t>
      </w:r>
    </w:p>
    <w:p>
      <w:pPr>
        <w:spacing w:before="80" w:after="80"/>
      </w:pPr>
      <w:r>
        <w:t xml:space="preserve"/>
      </w:r>
    </w:p>
    <w:p>
      <w:pPr>
        <w:spacing w:before="200" w:after="80"/>
      </w:pPr>
      <w:r>
        <w:rPr>
          <w:rFonts w:ascii="Arial" w:cs="Arial" w:eastAsia="Arial" w:hAnsi="Arial"/>
          <w:b/>
          <w:bCs/>
          <w:color w:val="2E4057"/>
          <w:sz w:val="22"/>
          <w:szCs w:val="22"/>
        </w:rPr>
        <w:t xml:space="preserve">Key Agent-Relevant Features</w:t>
      </w:r>
    </w:p>
    <w:p>
      <w:pPr>
        <w:spacing w:before="60" w:after="60"/>
      </w:pPr>
      <w:r>
        <w:rPr>
          <w:rFonts w:ascii="Arial" w:cs="Arial" w:eastAsia="Arial" w:hAnsi="Arial"/>
          <w:b/>
          <w:bCs/>
          <w:color w:val="1A1A2E"/>
          <w:sz w:val="22"/>
          <w:szCs w:val="22"/>
        </w:rPr>
        <w:t xml:space="preserve">MCP Server</w:t>
      </w:r>
    </w:p>
    <w:p>
      <w:pPr>
        <w:pStyle w:val="ListParagraph"/>
        <w:numPr>
          <w:ilvl w:val="0"/>
          <w:numId w:val="2"/>
        </w:numPr>
        <w:spacing w:before="40" w:after="40"/>
      </w:pPr>
      <w:r>
        <w:rPr>
          <w:rFonts w:ascii="Arial" w:cs="Arial" w:eastAsia="Arial" w:hAnsi="Arial"/>
          <w:color w:val="1A1A2E"/>
          <w:sz w:val="22"/>
          <w:szCs w:val="22"/>
        </w:rPr>
        <w:t xml:space="preserve">Bridges any MCP-compatible AI assistant (Claude, custom agents) to Lightdash for structured, semantic-layer-backed data queries — the most agent-relevant feature.</w:t>
      </w:r>
    </w:p>
    <w:p>
      <w:pPr>
        <w:spacing w:before="80" w:after="80"/>
      </w:pPr>
      <w:r>
        <w:t xml:space="preserve"/>
      </w:r>
    </w:p>
    <w:p>
      <w:pPr>
        <w:spacing w:before="60" w:after="60"/>
      </w:pPr>
      <w:r>
        <w:rPr>
          <w:rFonts w:ascii="Arial" w:cs="Arial" w:eastAsia="Arial" w:hAnsi="Arial"/>
          <w:b/>
          <w:bCs/>
          <w:color w:val="1A1A2E"/>
          <w:sz w:val="22"/>
          <w:szCs w:val="22"/>
        </w:rPr>
        <w:t xml:space="preserve">AI Analyst</w:t>
      </w:r>
    </w:p>
    <w:p>
      <w:pPr>
        <w:pStyle w:val="ListParagraph"/>
        <w:numPr>
          <w:ilvl w:val="0"/>
          <w:numId w:val="2"/>
        </w:numPr>
        <w:spacing w:before="40" w:after="40"/>
      </w:pPr>
      <w:r>
        <w:rPr>
          <w:rFonts w:ascii="Arial" w:cs="Arial" w:eastAsia="Arial" w:hAnsi="Arial"/>
          <w:color w:val="1A1A2E"/>
          <w:sz w:val="22"/>
          <w:szCs w:val="22"/>
        </w:rPr>
        <w:t xml:space="preserve">Enables natural language querying of business metrics.</w:t>
      </w:r>
    </w:p>
    <w:p>
      <w:pPr>
        <w:spacing w:before="80" w:after="80"/>
      </w:pPr>
      <w:r>
        <w:t xml:space="preserve"/>
      </w:r>
    </w:p>
    <w:p>
      <w:pPr>
        <w:spacing w:before="60" w:after="60"/>
      </w:pPr>
      <w:r>
        <w:rPr>
          <w:rFonts w:ascii="Arial" w:cs="Arial" w:eastAsia="Arial" w:hAnsi="Arial"/>
          <w:b/>
          <w:bCs/>
          <w:color w:val="1A1A2E"/>
          <w:sz w:val="22"/>
          <w:szCs w:val="22"/>
        </w:rPr>
        <w:t xml:space="preserve">AI Agents Add-on ($600/month)</w:t>
      </w:r>
    </w:p>
    <w:p>
      <w:pPr>
        <w:pStyle w:val="ListParagraph"/>
        <w:numPr>
          <w:ilvl w:val="0"/>
          <w:numId w:val="2"/>
        </w:numPr>
        <w:spacing w:before="40" w:after="40"/>
      </w:pPr>
      <w:r>
        <w:rPr>
          <w:rFonts w:ascii="Arial" w:cs="Arial" w:eastAsia="Arial" w:hAnsi="Arial"/>
          <w:color w:val="1A1A2E"/>
          <w:sz w:val="22"/>
          <w:szCs w:val="22"/>
        </w:rPr>
        <w:t xml:space="preserve">Purpose-built data Q&amp;A agents in the UI and Slack.</w:t>
      </w:r>
    </w:p>
    <w:p>
      <w:pPr>
        <w:spacing w:before="80" w:after="80"/>
      </w:pPr>
      <w:r>
        <w:t xml:space="preserve"/>
      </w:r>
    </w:p>
    <w:p>
      <w:pPr>
        <w:spacing w:before="200" w:after="80"/>
      </w:pPr>
      <w:r>
        <w:rPr>
          <w:rFonts w:ascii="Arial" w:cs="Arial" w:eastAsia="Arial" w:hAnsi="Arial"/>
          <w:b/>
          <w:bCs/>
          <w:color w:val="2E4057"/>
          <w:sz w:val="22"/>
          <w:szCs w:val="22"/>
        </w:rPr>
        <w:t xml:space="preserve">Self-Improvement Feedback Loop</w:t>
      </w:r>
    </w:p>
    <w:p>
      <w:pPr>
        <w:spacing w:before="60" w:after="60"/>
      </w:pPr>
      <w:r>
        <w:rPr>
          <w:rFonts w:ascii="Arial" w:cs="Arial" w:eastAsia="Arial" w:hAnsi="Arial"/>
          <w:color w:val="1A1A2E"/>
          <w:sz w:val="22"/>
          <w:szCs w:val="22"/>
        </w:rPr>
        <w:t xml:space="preserve">Define success metrics in dbt → query programmatically via the Python SDK (pip install lightdash) or REST API → feed results into evaluation pipelines → set threshold-based alerts that trigger improvement workflows via webhooks. This creates a metrics-driven feedback loop where agents adjust behavior based on measured business outcomes.</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Open-Source (self-hosted)</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Completely free — full BI features, MIT licensed.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Cloud Pro</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$2,400/month — unlimited users (no per-seat), API access, webhooks, smart caching. 21-day free trial, no credit card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AI Agents Add-on</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$600/month on top of Cloud Pro.</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7. Flora AI — Creative Asset Generation</w:t>
      </w:r>
    </w:p>
    <w:p>
      <w:pPr>
        <w:spacing w:before="60" w:after="60"/>
      </w:pPr>
      <w:r>
        <w:rPr>
          <w:rFonts w:ascii="Arial" w:cs="Arial" w:eastAsia="Arial" w:hAnsi="Arial"/>
          <w:color w:val="1A1A2E"/>
          <w:sz w:val="22"/>
          <w:szCs w:val="22"/>
        </w:rPr>
        <w:t xml:space="preserve">Flora (florafauna.ai) is a node-based creative AI canvas integrating 40+ generative models (GPT-4o, FLUX, Kling, Stable Diffusion, and others) for text, image, and video production. Recently raised a $42M Series A.</w:t>
      </w:r>
    </w:p>
    <w:p>
      <w:pPr>
        <w:spacing w:before="80" w:after="80"/>
      </w:pPr>
      <w:r>
        <w:t xml:space="preserve"/>
      </w:r>
    </w:p>
    <w:p>
      <w:pPr>
        <w:spacing w:before="200" w:after="80"/>
      </w:pPr>
      <w:r>
        <w:rPr>
          <w:rFonts w:ascii="Arial" w:cs="Arial" w:eastAsia="Arial" w:hAnsi="Arial"/>
          <w:b/>
          <w:bCs/>
          <w:color w:val="2E4057"/>
          <w:sz w:val="22"/>
          <w:szCs w:val="22"/>
        </w:rPr>
        <w:t xml:space="preserve">Relevance to Self-Improving Agents</w:t>
      </w:r>
    </w:p>
    <w:p>
      <w:pPr>
        <w:spacing w:before="60" w:after="60"/>
      </w:pPr>
      <w:r>
        <w:rPr>
          <w:rFonts w:ascii="Arial" w:cs="Arial" w:eastAsia="Arial" w:hAnsi="Arial"/>
          <w:color w:val="1A1A2E"/>
          <w:sz w:val="22"/>
          <w:szCs w:val="22"/>
        </w:rPr>
        <w:t xml:space="preserve">Flora is a creative production tool, not an agent framework. Its relevance is as a downstream asset-generation endpoint — for example, a marketing agent that programmatically generates brand assets. It offers no built-in evaluation, memory, orchestration, or self-improvement features. An API is referenced in documentation but not publicly documented with endpoints.</w:t>
      </w:r>
    </w:p>
    <w:p>
      <w:pPr>
        <w:spacing w:before="80" w:after="80"/>
      </w:pPr>
      <w:r>
        <w:t xml:space="preserve"/>
      </w:r>
    </w:p>
    <w:p>
      <w:pPr>
        <w:spacing w:before="200" w:after="80"/>
      </w:pPr>
      <w:r>
        <w:rPr>
          <w:rFonts w:ascii="Arial" w:cs="Arial" w:eastAsia="Arial" w:hAnsi="Arial"/>
          <w:b/>
          <w:bCs/>
          <w:color w:val="2E4057"/>
          <w:sz w:val="22"/>
          <w:szCs w:val="22"/>
        </w:rPr>
        <w:t xml:space="preserve">Potential Use Cases</w:t>
      </w:r>
    </w:p>
    <w:p>
      <w:pPr>
        <w:pStyle w:val="ListParagraph"/>
        <w:numPr>
          <w:ilvl w:val="0"/>
          <w:numId w:val="2"/>
        </w:numPr>
        <w:spacing w:before="40" w:after="40"/>
      </w:pPr>
      <w:r>
        <w:rPr>
          <w:rFonts w:ascii="Arial" w:cs="Arial" w:eastAsia="Arial" w:hAnsi="Arial"/>
          <w:color w:val="1A1A2E"/>
          <w:sz w:val="22"/>
          <w:szCs w:val="22"/>
        </w:rPr>
        <w:t xml:space="preserve">Marketing automation: agent triggers brand asset generation via Flora as a tool call.</w:t>
      </w:r>
    </w:p>
    <w:p>
      <w:pPr>
        <w:pStyle w:val="ListParagraph"/>
        <w:numPr>
          <w:ilvl w:val="0"/>
          <w:numId w:val="2"/>
        </w:numPr>
        <w:spacing w:before="40" w:after="40"/>
      </w:pPr>
      <w:r>
        <w:rPr>
          <w:rFonts w:ascii="Arial" w:cs="Arial" w:eastAsia="Arial" w:hAnsi="Arial"/>
          <w:color w:val="1A1A2E"/>
          <w:sz w:val="22"/>
          <w:szCs w:val="22"/>
        </w:rPr>
        <w:t xml:space="preserve">Content pipeline: downstream node in a multi-agent workflow for generating visual deliverables.</w:t>
      </w:r>
    </w:p>
    <w:p>
      <w:pPr>
        <w:pStyle w:val="ListParagraph"/>
        <w:numPr>
          <w:ilvl w:val="0"/>
          <w:numId w:val="2"/>
        </w:numPr>
        <w:spacing w:before="40" w:after="40"/>
      </w:pPr>
      <w:r>
        <w:rPr>
          <w:rFonts w:ascii="Arial" w:cs="Arial" w:eastAsia="Arial" w:hAnsi="Arial"/>
          <w:color w:val="1A1A2E"/>
          <w:sz w:val="22"/>
          <w:szCs w:val="22"/>
        </w:rPr>
        <w:t xml:space="preserve">Creative experimentation: A/B testing different visual styles when paired with external evaluation infrastructure.</w:t>
      </w:r>
    </w:p>
    <w:p>
      <w:pPr>
        <w:spacing w:before="80" w:after="80"/>
      </w:pPr>
      <w:r>
        <w:t xml:space="preserve"/>
      </w:r>
    </w:p>
    <w:p>
      <w:pPr>
        <w:spacing w:before="200" w:after="80"/>
      </w:pPr>
      <w:r>
        <w:rPr>
          <w:rFonts w:ascii="Arial" w:cs="Arial" w:eastAsia="Arial" w:hAnsi="Arial"/>
          <w:b/>
          <w:bCs/>
          <w:color w:val="2E4057"/>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Free</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1,000 credits — access to all 40+ models. Unlimited team members.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Explorer</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~$18/month — credit-based, not per-seat.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D8E4F0" w:val="clear"/>
            <w:tcMar>
              <w:top w:type="dxa" w:w="60"/>
              <w:left w:type="dxa" w:w="120"/>
              <w:bottom w:type="dxa" w:w="60"/>
              <w:right w:type="dxa" w:w="120"/>
            </w:tcMar>
          </w:tcPr>
          <w:p>
            <w:r>
              <w:rPr>
                <w:rFonts w:ascii="Arial" w:cs="Arial" w:eastAsia="Arial" w:hAnsi="Arial"/>
                <w:b/>
                <w:bCs/>
                <w:color w:val="2E4057"/>
                <w:sz w:val="20"/>
                <w:szCs w:val="20"/>
              </w:rPr>
              <w:t xml:space="preserve">Pro</w:t>
            </w:r>
          </w:p>
        </w:tc>
        <w:tc>
          <w:tcPr>
            <w:tcW w:type="dxa" w:w="7360"/>
            <w:tcBorders>
              <w:top w:val="none"/>
              <w:left w:val="none"/>
              <w:bottom w:val="none"/>
              <w:right w:val="none"/>
            </w:tcBorders>
            <w:shd w:fill="F0F4F8" w:val="clear"/>
            <w:tcMar>
              <w:top w:type="dxa" w:w="60"/>
              <w:left w:type="dxa" w:w="120"/>
              <w:bottom w:type="dxa" w:w="60"/>
              <w:right w:type="dxa" w:w="120"/>
            </w:tcMar>
          </w:tcPr>
          <w:p>
            <w:r>
              <w:rPr>
                <w:rFonts w:ascii="Arial" w:cs="Arial" w:eastAsia="Arial" w:hAnsi="Arial"/>
                <w:color w:val="1A1A2E"/>
                <w:sz w:val="20"/>
                <w:szCs w:val="20"/>
              </w:rPr>
              <w:t xml:space="preserve">~$54/month — credit-based, not per-seat.</w:t>
            </w:r>
          </w:p>
        </w:tc>
      </w:tr>
    </w:tbl>
    <w:p>
      <w:pPr>
        <w:spacing w:before="80" w:after="80"/>
      </w:pPr>
      <w:r>
        <w:t xml:space="preserve"/>
      </w:r>
    </w:p>
    <w:p>
      <w:pPr>
        <w:pStyle w:val="Heading1"/>
        <w:pBdr>
          <w:bottom w:val="single" w:color="2E4057" w:sz="6" w:space="4"/>
        </w:pBdr>
        <w:spacing w:before="400" w:after="200"/>
      </w:pPr>
      <w:r>
        <w:rPr>
          <w:rFonts w:ascii="Arial" w:cs="Arial" w:eastAsia="Arial" w:hAnsi="Arial"/>
          <w:b/>
          <w:bCs/>
          <w:color w:val="2E4057"/>
          <w:sz w:val="36"/>
          <w:szCs w:val="36"/>
        </w:rPr>
        <w:t xml:space="preserve">Conclusion — Assembling the Self-Improving Agent Stack</w:t>
      </w:r>
    </w:p>
    <w:p>
      <w:pPr>
        <w:spacing w:before="60" w:after="60"/>
      </w:pPr>
      <w:r>
        <w:rPr>
          <w:rFonts w:ascii="Arial" w:cs="Arial" w:eastAsia="Arial" w:hAnsi="Arial"/>
          <w:color w:val="1A1A2E"/>
          <w:sz w:val="22"/>
          <w:szCs w:val="22"/>
        </w:rPr>
        <w:t xml:space="preserve">The most impactful combination for a developer building self-improving agents draws from five tiers across these seven sponsors.</w:t>
      </w:r>
    </w:p>
    <w:p>
      <w:pPr>
        <w:spacing w:before="80" w:after="80"/>
      </w:pPr>
      <w:r>
        <w:t xml:space="preserve"/>
      </w:r>
    </w:p>
    <w:p>
      <w:pPr>
        <w:pStyle w:val="ListParagraph"/>
        <w:numPr>
          <w:ilvl w:val="0"/>
          <w:numId w:val="2"/>
        </w:numPr>
        <w:spacing w:before="40" w:after="40"/>
      </w:pPr>
      <w:r>
        <w:rPr>
          <w:rFonts w:ascii="Arial" w:cs="Arial" w:eastAsia="Arial" w:hAnsi="Arial"/>
          <w:color w:val="1A1A2E"/>
          <w:sz w:val="22"/>
          <w:szCs w:val="22"/>
        </w:rPr>
        <w:t xml:space="preserve">Reasoning Backbone: Google DeepMind's ADK and Gemini API provide multi-agent orchestration with built-in evaluation and the ability to fine-tune Gemma models on accumulated experience.</w:t>
      </w:r>
    </w:p>
    <w:p>
      <w:pPr>
        <w:pStyle w:val="ListParagraph"/>
        <w:numPr>
          <w:ilvl w:val="0"/>
          <w:numId w:val="2"/>
        </w:numPr>
        <w:spacing w:before="40" w:after="40"/>
      </w:pPr>
      <w:r>
        <w:rPr>
          <w:rFonts w:ascii="Arial" w:cs="Arial" w:eastAsia="Arial" w:hAnsi="Arial"/>
          <w:color w:val="1A1A2E"/>
          <w:sz w:val="22"/>
          <w:szCs w:val="22"/>
        </w:rPr>
        <w:t xml:space="preserve">Evaluation Loop: Braintrust delivers the tightest evaluation-to-improvement cycle with its Loop Agent, one-click trace-to-dataset pipeline, and CI/CD evaluation gates.</w:t>
      </w:r>
    </w:p>
    <w:p>
      <w:pPr>
        <w:pStyle w:val="ListParagraph"/>
        <w:numPr>
          <w:ilvl w:val="0"/>
          <w:numId w:val="2"/>
        </w:numPr>
        <w:spacing w:before="40" w:after="40"/>
      </w:pPr>
      <w:r>
        <w:rPr>
          <w:rFonts w:ascii="Arial" w:cs="Arial" w:eastAsia="Arial" w:hAnsi="Arial"/>
          <w:color w:val="1A1A2E"/>
          <w:sz w:val="22"/>
          <w:szCs w:val="22"/>
        </w:rPr>
        <w:t xml:space="preserve">Enterprise Governance: Airia handles orchestration at scale with Battleground A/B testing, intelligent model routing, and centralized policy enforcement.</w:t>
      </w:r>
    </w:p>
    <w:p>
      <w:pPr>
        <w:pStyle w:val="ListParagraph"/>
        <w:numPr>
          <w:ilvl w:val="0"/>
          <w:numId w:val="2"/>
        </w:numPr>
        <w:spacing w:before="40" w:after="40"/>
      </w:pPr>
      <w:r>
        <w:rPr>
          <w:rFonts w:ascii="Arial" w:cs="Arial" w:eastAsia="Arial" w:hAnsi="Arial"/>
          <w:color w:val="1A1A2E"/>
          <w:sz w:val="22"/>
          <w:szCs w:val="22"/>
        </w:rPr>
        <w:t xml:space="preserve">Production Reference: Cleric serves dual roles — keeping agent infrastructure healthy in production, and providing an architectural blueprint for memory-driven self-improvement that actually works at scale.</w:t>
      </w:r>
    </w:p>
    <w:p>
      <w:pPr>
        <w:pStyle w:val="ListParagraph"/>
        <w:numPr>
          <w:ilvl w:val="0"/>
          <w:numId w:val="2"/>
        </w:numPr>
        <w:spacing w:before="40" w:after="40"/>
      </w:pPr>
      <w:r>
        <w:rPr>
          <w:rFonts w:ascii="Arial" w:cs="Arial" w:eastAsia="Arial" w:hAnsi="Arial"/>
          <w:color w:val="1A1A2E"/>
          <w:sz w:val="22"/>
          <w:szCs w:val="22"/>
        </w:rPr>
        <w:t xml:space="preserve">Safety &amp; Guardrails: Modulate AI ensures voice-based agent interactions remain safe, with an Appeals API feedback loop that continuously refines moderation accuracy.</w:t>
      </w:r>
    </w:p>
    <w:p>
      <w:pPr>
        <w:pStyle w:val="ListParagraph"/>
        <w:numPr>
          <w:ilvl w:val="0"/>
          <w:numId w:val="2"/>
        </w:numPr>
        <w:spacing w:before="40" w:after="40"/>
      </w:pPr>
      <w:r>
        <w:rPr>
          <w:rFonts w:ascii="Arial" w:cs="Arial" w:eastAsia="Arial" w:hAnsi="Arial"/>
          <w:color w:val="1A1A2E"/>
          <w:sz w:val="22"/>
          <w:szCs w:val="22"/>
        </w:rPr>
        <w:t xml:space="preserve">Metrics Feedback: Lightdash closes the loop between agent behavior and measurable business outcomes through governed BI data and MCP server integration.</w:t>
      </w:r>
    </w:p>
    <w:p>
      <w:pPr>
        <w:pStyle w:val="ListParagraph"/>
        <w:numPr>
          <w:ilvl w:val="0"/>
          <w:numId w:val="2"/>
        </w:numPr>
        <w:spacing w:before="40" w:after="40"/>
      </w:pPr>
      <w:r>
        <w:rPr>
          <w:rFonts w:ascii="Arial" w:cs="Arial" w:eastAsia="Arial" w:hAnsi="Arial"/>
          <w:color w:val="1A1A2E"/>
          <w:sz w:val="22"/>
          <w:szCs w:val="22"/>
        </w:rPr>
        <w:t xml:space="preserve">Creative Endpoint: Flora AI serves as an optional downstream node for agents that need to generate visual assets, when paired with proper evaluation infrastructure.</w:t>
      </w:r>
    </w:p>
    <w:p>
      <w:pPr>
        <w:spacing w:before="80" w:after="80"/>
      </w:pPr>
      <w:r>
        <w:t xml:space="preserve"/>
      </w:r>
    </w:p>
    <w:p>
      <w:pPr>
        <w:spacing w:before="60" w:after="60"/>
      </w:pPr>
      <w:r>
        <w:rPr>
          <w:rFonts w:ascii="Arial" w:cs="Arial" w:eastAsia="Arial" w:hAnsi="Arial"/>
          <w:i/>
          <w:iCs/>
          <w:color w:val="1A1A2E"/>
          <w:sz w:val="22"/>
          <w:szCs w:val="22"/>
        </w:rPr>
        <w:t xml:space="preserve">The critical pattern across these sponsors: self-improvement requires closing the loop between production observation and systematic experimentation. Braintrust and Airia each offer this loop with different strengths. Cleric demonstrates it working autonomously in production at scale. The sponsors that merely provide inference or generation (Flora AI in isolation) do not enable self-improvement unless paired with evaluation and feedback infrastructure.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Building Self-Improving AI Agents — Sponsor Toolkit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2026-02-21T17:25:09.591Z</dcterms:created>
  <dcterms:modified xsi:type="dcterms:W3CDTF">2026-02-21T17:25:09.592Z</dcterms:modified>
</cp:coreProperties>
</file>

<file path=docProps/custom.xml><?xml version="1.0" encoding="utf-8"?>
<Properties xmlns="http://schemas.openxmlformats.org/officeDocument/2006/custom-properties" xmlns:vt="http://schemas.openxmlformats.org/officeDocument/2006/docPropsVTypes"/>
</file>