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Poster image description</w:t>
      </w:r>
    </w:p>
    <w:p w:rsidR="00000000" w:rsidDel="00000000" w:rsidP="00000000" w:rsidRDefault="00000000" w:rsidRPr="00000000" w14:paraId="00000002">
      <w:pPr>
        <w:ind w:left="40" w:firstLine="0"/>
        <w:rPr/>
      </w:pPr>
      <w:r w:rsidDel="00000000" w:rsidR="00000000" w:rsidRPr="00000000">
        <w:rPr>
          <w:rtl w:val="0"/>
        </w:rPr>
        <w:t xml:space="preserve">Campaign for the Gerrit Rietveld Academie’s and the Sandberg Instituut’s open day.</w:t>
      </w:r>
    </w:p>
    <w:p w:rsidR="00000000" w:rsidDel="00000000" w:rsidP="00000000" w:rsidRDefault="00000000" w:rsidRPr="00000000" w14:paraId="00000003">
      <w:pPr>
        <w:ind w:left="40" w:firstLine="0"/>
        <w:rPr/>
      </w:pPr>
      <w:r w:rsidDel="00000000" w:rsidR="00000000" w:rsidRPr="00000000">
        <w:rPr>
          <w:rtl w:val="0"/>
        </w:rPr>
        <w:t xml:space="preserve">Designed together with Ivo Blackwood, Velko Kalchev, and Manu-Sophie Linder in 2026. </w:t>
      </w:r>
    </w:p>
    <w:p w:rsidR="00000000" w:rsidDel="00000000" w:rsidP="00000000" w:rsidRDefault="00000000" w:rsidRPr="00000000" w14:paraId="00000004">
      <w:pPr>
        <w:ind w:left="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Big pencil image description </w:t>
      </w:r>
    </w:p>
    <w:p w:rsidR="00000000" w:rsidDel="00000000" w:rsidP="00000000" w:rsidRDefault="00000000" w:rsidRPr="00000000" w14:paraId="00000006">
      <w:pPr>
        <w:ind w:left="40" w:firstLine="0"/>
        <w:rPr/>
      </w:pPr>
      <w:r w:rsidDel="00000000" w:rsidR="00000000" w:rsidRPr="00000000">
        <w:rPr>
          <w:rtl w:val="0"/>
        </w:rPr>
        <w:t xml:space="preserve">The big pencil was used as a collaborative writing tool throughout the campaign to invite students and staff of both institutions to handwrite the campaign. </w:t>
        <w:br w:type="textWrapping"/>
        <w:t xml:space="preserve">Made with Velko Kalchev, 2024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