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92" w:rsidRPr="00D27292" w:rsidRDefault="00D27292" w:rsidP="00D27292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</w:pPr>
      <w:bookmarkStart w:id="0" w:name="_GoBack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40 citations de </w:t>
      </w:r>
      <w:proofErr w:type="spellStart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philo</w:t>
      </w:r>
      <w:proofErr w:type="spellEnd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 à </w:t>
      </w:r>
      <w:proofErr w:type="spellStart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connaître</w:t>
      </w:r>
      <w:proofErr w:type="spellEnd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 pour le </w:t>
      </w:r>
      <w:proofErr w:type="spellStart"/>
      <w:proofErr w:type="gramStart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bac</w:t>
      </w:r>
      <w:proofErr w:type="spellEnd"/>
      <w:r w:rsidRPr="00D27292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 :</w:t>
      </w:r>
      <w:proofErr w:type="gramEnd"/>
    </w:p>
    <w:bookmarkEnd w:id="0"/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1/ Descartes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“Je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pense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donc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je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suis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hyperlink r:id="rId6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explication du cogito</w:t>
        </w:r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)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Discours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de la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Méthode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2/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Socrate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Connais-toi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toi-même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(explication de la </w:t>
      </w:r>
      <w:hyperlink r:id="rId7" w:tooltip="Socrate : Connais-toi toi-même" w:history="1"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philosophie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de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socrate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 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Alcibiade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3/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Socrate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je sais,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je ne sais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rien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 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Apologie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de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Socrate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4/ Kant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“Il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faut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apprendre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philosopher, et non pas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philosophie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 </w:t>
      </w:r>
      <w:proofErr w:type="spellStart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Annonce</w:t>
      </w:r>
      <w:proofErr w:type="spellEnd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du </w:t>
      </w:r>
      <w:proofErr w:type="spellStart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programme</w:t>
      </w:r>
      <w:proofErr w:type="spellEnd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des </w:t>
      </w:r>
      <w:proofErr w:type="spellStart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leçons</w:t>
      </w:r>
      <w:proofErr w:type="spellEnd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de M.E. Kant </w:t>
      </w:r>
      <w:proofErr w:type="spellStart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durant</w:t>
      </w:r>
      <w:proofErr w:type="spellEnd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le </w:t>
      </w:r>
      <w:proofErr w:type="spellStart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semestre</w:t>
      </w:r>
      <w:proofErr w:type="spellEnd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d’hiver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5/ Kant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puis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-je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connaître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? –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dois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-je faire? </w:t>
      </w:r>
      <w:proofErr w:type="gram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–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suis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-</w:t>
      </w:r>
      <w:proofErr w:type="gram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je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permis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d’espérer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? </w:t>
      </w:r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Critique de la raison pure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6/ Kant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Pense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par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toi-même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hyperlink r:id="rId8" w:tooltip="Kant : Qu’est-ce que les Lumières ?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Kant et les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Lumières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)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Réponse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à la question: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Qu’est-ce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que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les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Lumières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7/ Nietzsche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Deviens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hyperlink r:id="rId9" w:tooltip="Deviens ce que tu es 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explication du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surhomme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)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Ainsi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Parlait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Zarathoustra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8/ Nietzsche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Dieu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mort” (</w:t>
      </w:r>
      <w:hyperlink r:id="rId10" w:tooltip="Nietzsche et le Surhomme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explication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sur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la mort de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Dieu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 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Ainsi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Parlait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Zarathoustra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9/Nietzsche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pont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non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une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fin” 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Ainsi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Parlait</w:t>
      </w:r>
      <w:proofErr w:type="spellEnd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Zarathoustra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10/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Platon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vraie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marque d’un philosophe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 sentiment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d’émerveillement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 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Ménon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11/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Platon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Nul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méchant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volontairement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 </w:t>
      </w:r>
      <w:proofErr w:type="spellStart"/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Gorgias</w:t>
      </w:r>
      <w:proofErr w:type="spellEnd"/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12/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Platon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mesure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toute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chose” </w:t>
      </w:r>
      <w:r w:rsidRPr="00791220">
        <w:rPr>
          <w:rFonts w:ascii="Lato" w:eastAsia="Times New Roman" w:hAnsi="Lato" w:cs="Times New Roman"/>
          <w:i/>
          <w:iCs/>
          <w:color w:val="444444"/>
          <w:sz w:val="40"/>
          <w:szCs w:val="40"/>
          <w:lang w:val="en-US" w:eastAsia="fr-FR"/>
        </w:rPr>
        <w:t>Protagoras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13/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Aristote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animal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politique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</w:t>
      </w:r>
      <w:hyperlink r:id="rId11" w:tooltip="Aristote et Politique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(La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politique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d’Aristote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lastRenderedPageBreak/>
        <w:t xml:space="preserve">14/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Aristote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bonheur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une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fin en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soi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begin"/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 xml:space="preserve"> HYPERLINK "https://la-philosophie.com/aristote-ethique-nicomaque" \o "Aristote Ethique" 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separate"/>
      </w:r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l’éthique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</w:t>
      </w:r>
      <w:proofErr w:type="spellStart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d’Aristote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end"/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15/ Voltaire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“Si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Dieu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n’existait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il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faudrait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l’inventer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Epîtres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16/ Kierkegaard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“La vie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 un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problème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résoudre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mais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une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réalité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qui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doit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être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vécue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Traité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du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désespoir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17/ Spinoza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begin"/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 xml:space="preserve"> HYPERLINK "https://la-philosophie.com/homme-empire-dans-empire-spinoza" \o "Spinoza : L</w:instrText>
      </w:r>
      <w:r w:rsidRPr="00D27292">
        <w:rPr>
          <w:rFonts w:ascii="Lato" w:eastAsia="Times New Roman" w:hAnsi="Lato" w:cs="Times New Roman" w:hint="eastAsia"/>
          <w:color w:val="444444"/>
          <w:sz w:val="40"/>
          <w:szCs w:val="40"/>
          <w:lang w:val="en-US" w:eastAsia="fr-FR"/>
        </w:rPr>
        <w:instrText>’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>homme n</w:instrText>
      </w:r>
      <w:r w:rsidRPr="00D27292">
        <w:rPr>
          <w:rFonts w:ascii="Lato" w:eastAsia="Times New Roman" w:hAnsi="Lato" w:cs="Times New Roman" w:hint="eastAsia"/>
          <w:color w:val="444444"/>
          <w:sz w:val="40"/>
          <w:szCs w:val="40"/>
          <w:lang w:val="en-US" w:eastAsia="fr-FR"/>
        </w:rPr>
        <w:instrText>’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 xml:space="preserve">est pas un empire dans un empire" 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separate"/>
      </w:r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L’homme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</w:t>
      </w:r>
      <w:proofErr w:type="spellStart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n’est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pas un empire </w:t>
      </w:r>
      <w:proofErr w:type="spellStart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dans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un empire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end"/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L’éthique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18/ Locke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connaissance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ne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peut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s’étendre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au-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delà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 son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expérience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propre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Essai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sur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l’entendement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humain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19/ Marx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: “Les philosophes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n’ont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fait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qu’interpréter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 monde, nous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avons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maintenant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le transformer”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Manifeste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du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Parti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Communiste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20/ Hobbes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begin"/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 xml:space="preserve"> HYPERLINK "https://la-philosophie.com/homme-loup-pour-homme-hobbes" \o "L</w:instrText>
      </w:r>
      <w:r w:rsidRPr="00D27292">
        <w:rPr>
          <w:rFonts w:ascii="Lato" w:eastAsia="Times New Roman" w:hAnsi="Lato" w:cs="Times New Roman" w:hint="eastAsia"/>
          <w:color w:val="444444"/>
          <w:sz w:val="40"/>
          <w:szCs w:val="40"/>
          <w:lang w:val="en-US" w:eastAsia="fr-FR"/>
        </w:rPr>
        <w:instrText>’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>homme est un loup pour l</w:instrText>
      </w:r>
      <w:r w:rsidRPr="00D27292">
        <w:rPr>
          <w:rFonts w:ascii="Lato" w:eastAsia="Times New Roman" w:hAnsi="Lato" w:cs="Times New Roman" w:hint="eastAsia"/>
          <w:color w:val="444444"/>
          <w:sz w:val="40"/>
          <w:szCs w:val="40"/>
          <w:lang w:val="en-US" w:eastAsia="fr-FR"/>
        </w:rPr>
        <w:instrText>’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instrText xml:space="preserve">homme" </w:instrTex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separate"/>
      </w:r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L’homme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</w:t>
      </w:r>
      <w:proofErr w:type="spellStart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est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un </w:t>
      </w:r>
      <w:proofErr w:type="spellStart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loup</w:t>
      </w:r>
      <w:proofErr w:type="spellEnd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 xml:space="preserve"> pour </w:t>
      </w:r>
      <w:proofErr w:type="spellStart"/>
      <w:r w:rsidRPr="00791220">
        <w:rPr>
          <w:rFonts w:ascii="Lato" w:eastAsia="Times New Roman" w:hAnsi="Lato" w:cs="Times New Roman"/>
          <w:color w:val="000000"/>
          <w:sz w:val="40"/>
          <w:szCs w:val="40"/>
          <w:u w:val="single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fldChar w:fldCharType="end"/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Léviathan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21/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Épicure</w:t>
      </w:r>
      <w:proofErr w:type="spellEnd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 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hyperlink r:id="rId12" w:tooltip="La mort n’est rien pour nous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La mort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n’est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rien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pour nous</w:t>
        </w:r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 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Lettre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Ménécée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22/ Epicure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“Si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Socrate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dois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vivre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voulais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être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Socrate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Lettre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Ménécée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23/ Hume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L’ego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une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fiction”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Traité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sur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la nature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humaine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24/ Hegel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Rien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 grand ne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fait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dans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 monde sans passion” (La raison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dans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l’histoire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25/ Sartre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condamné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être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libre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hyperlink r:id="rId13" w:tooltip="L’homme est condamné a être libre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explication de la citation</w:t>
        </w:r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L’existentialisme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humanisme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lastRenderedPageBreak/>
        <w:t>26/ Pascal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 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qu’un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roseau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le plus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faible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roseaux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mais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roseau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pensant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</w:t>
      </w:r>
      <w:hyperlink r:id="rId14" w:tooltip="L’homme est un roseau pensant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(explication du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roseau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pensant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Pensées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27/ Pascal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hyperlink r:id="rId15" w:tooltip="Pascal : Le coeur a ses raisons que la raison ne connaît point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Le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coeur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a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ses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raisons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que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la raison ignore</w:t>
        </w:r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Pensées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28/ </w:t>
      </w:r>
      <w:proofErr w:type="gram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Leibniz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</w:t>
      </w:r>
      <w:proofErr w:type="gram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Pourquoi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y a 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il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quelque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chose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plutôt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rien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?” (La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Monadologie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29/ Montesquieu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liberté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droit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 faire tout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lois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permettent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L’esprit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des Lois)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30/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Machiavel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“Tout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politique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mais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politique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 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s’intéresse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  à tout” (Le Prince)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31/ Husserl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Toute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conscience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conscience 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quelque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chose” (Les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méditations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cartésiennes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32/ Tocqueville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“Les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peuples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veulent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l’égalité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dans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liberté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et,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s’ils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ne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peuvent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l’obtenir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ils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veulent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encore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dans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l’esclavage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Démocratie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en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Amérique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33/ Schopenhauer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animal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métaphysique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 (Le Monde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volonté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et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représentation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34/ Schopenhauer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 : “La vie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oscille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tel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pendule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, 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l’ennui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à la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souffrance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(Le Monde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volonté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et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représentation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 xml:space="preserve">35/ </w:t>
      </w:r>
      <w:proofErr w:type="spellStart"/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Epictète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N’attends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événements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arrivent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souhaites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;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décide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vouloir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ce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qui arrive et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seras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heureux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(Le Manuel)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36/ Heidegger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“Le </w:t>
      </w:r>
      <w:hyperlink r:id="rId16" w:tooltip="Heidegger et le Dasein" w:history="1"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Dasein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un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être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des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lointains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Etre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et Temps)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37/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De Beauvoir :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“On ne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naît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pas femme, on 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devient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deuxième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sexe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lastRenderedPageBreak/>
        <w:t>38/ Fichte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ainsi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tous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êtres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finis en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général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) ne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devient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parmi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hommes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(La destination de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l’homme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39/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Rabelais : “</w:t>
      </w:r>
      <w:hyperlink r:id="rId17" w:tooltip="Science sans conscience n’est que ruine de l’âme (Rabelais)" w:history="1"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Science sans conscience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n’est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que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ruine</w:t>
        </w:r>
        <w:proofErr w:type="spellEnd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 xml:space="preserve"> de </w:t>
        </w:r>
        <w:proofErr w:type="spellStart"/>
        <w:r w:rsidRPr="00791220">
          <w:rPr>
            <w:rFonts w:ascii="Lato" w:eastAsia="Times New Roman" w:hAnsi="Lato" w:cs="Times New Roman"/>
            <w:color w:val="000000"/>
            <w:sz w:val="40"/>
            <w:szCs w:val="40"/>
            <w:u w:val="single"/>
            <w:lang w:val="en-US" w:eastAsia="fr-FR"/>
          </w:rPr>
          <w:t>l’âme</w:t>
        </w:r>
        <w:proofErr w:type="spellEnd"/>
      </w:hyperlink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” (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Pantagruel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D27292" w:rsidRPr="00D27292" w:rsidRDefault="00D27292" w:rsidP="00D2729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</w:pPr>
      <w:r w:rsidRPr="00791220">
        <w:rPr>
          <w:rFonts w:ascii="Lato" w:eastAsia="Times New Roman" w:hAnsi="Lato" w:cs="Times New Roman"/>
          <w:b/>
          <w:bCs/>
          <w:color w:val="444444"/>
          <w:sz w:val="40"/>
          <w:szCs w:val="40"/>
          <w:lang w:val="en-US" w:eastAsia="fr-FR"/>
        </w:rPr>
        <w:t>40/</w:t>
      </w:r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Alain : “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l’effort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qu’on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fait pour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être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heureux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n’est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jamais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perdu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” (Propos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sur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 xml:space="preserve"> le </w:t>
      </w:r>
      <w:proofErr w:type="spellStart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bonheur</w:t>
      </w:r>
      <w:proofErr w:type="spellEnd"/>
      <w:r w:rsidRPr="00D27292">
        <w:rPr>
          <w:rFonts w:ascii="Lato" w:eastAsia="Times New Roman" w:hAnsi="Lato" w:cs="Times New Roman"/>
          <w:color w:val="444444"/>
          <w:sz w:val="40"/>
          <w:szCs w:val="40"/>
          <w:lang w:val="en-US" w:eastAsia="fr-FR"/>
        </w:rPr>
        <w:t>)</w:t>
      </w:r>
    </w:p>
    <w:p w:rsidR="002D2165" w:rsidRDefault="00791220"/>
    <w:sectPr w:rsidR="002D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76A7A"/>
    <w:multiLevelType w:val="multilevel"/>
    <w:tmpl w:val="463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92"/>
    <w:rsid w:val="006A40AE"/>
    <w:rsid w:val="00791220"/>
    <w:rsid w:val="00794984"/>
    <w:rsid w:val="00D2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7292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272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27292"/>
    <w:rPr>
      <w:color w:val="000000"/>
      <w:u w:val="single"/>
    </w:rPr>
  </w:style>
  <w:style w:type="character" w:styleId="Accentuation">
    <w:name w:val="Emphasis"/>
    <w:basedOn w:val="Policepardfaut"/>
    <w:uiPriority w:val="20"/>
    <w:qFormat/>
    <w:rsid w:val="00D27292"/>
    <w:rPr>
      <w:i/>
      <w:iCs/>
    </w:rPr>
  </w:style>
  <w:style w:type="character" w:styleId="lev">
    <w:name w:val="Strong"/>
    <w:basedOn w:val="Policepardfaut"/>
    <w:uiPriority w:val="22"/>
    <w:qFormat/>
    <w:rsid w:val="00D272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7292"/>
    <w:pPr>
      <w:spacing w:after="0" w:line="240" w:lineRule="auto"/>
    </w:pPr>
    <w:rPr>
      <w:rFonts w:ascii="Lato" w:eastAsia="Times New Roman" w:hAnsi="Lato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7292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272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27292"/>
    <w:rPr>
      <w:color w:val="000000"/>
      <w:u w:val="single"/>
    </w:rPr>
  </w:style>
  <w:style w:type="character" w:styleId="Accentuation">
    <w:name w:val="Emphasis"/>
    <w:basedOn w:val="Policepardfaut"/>
    <w:uiPriority w:val="20"/>
    <w:qFormat/>
    <w:rsid w:val="00D27292"/>
    <w:rPr>
      <w:i/>
      <w:iCs/>
    </w:rPr>
  </w:style>
  <w:style w:type="character" w:styleId="lev">
    <w:name w:val="Strong"/>
    <w:basedOn w:val="Policepardfaut"/>
    <w:uiPriority w:val="22"/>
    <w:qFormat/>
    <w:rsid w:val="00D272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7292"/>
    <w:pPr>
      <w:spacing w:after="0" w:line="240" w:lineRule="auto"/>
    </w:pPr>
    <w:rPr>
      <w:rFonts w:ascii="Lato" w:eastAsia="Times New Roman" w:hAnsi="Lato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-philosophie.com/kant-qu-est-ce-que-les-lumieres" TargetMode="External"/><Relationship Id="rId13" Type="http://schemas.openxmlformats.org/officeDocument/2006/relationships/hyperlink" Target="https://la-philosophie.com/homme-condamne-etre-libre-sartr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a-philosophie.com/socrate-connais-toi-toi-meme" TargetMode="External"/><Relationship Id="rId12" Type="http://schemas.openxmlformats.org/officeDocument/2006/relationships/hyperlink" Target="https://la-philosophie.com/la-mort-rien-pour-nous-epicure" TargetMode="External"/><Relationship Id="rId17" Type="http://schemas.openxmlformats.org/officeDocument/2006/relationships/hyperlink" Target="https://la-philosophie.com/science-sans-consci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-philosophie.com/heidegger-dase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-philosophie.com/descartes-je-pense-donc-je-suis" TargetMode="External"/><Relationship Id="rId11" Type="http://schemas.openxmlformats.org/officeDocument/2006/relationships/hyperlink" Target="https://la-philosophie.com/aristote-la-politiq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-philosophie.com/pascal-le-coeur-a-ses-raisons-que-la-raison-ne-connait-point" TargetMode="External"/><Relationship Id="rId10" Type="http://schemas.openxmlformats.org/officeDocument/2006/relationships/hyperlink" Target="https://la-philosophie.com/nietzsche-surhom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-philosophie.com/nietzsche-deviens-ce-que-tu-es" TargetMode="External"/><Relationship Id="rId14" Type="http://schemas.openxmlformats.org/officeDocument/2006/relationships/hyperlink" Target="https://la-philosophie.com/homme-roseau-pensa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essama</dc:creator>
  <cp:lastModifiedBy>famille essama</cp:lastModifiedBy>
  <cp:revision>3</cp:revision>
  <dcterms:created xsi:type="dcterms:W3CDTF">2019-04-23T02:53:00Z</dcterms:created>
  <dcterms:modified xsi:type="dcterms:W3CDTF">2019-04-23T03:04:00Z</dcterms:modified>
</cp:coreProperties>
</file>