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t>
      </w:r>
      <w:r>
        <w:t xml:space="preserve"> </w:t>
      </w:r>
      <w:r>
        <w:t xml:space="preserve">traffic</w:t>
      </w:r>
      <w:r>
        <w:t xml:space="preserve"> </w:t>
      </w:r>
      <w:r>
        <w:t xml:space="preserve">fatalities</w:t>
      </w:r>
      <w:r>
        <w:t xml:space="preserve"> </w:t>
      </w:r>
      <w:r>
        <w:t xml:space="preserve">by</w:t>
      </w:r>
      <w:r>
        <w:t xml:space="preserve"> </w:t>
      </w:r>
      <w:r>
        <w:t xml:space="preserve">light</w:t>
      </w:r>
      <w:r>
        <w:t xml:space="preserve"> </w:t>
      </w:r>
      <w:r>
        <w:t xml:space="preserve">conditions:</w:t>
      </w:r>
      <w:r>
        <w:t xml:space="preserve"> </w:t>
      </w:r>
      <w:r>
        <w:t xml:space="preserve">a</w:t>
      </w:r>
      <w:r>
        <w:t xml:space="preserve"> </w:t>
      </w:r>
      <w:r>
        <w:t xml:space="preserve">comparative</w:t>
      </w:r>
      <w:r>
        <w:t xml:space="preserve"> </w:t>
      </w:r>
      <w:r>
        <w:t xml:space="preserve">analysis</w:t>
      </w:r>
      <w:r>
        <w:t xml:space="preserve"> </w:t>
      </w:r>
      <w:r>
        <w:t xml:space="preserve">between</w:t>
      </w:r>
      <w:r>
        <w:t xml:space="preserve"> </w:t>
      </w:r>
      <w:r>
        <w:t xml:space="preserve">the</w:t>
      </w:r>
      <w:r>
        <w:t xml:space="preserve"> </w:t>
      </w:r>
      <w:r>
        <w:t xml:space="preserve">US</w:t>
      </w:r>
      <w:r>
        <w:t xml:space="preserve"> </w:t>
      </w:r>
      <w:r>
        <w:t xml:space="preserve">and</w:t>
      </w:r>
      <w:r>
        <w:t xml:space="preserve"> </w:t>
      </w:r>
      <w:r>
        <w:t xml:space="preserve">the</w:t>
      </w:r>
      <w:r>
        <w:t xml:space="preserve"> </w:t>
      </w:r>
      <w:r>
        <w:t xml:space="preserve">UK</w:t>
      </w:r>
    </w:p>
    <w:bookmarkStart w:id="20" w:name="introduction"/>
    <w:p>
      <w:pPr>
        <w:pStyle w:val="Heading1"/>
      </w:pPr>
      <w:r>
        <w:t xml:space="preserve">Introduction</w:t>
      </w:r>
    </w:p>
    <w:p>
      <w:pPr>
        <w:pStyle w:val="FirstParagraph"/>
      </w:pPr>
      <w:r>
        <w:t xml:space="preserve">The number of pedestrian fatalities in the US has risen steadily since 2009</w:t>
      </w:r>
      <w:r>
        <w:t xml:space="preserve"> </w:t>
      </w:r>
      <w:r>
        <w:t xml:space="preserve">(Sanders, Schneider, and Proulx 2022; Ferenchak, Gutierrez, and Singleton 2022; Wang and Cicchino 2020)</w:t>
      </w:r>
      <w:r>
        <w:t xml:space="preserve">.</w:t>
      </w:r>
      <w:r>
        <w:t xml:space="preserve"> </w:t>
      </w:r>
      <w:r>
        <w:t xml:space="preserve">A key risk factor in these pedestrian fatalities appears to be darkness.</w:t>
      </w:r>
      <w:r>
        <w:t xml:space="preserve"> </w:t>
      </w:r>
      <w:r>
        <w:t xml:space="preserve">Despite there being less pedestrian flow at night, three-quarters of pedestrian fatalities in the US occur in the dark.</w:t>
      </w:r>
      <w:r>
        <w:t xml:space="preserve"> </w:t>
      </w:r>
      <w:r>
        <w:t xml:space="preserve">Also the rate of pedestrian deaths in the dark in the US is increasing</w:t>
      </w:r>
      <w:r>
        <w:t xml:space="preserve"> </w:t>
      </w:r>
      <w:r>
        <w:t xml:space="preserve">(Sanders, Schneider, and Proulx 2022)</w:t>
      </w:r>
      <w:r>
        <w:t xml:space="preserve">.</w:t>
      </w:r>
    </w:p>
    <w:p>
      <w:pPr>
        <w:pStyle w:val="BodyText"/>
      </w:pPr>
      <w:r>
        <w:t xml:space="preserve">This study aims to answer the following questions:</w:t>
      </w:r>
    </w:p>
    <w:p>
      <w:pPr>
        <w:numPr>
          <w:ilvl w:val="0"/>
          <w:numId w:val="1001"/>
        </w:numPr>
        <w:pStyle w:val="Compact"/>
      </w:pPr>
      <w:r>
        <w:t xml:space="preserve">Is the increase in pedestrian fatalities and in the dark a unique trend in the US or is it happening also in other Westerns countries like the UK? to what extent is it riskier to walk at night in the US and the UK?</w:t>
      </w:r>
    </w:p>
    <w:p>
      <w:pPr>
        <w:numPr>
          <w:ilvl w:val="0"/>
          <w:numId w:val="1001"/>
        </w:numPr>
        <w:pStyle w:val="Compact"/>
      </w:pPr>
      <w:r>
        <w:t xml:space="preserve">Which aspects could explain these trends and potential differences?</w:t>
      </w:r>
    </w:p>
    <w:p>
      <w:pPr>
        <w:numPr>
          <w:ilvl w:val="0"/>
          <w:numId w:val="1001"/>
        </w:numPr>
        <w:pStyle w:val="Compact"/>
      </w:pPr>
      <w:r>
        <w:t xml:space="preserve">The trend of fatalities and the influence of darkness on other vulnerable road users, such as cyclists, has been less studied. Is the number of cyclists killed on the road also increasing? Is darkness as important a factor for cyclists as it is for pedestrians?</w:t>
      </w:r>
    </w:p>
    <w:bookmarkEnd w:id="20"/>
    <w:bookmarkStart w:id="25" w:name="data-and-method"/>
    <w:p>
      <w:pPr>
        <w:pStyle w:val="Heading1"/>
      </w:pPr>
      <w:r>
        <w:t xml:space="preserve">Data and method</w:t>
      </w:r>
    </w:p>
    <w:bookmarkStart w:id="23" w:name="data"/>
    <w:p>
      <w:pPr>
        <w:pStyle w:val="Heading2"/>
      </w:pPr>
      <w:r>
        <w:t xml:space="preserve">Data</w:t>
      </w:r>
    </w:p>
    <w:bookmarkStart w:id="21" w:name="road-safety-data-numerator"/>
    <w:p>
      <w:pPr>
        <w:pStyle w:val="Heading4"/>
      </w:pPr>
      <w:r>
        <w:t xml:space="preserve">Road safety data (numerator)</w:t>
      </w:r>
    </w:p>
    <w:p>
      <w:pPr>
        <w:numPr>
          <w:ilvl w:val="0"/>
          <w:numId w:val="1002"/>
        </w:numPr>
        <w:pStyle w:val="Compact"/>
      </w:pPr>
      <w:r>
        <w:t xml:space="preserve">US Fatality Analysis Reporting System (FARS) data - National Highway Traffic Safety Administration (NHTSA)</w:t>
      </w:r>
    </w:p>
    <w:p>
      <w:pPr>
        <w:numPr>
          <w:ilvl w:val="0"/>
          <w:numId w:val="1002"/>
        </w:numPr>
        <w:pStyle w:val="Compact"/>
      </w:pPr>
      <w:r>
        <w:t xml:space="preserve">UK Road Safety Data (STATS19) – Department for Transport (DfT)</w:t>
      </w:r>
    </w:p>
    <w:bookmarkEnd w:id="21"/>
    <w:bookmarkStart w:id="22" w:name="travel-data-denominator"/>
    <w:p>
      <w:pPr>
        <w:pStyle w:val="Heading4"/>
      </w:pPr>
      <w:r>
        <w:t xml:space="preserve">Travel data (denominator)</w:t>
      </w:r>
    </w:p>
    <w:p>
      <w:pPr>
        <w:numPr>
          <w:ilvl w:val="0"/>
          <w:numId w:val="1003"/>
        </w:numPr>
      </w:pPr>
      <w:r>
        <w:t xml:space="preserve">US National Household Travel Survey – Federal Highway Administration</w:t>
      </w:r>
    </w:p>
    <w:p>
      <w:pPr>
        <w:numPr>
          <w:ilvl w:val="0"/>
          <w:numId w:val="1003"/>
        </w:numPr>
      </w:pPr>
      <w:r>
        <w:t xml:space="preserve">UK National Travel Survey – Department for Transport</w:t>
      </w:r>
    </w:p>
    <w:bookmarkEnd w:id="22"/>
    <w:bookmarkEnd w:id="23"/>
    <w:bookmarkStart w:id="24" w:name="method"/>
    <w:p>
      <w:pPr>
        <w:pStyle w:val="Heading2"/>
      </w:pPr>
      <w:r>
        <w:t xml:space="preserve">Method</w:t>
      </w:r>
    </w:p>
    <w:p>
      <w:pPr>
        <w:pStyle w:val="FirstParagraph"/>
      </w:pPr>
      <m:oMathPara>
        <m:oMathParaPr>
          <m:jc m:val="center"/>
        </m:oMathParaPr>
        <m:oMath>
          <m:r>
            <m:rPr>
              <m:nor/>
              <m:sty m:val="p"/>
            </m:rPr>
            <m:t>risk ratio (daylight)</m:t>
          </m:r>
          <m:r>
            <m:rPr>
              <m:sty m:val="p"/>
            </m:rPr>
            <m:t>=</m:t>
          </m:r>
          <m:r>
            <m:rPr>
              <m:nor/>
              <m:sty m:val="p"/>
            </m:rPr>
            <m:t>num. fatalities (daylight)</m:t>
          </m:r>
          <m:r>
            <m:rPr>
              <m:sty m:val="p"/>
            </m:rPr>
            <m:t>/</m:t>
          </m:r>
          <m:r>
            <m:rPr>
              <m:nor/>
              <m:sty m:val="p"/>
            </m:rPr>
            <m:t>km travelled (daylight)</m:t>
          </m:r>
        </m:oMath>
      </m:oMathPara>
    </w:p>
    <w:p>
      <w:pPr>
        <w:pStyle w:val="FirstParagraph"/>
      </w:pPr>
      <m:oMathPara>
        <m:oMathParaPr>
          <m:jc m:val="center"/>
        </m:oMathParaPr>
        <m:oMath>
          <m:r>
            <m:rPr>
              <m:nor/>
              <m:sty m:val="p"/>
            </m:rPr>
            <m:t>risk ratio (dark)</m:t>
          </m:r>
          <m:r>
            <m:rPr>
              <m:sty m:val="p"/>
            </m:rPr>
            <m:t>=</m:t>
          </m:r>
          <m:r>
            <m:rPr>
              <m:nor/>
              <m:sty m:val="p"/>
            </m:rPr>
            <m:t>num. fatalities (dark)</m:t>
          </m:r>
          <m:r>
            <m:rPr>
              <m:sty m:val="p"/>
            </m:rPr>
            <m:t>/</m:t>
          </m:r>
          <m:r>
            <m:rPr>
              <m:nor/>
              <m:sty m:val="p"/>
            </m:rPr>
            <m:t>km travelled (dark)</m:t>
          </m:r>
        </m:oMath>
      </m:oMathPara>
    </w:p>
    <w:bookmarkEnd w:id="24"/>
    <w:bookmarkEnd w:id="25"/>
    <w:bookmarkStart w:id="41" w:name="results"/>
    <w:p>
      <w:pPr>
        <w:pStyle w:val="Heading1"/>
      </w:pPr>
      <w:r>
        <w:t xml:space="preserve">Results</w:t>
      </w:r>
    </w:p>
    <w:bookmarkStart w:id="40" w:name="X4496175667cedaba30c9b91dccc4ce0cd9faa20"/>
    <w:p>
      <w:pPr>
        <w:pStyle w:val="Heading2"/>
      </w:pPr>
      <w:r>
        <w:t xml:space="preserve">Road traffic fatalities by light conditions and type</w:t>
      </w:r>
    </w:p>
    <w:bookmarkStart w:id="32" w:name="us-2011-2020-fars-data"/>
    <w:p>
      <w:pPr>
        <w:pStyle w:val="Heading3"/>
      </w:pPr>
      <w:r>
        <w:t xml:space="preserve">US 2011-2020 (FARS data)</w:t>
      </w:r>
    </w:p>
    <w:p>
      <w:pPr>
        <w:pStyle w:val="FirstParagraph"/>
      </w:pPr>
      <w:r>
        <w:t xml:space="preserve">Table 1. Road traffic fatalities by light conditions and type, US 2011-2020</w:t>
      </w:r>
    </w:p>
    <w:tbl>
      <w:tblPr>
        <w:tblStyle w:val="Table"/>
        <w:tblW w:type="pct" w:w="5000"/>
        <w:tblLook w:firstRow="1" w:lastRow="0" w:firstColumn="0" w:lastColumn="0" w:noHBand="0" w:noVBand="0" w:val="0020"/>
      </w:tblPr>
      <w:tblGrid>
        <w:gridCol w:w="1397"/>
        <w:gridCol w:w="1980"/>
        <w:gridCol w:w="3144"/>
        <w:gridCol w:w="698"/>
        <w:gridCol w:w="698"/>
      </w:tblGrid>
      <w:tr>
        <w:trPr>
          <w:tblHeader w:val="true"/>
        </w:trPr>
        <w:tc>
          <w:tcPr/>
          <w:p>
            <w:pPr>
              <w:pStyle w:val="Compact"/>
              <w:jc w:val="left"/>
            </w:pPr>
            <w:r>
              <w:t xml:space="preserve">Type</w:t>
            </w:r>
          </w:p>
        </w:tc>
        <w:tc>
          <w:tcPr/>
          <w:p>
            <w:pPr>
              <w:pStyle w:val="Compact"/>
              <w:jc w:val="left"/>
            </w:pPr>
            <w:r>
              <w:t xml:space="preserve">Light conditions</w:t>
            </w:r>
          </w:p>
        </w:tc>
        <w:tc>
          <w:tcPr/>
          <w:p>
            <w:pPr>
              <w:pStyle w:val="Compact"/>
              <w:jc w:val="left"/>
            </w:pPr>
            <w:r>
              <w:t xml:space="preserve">Light conditions in detail</w:t>
            </w:r>
          </w:p>
        </w:tc>
        <w:tc>
          <w:tcPr/>
          <w:p>
            <w:pPr>
              <w:pStyle w:val="Compact"/>
              <w:jc w:val="right"/>
            </w:pPr>
            <w:r>
              <w:t xml:space="preserve">Num.</w:t>
            </w:r>
          </w:p>
        </w:tc>
        <w:tc>
          <w:tcPr/>
          <w:p>
            <w:pPr>
              <w:pStyle w:val="Compact"/>
              <w:jc w:val="right"/>
            </w:pPr>
            <w:r>
              <w:t xml:space="preserve">%</w:t>
            </w:r>
          </w:p>
        </w:tc>
      </w:tr>
      <w:tr>
        <w:tc>
          <w:tcPr/>
          <w:p>
            <w:pPr>
              <w:pStyle w:val="Compact"/>
              <w:jc w:val="left"/>
            </w:pPr>
            <w:r>
              <w:t xml:space="preserve">Pedestrians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7676</w:t>
            </w:r>
          </w:p>
        </w:tc>
        <w:tc>
          <w:tcPr/>
          <w:p>
            <w:pPr>
              <w:pStyle w:val="Compact"/>
              <w:jc w:val="right"/>
            </w:pPr>
            <w:r>
              <w:t xml:space="preserve">20.96</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 - Lighted</w:t>
            </w:r>
          </w:p>
        </w:tc>
        <w:tc>
          <w:tcPr/>
          <w:p>
            <w:pPr>
              <w:pStyle w:val="Compact"/>
              <w:jc w:val="right"/>
            </w:pPr>
            <w:r>
              <w:t xml:space="preserve">14316</w:t>
            </w:r>
          </w:p>
        </w:tc>
        <w:tc>
          <w:tcPr/>
          <w:p>
            <w:pPr>
              <w:pStyle w:val="Compact"/>
              <w:jc w:val="right"/>
            </w:pPr>
            <w:r>
              <w:t xml:space="preserve">39.09</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 - Not Lighted</w:t>
            </w:r>
          </w:p>
        </w:tc>
        <w:tc>
          <w:tcPr/>
          <w:p>
            <w:pPr>
              <w:pStyle w:val="Compact"/>
              <w:jc w:val="right"/>
            </w:pPr>
            <w:r>
              <w:t xml:space="preserve">12821</w:t>
            </w:r>
          </w:p>
        </w:tc>
        <w:tc>
          <w:tcPr/>
          <w:p>
            <w:pPr>
              <w:pStyle w:val="Compact"/>
              <w:jc w:val="right"/>
            </w:pPr>
            <w:r>
              <w:t xml:space="preserve">35.00</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 - Unknown Lighting</w:t>
            </w:r>
          </w:p>
        </w:tc>
        <w:tc>
          <w:tcPr/>
          <w:p>
            <w:pPr>
              <w:pStyle w:val="Compact"/>
              <w:jc w:val="right"/>
            </w:pPr>
            <w:r>
              <w:t xml:space="preserve">472</w:t>
            </w:r>
          </w:p>
        </w:tc>
        <w:tc>
          <w:tcPr/>
          <w:p>
            <w:pPr>
              <w:pStyle w:val="Compact"/>
              <w:jc w:val="right"/>
            </w:pPr>
            <w:r>
              <w:t xml:space="preserve">1.29</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Dawn</w:t>
            </w:r>
          </w:p>
        </w:tc>
        <w:tc>
          <w:tcPr/>
          <w:p>
            <w:pPr>
              <w:pStyle w:val="Compact"/>
              <w:jc w:val="right"/>
            </w:pPr>
            <w:r>
              <w:t xml:space="preserve">603</w:t>
            </w:r>
          </w:p>
        </w:tc>
        <w:tc>
          <w:tcPr/>
          <w:p>
            <w:pPr>
              <w:pStyle w:val="Compact"/>
              <w:jc w:val="right"/>
            </w:pPr>
            <w:r>
              <w:t xml:space="preserve">1.65</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Dusk</w:t>
            </w:r>
          </w:p>
        </w:tc>
        <w:tc>
          <w:tcPr/>
          <w:p>
            <w:pPr>
              <w:pStyle w:val="Compact"/>
              <w:jc w:val="right"/>
            </w:pPr>
            <w:r>
              <w:t xml:space="preserve">739</w:t>
            </w:r>
          </w:p>
        </w:tc>
        <w:tc>
          <w:tcPr/>
          <w:p>
            <w:pPr>
              <w:pStyle w:val="Compact"/>
              <w:jc w:val="right"/>
            </w:pPr>
            <w:r>
              <w:t xml:space="preserve">2.02</w:t>
            </w:r>
          </w:p>
        </w:tc>
      </w:tr>
      <w:tr>
        <w:tc>
          <w:tcPr/>
          <w:p>
            <w:pPr>
              <w:pStyle w:val="Compact"/>
              <w:jc w:val="left"/>
            </w:pPr>
            <w:r>
              <w:t xml:space="preserve">Cyclists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2482</w:t>
            </w:r>
          </w:p>
        </w:tc>
        <w:tc>
          <w:tcPr/>
          <w:p>
            <w:pPr>
              <w:pStyle w:val="Compact"/>
              <w:jc w:val="right"/>
            </w:pPr>
            <w:r>
              <w:t xml:space="preserve">48.33</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 - Lighted</w:t>
            </w:r>
          </w:p>
        </w:tc>
        <w:tc>
          <w:tcPr/>
          <w:p>
            <w:pPr>
              <w:pStyle w:val="Compact"/>
              <w:jc w:val="right"/>
            </w:pPr>
            <w:r>
              <w:t xml:space="preserve">1257</w:t>
            </w:r>
          </w:p>
        </w:tc>
        <w:tc>
          <w:tcPr/>
          <w:p>
            <w:pPr>
              <w:pStyle w:val="Compact"/>
              <w:jc w:val="right"/>
            </w:pPr>
            <w:r>
              <w:t xml:space="preserve">24.47</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 - Not Lighted</w:t>
            </w:r>
          </w:p>
        </w:tc>
        <w:tc>
          <w:tcPr/>
          <w:p>
            <w:pPr>
              <w:pStyle w:val="Compact"/>
              <w:jc w:val="right"/>
            </w:pPr>
            <w:r>
              <w:t xml:space="preserve">1110</w:t>
            </w:r>
          </w:p>
        </w:tc>
        <w:tc>
          <w:tcPr/>
          <w:p>
            <w:pPr>
              <w:pStyle w:val="Compact"/>
              <w:jc w:val="right"/>
            </w:pPr>
            <w:r>
              <w:t xml:space="preserve">21.61</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 - Unknown Lighting</w:t>
            </w:r>
          </w:p>
        </w:tc>
        <w:tc>
          <w:tcPr/>
          <w:p>
            <w:pPr>
              <w:pStyle w:val="Compact"/>
              <w:jc w:val="right"/>
            </w:pPr>
            <w:r>
              <w:t xml:space="preserve">43</w:t>
            </w:r>
          </w:p>
        </w:tc>
        <w:tc>
          <w:tcPr/>
          <w:p>
            <w:pPr>
              <w:pStyle w:val="Compact"/>
              <w:jc w:val="right"/>
            </w:pPr>
            <w:r>
              <w:t xml:space="preserve">0.84</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Dawn</w:t>
            </w:r>
          </w:p>
        </w:tc>
        <w:tc>
          <w:tcPr/>
          <w:p>
            <w:pPr>
              <w:pStyle w:val="Compact"/>
              <w:jc w:val="right"/>
            </w:pPr>
            <w:r>
              <w:t xml:space="preserve">103</w:t>
            </w:r>
          </w:p>
        </w:tc>
        <w:tc>
          <w:tcPr/>
          <w:p>
            <w:pPr>
              <w:pStyle w:val="Compact"/>
              <w:jc w:val="right"/>
            </w:pPr>
            <w:r>
              <w:t xml:space="preserve">2.01</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Dusk</w:t>
            </w:r>
          </w:p>
        </w:tc>
        <w:tc>
          <w:tcPr/>
          <w:p>
            <w:pPr>
              <w:pStyle w:val="Compact"/>
              <w:jc w:val="right"/>
            </w:pPr>
            <w:r>
              <w:t xml:space="preserve">141</w:t>
            </w:r>
          </w:p>
        </w:tc>
        <w:tc>
          <w:tcPr/>
          <w:p>
            <w:pPr>
              <w:pStyle w:val="Compact"/>
              <w:jc w:val="right"/>
            </w:pPr>
            <w:r>
              <w:t xml:space="preserve">2.75</w:t>
            </w:r>
          </w:p>
        </w:tc>
      </w:tr>
      <w:tr>
        <w:tc>
          <w:tcPr/>
          <w:p>
            <w:pPr>
              <w:pStyle w:val="Compact"/>
              <w:jc w:val="left"/>
            </w:pPr>
            <w:r>
              <w:t xml:space="preserve">Others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94891</w:t>
            </w:r>
          </w:p>
        </w:tc>
        <w:tc>
          <w:tcPr/>
          <w:p>
            <w:pPr>
              <w:pStyle w:val="Compact"/>
              <w:jc w:val="right"/>
            </w:pPr>
            <w:r>
              <w:t xml:space="preserve">52.80</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 - Lighted</w:t>
            </w:r>
          </w:p>
        </w:tc>
        <w:tc>
          <w:tcPr/>
          <w:p>
            <w:pPr>
              <w:pStyle w:val="Compact"/>
              <w:jc w:val="right"/>
            </w:pPr>
            <w:r>
              <w:t xml:space="preserve">27897</w:t>
            </w:r>
          </w:p>
        </w:tc>
        <w:tc>
          <w:tcPr/>
          <w:p>
            <w:pPr>
              <w:pStyle w:val="Compact"/>
              <w:jc w:val="right"/>
            </w:pPr>
            <w:r>
              <w:t xml:space="preserve">15.52</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 - Not Lighted</w:t>
            </w:r>
          </w:p>
        </w:tc>
        <w:tc>
          <w:tcPr/>
          <w:p>
            <w:pPr>
              <w:pStyle w:val="Compact"/>
              <w:jc w:val="right"/>
            </w:pPr>
            <w:r>
              <w:t xml:space="preserve">47816</w:t>
            </w:r>
          </w:p>
        </w:tc>
        <w:tc>
          <w:tcPr/>
          <w:p>
            <w:pPr>
              <w:pStyle w:val="Compact"/>
              <w:jc w:val="right"/>
            </w:pPr>
            <w:r>
              <w:t xml:space="preserve">26.61</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 - Unknown Lighting</w:t>
            </w:r>
          </w:p>
        </w:tc>
        <w:tc>
          <w:tcPr/>
          <w:p>
            <w:pPr>
              <w:pStyle w:val="Compact"/>
              <w:jc w:val="right"/>
            </w:pPr>
            <w:r>
              <w:t xml:space="preserve">1092</w:t>
            </w:r>
          </w:p>
        </w:tc>
        <w:tc>
          <w:tcPr/>
          <w:p>
            <w:pPr>
              <w:pStyle w:val="Compact"/>
              <w:jc w:val="right"/>
            </w:pPr>
            <w:r>
              <w:t xml:space="preserve">0.61</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Dawn</w:t>
            </w:r>
          </w:p>
        </w:tc>
        <w:tc>
          <w:tcPr/>
          <w:p>
            <w:pPr>
              <w:pStyle w:val="Compact"/>
              <w:jc w:val="right"/>
            </w:pPr>
            <w:r>
              <w:t xml:space="preserve">3527</w:t>
            </w:r>
          </w:p>
        </w:tc>
        <w:tc>
          <w:tcPr/>
          <w:p>
            <w:pPr>
              <w:pStyle w:val="Compact"/>
              <w:jc w:val="right"/>
            </w:pPr>
            <w:r>
              <w:t xml:space="preserve">1.96</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Dusk</w:t>
            </w:r>
          </w:p>
        </w:tc>
        <w:tc>
          <w:tcPr/>
          <w:p>
            <w:pPr>
              <w:pStyle w:val="Compact"/>
              <w:jc w:val="right"/>
            </w:pPr>
            <w:r>
              <w:t xml:space="preserve">4495</w:t>
            </w:r>
          </w:p>
        </w:tc>
        <w:tc>
          <w:tcPr/>
          <w:p>
            <w:pPr>
              <w:pStyle w:val="Compact"/>
              <w:jc w:val="right"/>
            </w:pPr>
            <w:r>
              <w:t xml:space="preserve">2.50</w:t>
            </w:r>
          </w:p>
        </w:tc>
      </w:tr>
    </w:tbl>
    <w:p>
      <w:pPr>
        <w:pStyle w:val="BodyText"/>
      </w:pPr>
      <w:r>
        <w:drawing>
          <wp:inline>
            <wp:extent cx="4620126" cy="3696101"/>
            <wp:effectExtent b="0" l="0" r="0" t="0"/>
            <wp:docPr descr="" title="" id="27" name="Picture"/>
            <a:graphic>
              <a:graphicData uri="http://schemas.openxmlformats.org/drawingml/2006/picture">
                <pic:pic>
                  <pic:nvPicPr>
                    <pic:cNvPr descr="README_files/figure-docx/fig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Road traffic fatalities by year and type, US 2011-2020</w:t>
      </w:r>
    </w:p>
    <w:p>
      <w:pPr>
        <w:pStyle w:val="BodyText"/>
      </w:pPr>
      <w:r>
        <w:drawing>
          <wp:inline>
            <wp:extent cx="4620126" cy="3696101"/>
            <wp:effectExtent b="0" l="0" r="0" t="0"/>
            <wp:docPr descr="" title="" id="30" name="Picture"/>
            <a:graphic>
              <a:graphicData uri="http://schemas.openxmlformats.org/drawingml/2006/picture">
                <pic:pic>
                  <pic:nvPicPr>
                    <pic:cNvPr descr="README_files/figure-docx/fig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 of road traffic fatalities by light conditions, year, and type, US 2011-2020</w:t>
      </w:r>
    </w:p>
    <w:bookmarkEnd w:id="32"/>
    <w:bookmarkStart w:id="39" w:name="uk-2011-2020-stats19-data"/>
    <w:p>
      <w:pPr>
        <w:pStyle w:val="Heading3"/>
      </w:pPr>
      <w:r>
        <w:t xml:space="preserve">UK 2011-2020 (STATS19 data)</w:t>
      </w:r>
    </w:p>
    <w:p>
      <w:pPr>
        <w:pStyle w:val="FirstParagraph"/>
      </w:pPr>
      <w:r>
        <w:t xml:space="preserve">Table 2. Road traffic fatalities by light conditions and type, UK 2011-2020</w:t>
      </w:r>
    </w:p>
    <w:tbl>
      <w:tblPr>
        <w:tblStyle w:val="Table"/>
        <w:tblW w:type="pct" w:w="5000"/>
        <w:tblLook w:firstRow="1" w:lastRow="0" w:firstColumn="0" w:lastColumn="0" w:noHBand="0" w:noVBand="0" w:val="0020"/>
      </w:tblPr>
      <w:tblGrid>
        <w:gridCol w:w="1397"/>
        <w:gridCol w:w="1980"/>
        <w:gridCol w:w="3261"/>
        <w:gridCol w:w="582"/>
        <w:gridCol w:w="698"/>
      </w:tblGrid>
      <w:tr>
        <w:trPr>
          <w:tblHeader w:val="true"/>
        </w:trPr>
        <w:tc>
          <w:tcPr/>
          <w:p>
            <w:pPr>
              <w:pStyle w:val="Compact"/>
              <w:jc w:val="left"/>
            </w:pPr>
            <w:r>
              <w:t xml:space="preserve">Type</w:t>
            </w:r>
          </w:p>
        </w:tc>
        <w:tc>
          <w:tcPr/>
          <w:p>
            <w:pPr>
              <w:pStyle w:val="Compact"/>
              <w:jc w:val="left"/>
            </w:pPr>
            <w:r>
              <w:t xml:space="preserve">Light conditions</w:t>
            </w:r>
          </w:p>
        </w:tc>
        <w:tc>
          <w:tcPr/>
          <w:p>
            <w:pPr>
              <w:pStyle w:val="Compact"/>
              <w:jc w:val="left"/>
            </w:pPr>
            <w:r>
              <w:t xml:space="preserve">Light conditions in detail</w:t>
            </w:r>
          </w:p>
        </w:tc>
        <w:tc>
          <w:tcPr/>
          <w:p>
            <w:pPr>
              <w:pStyle w:val="Compact"/>
              <w:jc w:val="right"/>
            </w:pPr>
            <w:r>
              <w:t xml:space="preserve">Num.</w:t>
            </w:r>
          </w:p>
        </w:tc>
        <w:tc>
          <w:tcPr/>
          <w:p>
            <w:pPr>
              <w:pStyle w:val="Compact"/>
              <w:jc w:val="right"/>
            </w:pPr>
            <w:r>
              <w:t xml:space="preserve">%</w:t>
            </w:r>
          </w:p>
        </w:tc>
      </w:tr>
      <w:tr>
        <w:tc>
          <w:tcPr/>
          <w:p>
            <w:pPr>
              <w:pStyle w:val="Compact"/>
              <w:jc w:val="left"/>
            </w:pPr>
            <w:r>
              <w:t xml:space="preserve">Pedestrians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1985</w:t>
            </w:r>
          </w:p>
        </w:tc>
        <w:tc>
          <w:tcPr/>
          <w:p>
            <w:pPr>
              <w:pStyle w:val="Compact"/>
              <w:jc w:val="right"/>
            </w:pPr>
            <w:r>
              <w:t xml:space="preserve">46.00</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lights lit</w:t>
            </w:r>
          </w:p>
        </w:tc>
        <w:tc>
          <w:tcPr/>
          <w:p>
            <w:pPr>
              <w:pStyle w:val="Compact"/>
              <w:jc w:val="right"/>
            </w:pPr>
            <w:r>
              <w:t xml:space="preserve">1466</w:t>
            </w:r>
          </w:p>
        </w:tc>
        <w:tc>
          <w:tcPr/>
          <w:p>
            <w:pPr>
              <w:pStyle w:val="Compact"/>
              <w:jc w:val="right"/>
            </w:pPr>
            <w:r>
              <w:t xml:space="preserve">33.97</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lights unlit</w:t>
            </w:r>
          </w:p>
        </w:tc>
        <w:tc>
          <w:tcPr/>
          <w:p>
            <w:pPr>
              <w:pStyle w:val="Compact"/>
              <w:jc w:val="right"/>
            </w:pPr>
            <w:r>
              <w:t xml:space="preserve">79</w:t>
            </w:r>
          </w:p>
        </w:tc>
        <w:tc>
          <w:tcPr/>
          <w:p>
            <w:pPr>
              <w:pStyle w:val="Compact"/>
              <w:jc w:val="right"/>
            </w:pPr>
            <w:r>
              <w:t xml:space="preserve">1.83</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no lighting</w:t>
            </w:r>
          </w:p>
        </w:tc>
        <w:tc>
          <w:tcPr/>
          <w:p>
            <w:pPr>
              <w:pStyle w:val="Compact"/>
              <w:jc w:val="right"/>
            </w:pPr>
            <w:r>
              <w:t xml:space="preserve">705</w:t>
            </w:r>
          </w:p>
        </w:tc>
        <w:tc>
          <w:tcPr/>
          <w:p>
            <w:pPr>
              <w:pStyle w:val="Compact"/>
              <w:jc w:val="right"/>
            </w:pPr>
            <w:r>
              <w:t xml:space="preserve">16.34</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lighting unknown</w:t>
            </w:r>
          </w:p>
        </w:tc>
        <w:tc>
          <w:tcPr/>
          <w:p>
            <w:pPr>
              <w:pStyle w:val="Compact"/>
              <w:jc w:val="right"/>
            </w:pPr>
            <w:r>
              <w:t xml:space="preserve">80</w:t>
            </w:r>
          </w:p>
        </w:tc>
        <w:tc>
          <w:tcPr/>
          <w:p>
            <w:pPr>
              <w:pStyle w:val="Compact"/>
              <w:jc w:val="right"/>
            </w:pPr>
            <w:r>
              <w:t xml:space="preserve">1.85</w:t>
            </w:r>
          </w:p>
        </w:tc>
      </w:tr>
      <w:tr>
        <w:tc>
          <w:tcPr/>
          <w:p>
            <w:pPr>
              <w:pStyle w:val="Compact"/>
              <w:jc w:val="left"/>
            </w:pPr>
            <w:r>
              <w:t xml:space="preserve">Cyclists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808</w:t>
            </w:r>
          </w:p>
        </w:tc>
        <w:tc>
          <w:tcPr/>
          <w:p>
            <w:pPr>
              <w:pStyle w:val="Compact"/>
              <w:jc w:val="right"/>
            </w:pPr>
            <w:r>
              <w:t xml:space="preserve">74.13</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lights lit</w:t>
            </w:r>
          </w:p>
        </w:tc>
        <w:tc>
          <w:tcPr/>
          <w:p>
            <w:pPr>
              <w:pStyle w:val="Compact"/>
              <w:jc w:val="right"/>
            </w:pPr>
            <w:r>
              <w:t xml:space="preserve">157</w:t>
            </w:r>
          </w:p>
        </w:tc>
        <w:tc>
          <w:tcPr/>
          <w:p>
            <w:pPr>
              <w:pStyle w:val="Compact"/>
              <w:jc w:val="right"/>
            </w:pPr>
            <w:r>
              <w:t xml:space="preserve">14.40</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lights unlit</w:t>
            </w:r>
          </w:p>
        </w:tc>
        <w:tc>
          <w:tcPr/>
          <w:p>
            <w:pPr>
              <w:pStyle w:val="Compact"/>
              <w:jc w:val="right"/>
            </w:pPr>
            <w:r>
              <w:t xml:space="preserve">10</w:t>
            </w:r>
          </w:p>
        </w:tc>
        <w:tc>
          <w:tcPr/>
          <w:p>
            <w:pPr>
              <w:pStyle w:val="Compact"/>
              <w:jc w:val="right"/>
            </w:pPr>
            <w:r>
              <w:t xml:space="preserve">0.92</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no lighting</w:t>
            </w:r>
          </w:p>
        </w:tc>
        <w:tc>
          <w:tcPr/>
          <w:p>
            <w:pPr>
              <w:pStyle w:val="Compact"/>
              <w:jc w:val="right"/>
            </w:pPr>
            <w:r>
              <w:t xml:space="preserve">110</w:t>
            </w:r>
          </w:p>
        </w:tc>
        <w:tc>
          <w:tcPr/>
          <w:p>
            <w:pPr>
              <w:pStyle w:val="Compact"/>
              <w:jc w:val="right"/>
            </w:pPr>
            <w:r>
              <w:t xml:space="preserve">10.09</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lighting unknown</w:t>
            </w:r>
          </w:p>
        </w:tc>
        <w:tc>
          <w:tcPr/>
          <w:p>
            <w:pPr>
              <w:pStyle w:val="Compact"/>
              <w:jc w:val="right"/>
            </w:pPr>
            <w:r>
              <w:t xml:space="preserve">5</w:t>
            </w:r>
          </w:p>
        </w:tc>
        <w:tc>
          <w:tcPr/>
          <w:p>
            <w:pPr>
              <w:pStyle w:val="Compact"/>
              <w:jc w:val="right"/>
            </w:pPr>
            <w:r>
              <w:t xml:space="preserve">0.46</w:t>
            </w:r>
          </w:p>
        </w:tc>
      </w:tr>
      <w:tr>
        <w:tc>
          <w:tcPr/>
          <w:p>
            <w:pPr>
              <w:pStyle w:val="Compact"/>
              <w:jc w:val="left"/>
            </w:pPr>
            <w:r>
              <w:t xml:space="preserve">Others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7446</w:t>
            </w:r>
          </w:p>
        </w:tc>
        <w:tc>
          <w:tcPr/>
          <w:p>
            <w:pPr>
              <w:pStyle w:val="Compact"/>
              <w:jc w:val="right"/>
            </w:pPr>
            <w:r>
              <w:t xml:space="preserve">61.81</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lights lit</w:t>
            </w:r>
          </w:p>
        </w:tc>
        <w:tc>
          <w:tcPr/>
          <w:p>
            <w:pPr>
              <w:pStyle w:val="Compact"/>
              <w:jc w:val="right"/>
            </w:pPr>
            <w:r>
              <w:t xml:space="preserve">1859</w:t>
            </w:r>
          </w:p>
        </w:tc>
        <w:tc>
          <w:tcPr/>
          <w:p>
            <w:pPr>
              <w:pStyle w:val="Compact"/>
              <w:jc w:val="right"/>
            </w:pPr>
            <w:r>
              <w:t xml:space="preserve">15.43</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lights unlit</w:t>
            </w:r>
          </w:p>
        </w:tc>
        <w:tc>
          <w:tcPr/>
          <w:p>
            <w:pPr>
              <w:pStyle w:val="Compact"/>
              <w:jc w:val="right"/>
            </w:pPr>
            <w:r>
              <w:t xml:space="preserve">93</w:t>
            </w:r>
          </w:p>
        </w:tc>
        <w:tc>
          <w:tcPr/>
          <w:p>
            <w:pPr>
              <w:pStyle w:val="Compact"/>
              <w:jc w:val="right"/>
            </w:pPr>
            <w:r>
              <w:t xml:space="preserve">0.77</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no lighting</w:t>
            </w:r>
          </w:p>
        </w:tc>
        <w:tc>
          <w:tcPr/>
          <w:p>
            <w:pPr>
              <w:pStyle w:val="Compact"/>
              <w:jc w:val="right"/>
            </w:pPr>
            <w:r>
              <w:t xml:space="preserve">2450</w:t>
            </w:r>
          </w:p>
        </w:tc>
        <w:tc>
          <w:tcPr/>
          <w:p>
            <w:pPr>
              <w:pStyle w:val="Compact"/>
              <w:jc w:val="right"/>
            </w:pPr>
            <w:r>
              <w:t xml:space="preserve">20.34</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lighting unknown</w:t>
            </w:r>
          </w:p>
        </w:tc>
        <w:tc>
          <w:tcPr/>
          <w:p>
            <w:pPr>
              <w:pStyle w:val="Compact"/>
              <w:jc w:val="right"/>
            </w:pPr>
            <w:r>
              <w:t xml:space="preserve">199</w:t>
            </w:r>
          </w:p>
        </w:tc>
        <w:tc>
          <w:tcPr/>
          <w:p>
            <w:pPr>
              <w:pStyle w:val="Compact"/>
              <w:jc w:val="right"/>
            </w:pPr>
            <w:r>
              <w:t xml:space="preserve">1.65</w:t>
            </w:r>
          </w:p>
        </w:tc>
      </w:tr>
    </w:tbl>
    <w:p>
      <w:pPr>
        <w:pStyle w:val="BodyText"/>
      </w:pPr>
      <w:r>
        <w:drawing>
          <wp:inline>
            <wp:extent cx="4620126" cy="3696101"/>
            <wp:effectExtent b="0" l="0" r="0" t="0"/>
            <wp:docPr descr="" title="" id="34" name="Picture"/>
            <a:graphic>
              <a:graphicData uri="http://schemas.openxmlformats.org/drawingml/2006/picture">
                <pic:pic>
                  <pic:nvPicPr>
                    <pic:cNvPr descr="README_files/figure-docx/fig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Road traffic fatalities by year and type, UK 2011-2020</w:t>
      </w:r>
    </w:p>
    <w:p>
      <w:pPr>
        <w:pStyle w:val="BodyText"/>
      </w:pPr>
      <w:r>
        <w:drawing>
          <wp:inline>
            <wp:extent cx="4620126" cy="3696101"/>
            <wp:effectExtent b="0" l="0" r="0" t="0"/>
            <wp:docPr descr="" title="" id="37" name="Picture"/>
            <a:graphic>
              <a:graphicData uri="http://schemas.openxmlformats.org/drawingml/2006/picture">
                <pic:pic>
                  <pic:nvPicPr>
                    <pic:cNvPr descr="README_files/figure-docx/fig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UK % of road traffic fatalities by light conditions, year, and type, UK 2011-2020</w:t>
      </w:r>
    </w:p>
    <w:bookmarkEnd w:id="39"/>
    <w:bookmarkEnd w:id="40"/>
    <w:bookmarkEnd w:id="41"/>
    <w:bookmarkStart w:id="42" w:name="dicusssion"/>
    <w:p>
      <w:pPr>
        <w:pStyle w:val="Heading1"/>
      </w:pPr>
      <w:r>
        <w:t xml:space="preserve">Dicusssion</w:t>
      </w:r>
    </w:p>
    <w:bookmarkEnd w:id="42"/>
    <w:bookmarkStart w:id="43" w:name="conclusions"/>
    <w:p>
      <w:pPr>
        <w:pStyle w:val="Heading1"/>
      </w:pPr>
      <w:r>
        <w:t xml:space="preserve">Conclusions</w:t>
      </w:r>
    </w:p>
    <w:bookmarkEnd w:id="43"/>
    <w:bookmarkStart w:id="51" w:name="references"/>
    <w:p>
      <w:pPr>
        <w:pStyle w:val="Heading1"/>
      </w:pPr>
      <w:r>
        <w:t xml:space="preserve">References</w:t>
      </w:r>
    </w:p>
    <w:bookmarkStart w:id="50" w:name="refs"/>
    <w:bookmarkStart w:id="45" w:name="ref-ferenchak_shedding_2022"/>
    <w:p>
      <w:pPr>
        <w:pStyle w:val="Bibliography"/>
      </w:pPr>
      <w:r>
        <w:t xml:space="preserve">Ferenchak, Nicholas N., Risa E. Gutierrez, and Patrick A. Singleton. 2022.</w:t>
      </w:r>
      <w:r>
        <w:t xml:space="preserve"> </w:t>
      </w:r>
      <w:r>
        <w:t xml:space="preserve">“Shedding Light on the Pedestrian Safety Crisis:</w:t>
      </w:r>
      <w:r>
        <w:t xml:space="preserve"> </w:t>
      </w:r>
      <w:r>
        <w:t xml:space="preserve">An</w:t>
      </w:r>
      <w:r>
        <w:t xml:space="preserve"> </w:t>
      </w:r>
      <w:r>
        <w:t xml:space="preserve">Analysis Across the Injury Severity Spectrum by Lighting Condition.”</w:t>
      </w:r>
      <w:r>
        <w:t xml:space="preserve"> </w:t>
      </w:r>
      <w:r>
        <w:rPr>
          <w:iCs/>
          <w:i/>
        </w:rPr>
        <w:t xml:space="preserve">Traffic Injury Prevention</w:t>
      </w:r>
      <w:r>
        <w:t xml:space="preserve"> </w:t>
      </w:r>
      <w:r>
        <w:t xml:space="preserve">23 (7): 434–39.</w:t>
      </w:r>
      <w:r>
        <w:t xml:space="preserve"> </w:t>
      </w:r>
      <w:hyperlink r:id="rId44">
        <w:r>
          <w:rPr>
            <w:rStyle w:val="Hyperlink"/>
          </w:rPr>
          <w:t xml:space="preserve">https://doi.org/10.1080/15389588.2022.2100362</w:t>
        </w:r>
      </w:hyperlink>
      <w:r>
        <w:t xml:space="preserve">.</w:t>
      </w:r>
    </w:p>
    <w:bookmarkEnd w:id="45"/>
    <w:bookmarkStart w:id="47" w:name="ref-sanders_pedestrian_2022"/>
    <w:p>
      <w:pPr>
        <w:pStyle w:val="Bibliography"/>
      </w:pPr>
      <w:r>
        <w:t xml:space="preserve">Sanders, Rebecca L., Robert J. Schneider, and Frank R. Proulx. 2022.</w:t>
      </w:r>
      <w:r>
        <w:t xml:space="preserve"> </w:t>
      </w:r>
      <w:r>
        <w:t xml:space="preserve">“Pedestrian Fatalities in Darkness:</w:t>
      </w:r>
      <w:r>
        <w:t xml:space="preserve"> </w:t>
      </w:r>
      <w:r>
        <w:t xml:space="preserve">What</w:t>
      </w:r>
      <w:r>
        <w:t xml:space="preserve"> </w:t>
      </w:r>
      <w:r>
        <w:t xml:space="preserve">Do We Know, and What Can Be Done?”</w:t>
      </w:r>
      <w:r>
        <w:t xml:space="preserve"> </w:t>
      </w:r>
      <w:r>
        <w:rPr>
          <w:iCs/>
          <w:i/>
        </w:rPr>
        <w:t xml:space="preserve">Transport Policy</w:t>
      </w:r>
      <w:r>
        <w:t xml:space="preserve"> </w:t>
      </w:r>
      <w:r>
        <w:t xml:space="preserve">120 (May): 23–39.</w:t>
      </w:r>
      <w:r>
        <w:t xml:space="preserve"> </w:t>
      </w:r>
      <w:hyperlink r:id="rId46">
        <w:r>
          <w:rPr>
            <w:rStyle w:val="Hyperlink"/>
          </w:rPr>
          <w:t xml:space="preserve">https://doi.org/10.1016/j.tranpol.2022.02.010</w:t>
        </w:r>
      </w:hyperlink>
      <w:r>
        <w:t xml:space="preserve">.</w:t>
      </w:r>
    </w:p>
    <w:bookmarkEnd w:id="47"/>
    <w:bookmarkStart w:id="49" w:name="ref-wang_fatal_2020"/>
    <w:p>
      <w:pPr>
        <w:pStyle w:val="Bibliography"/>
      </w:pPr>
      <w:r>
        <w:t xml:space="preserve">Wang, Jin, and Jessica B. Cicchino. 2020.</w:t>
      </w:r>
      <w:r>
        <w:t xml:space="preserve"> </w:t>
      </w:r>
      <w:r>
        <w:t xml:space="preserve">“Fatal Pedestrian Crashes on Interstates and Other Freeways in the</w:t>
      </w:r>
      <w:r>
        <w:t xml:space="preserve"> </w:t>
      </w:r>
      <w:r>
        <w:t xml:space="preserve">United</w:t>
      </w:r>
      <w:r>
        <w:t xml:space="preserve"> </w:t>
      </w:r>
      <w:r>
        <w:t xml:space="preserve">States</w:t>
      </w:r>
      <w:r>
        <w:t xml:space="preserve">.”</w:t>
      </w:r>
      <w:r>
        <w:t xml:space="preserve"> </w:t>
      </w:r>
      <w:r>
        <w:rPr>
          <w:iCs/>
          <w:i/>
        </w:rPr>
        <w:t xml:space="preserve">Journal of Safety Research</w:t>
      </w:r>
      <w:r>
        <w:t xml:space="preserve"> </w:t>
      </w:r>
      <w:r>
        <w:t xml:space="preserve">74 (September): 1–7.</w:t>
      </w:r>
      <w:r>
        <w:t xml:space="preserve"> </w:t>
      </w:r>
      <w:hyperlink r:id="rId48">
        <w:r>
          <w:rPr>
            <w:rStyle w:val="Hyperlink"/>
          </w:rPr>
          <w:t xml:space="preserve">https://doi.org/10.1016/j.jsr.2020.04.009</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8" Target="https://doi.org/10.1016/j.jsr.2020.04.009" TargetMode="External" /><Relationship Type="http://schemas.openxmlformats.org/officeDocument/2006/relationships/hyperlink" Id="rId46" Target="https://doi.org/10.1016/j.tranpol.2022.02.010" TargetMode="External" /><Relationship Type="http://schemas.openxmlformats.org/officeDocument/2006/relationships/hyperlink" Id="rId44" Target="https://doi.org/10.1080/15389588.2022.2100362"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16/j.jsr.2020.04.009" TargetMode="External" /><Relationship Type="http://schemas.openxmlformats.org/officeDocument/2006/relationships/hyperlink" Id="rId46" Target="https://doi.org/10.1016/j.tranpol.2022.02.010" TargetMode="External" /><Relationship Type="http://schemas.openxmlformats.org/officeDocument/2006/relationships/hyperlink" Id="rId44" Target="https://doi.org/10.1080/15389588.2022.2100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traffic fatalities by light conditions: a comparative analysis between the US and the UK</dc:title>
  <dc:creator/>
  <cp:keywords/>
  <dcterms:created xsi:type="dcterms:W3CDTF">2022-11-30T14:27:32Z</dcterms:created>
  <dcterms:modified xsi:type="dcterms:W3CDTF">2022-11-30T14:27:32Z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saturn.bib</vt:lpwstr>
  </property>
  <property fmtid="{D5CDD505-2E9C-101B-9397-08002B2CF9AE}" pid="4" name="output">
    <vt:lpwstr>word_document</vt:lpwstr>
  </property>
</Properties>
</file>