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Design an engaging, interactive ice-breaker activity for a 50-minute lesson on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Love, the first fruit of the Holy Spirit. The activity is for a group of UK secondary school students aged 11-16 and must be practical for a classroom or hall setting. The goal is to immediately involve all participants and creatively introduce the core theme of selfless, committed, and action-oriented love that seeks the best for others, as contrasted with feelings-based or self-serving love.</w:t>
      </w:r>
    </w:p>
    <w:p>
      <w:pPr>
        <w:pStyle w:val="BodyText"/>
      </w:pPr>
      <w:r>
        <w:t xml:space="preserve">The activity should:</w:t>
      </w:r>
      <w:r>
        <w:t xml:space="preserve"> </w:t>
      </w:r>
      <w:r>
        <w:t xml:space="preserve">1. Require minimal preparation and use simple, readily available materials (e.g., paper, pens, everyday objects).</w:t>
      </w:r>
      <w:r>
        <w:t xml:space="preserve"> </w:t>
      </w:r>
      <w:r>
        <w:t xml:space="preserve">2. Be highly interactive, getting students to move, communicate, or create something together within the first 5-10 minutes of the session.</w:t>
      </w:r>
      <w:r>
        <w:t xml:space="preserve"> </w:t>
      </w:r>
      <w:r>
        <w:t xml:space="preserve">3. Clearly create a link to the lesson’s key idea: that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is a choice demonstrated through actions, not just a emotion.</w:t>
      </w:r>
      <w:r>
        <w:t xml:space="preserve"> </w:t>
      </w:r>
      <w:r>
        <w:t xml:space="preserve">4. Be inclusive and appropriate for a diverse group where not all students may share the same faith background, focusing on universal concepts of kindness and commitment.</w:t>
      </w:r>
      <w:r>
        <w:t xml:space="preserve"> </w:t>
      </w:r>
      <w:r>
        <w:t xml:space="preserve">5. Include a brief, simple explanation for the youth leader on how to facilitate the activity and how to transition from the ice-breaker into the main Bible teaching on</w:t>
      </w:r>
      <w:r>
        <w:t xml:space="preserve"> </w:t>
      </w:r>
      <w:r>
        <w:rPr>
          <w:iCs/>
          <w:i/>
        </w:rPr>
        <w:t xml:space="preserve">agape</w:t>
      </w:r>
      <w:r>
        <w:t xml:space="preserve">.</w:t>
      </w:r>
    </w:p>
    <w:p>
      <w:pPr>
        <w:pStyle w:val="BodyText"/>
      </w:pPr>
      <w:r>
        <w:t xml:space="preserve">Provide the full activity plan with a title, list of needed materials, step-by-step instructions for the leader, and the key discussion question to bridge the activity to the lesson content.</w:t>
      </w:r>
    </w:p>
    <w:p>
      <w:r>
        <w:pict>
          <v:rect style="width:0;height:1.5pt" o:hralign="center" o:hrstd="t" o:hr="t"/>
        </w:pict>
      </w:r>
    </w:p>
    <w:bookmarkStart w:id="28" w:name="X8d0e0e9d0f26c9aa4daecb9e5959e57ade23368"/>
    <w:p>
      <w:pPr>
        <w:pStyle w:val="Heading1"/>
      </w:pPr>
      <w:r>
        <w:rPr>
          <w:bCs/>
          <w:b/>
        </w:rPr>
        <w:t xml:space="preserve">Ice-Breaker Activity Plan: The Commitment Bridge</w:t>
      </w:r>
    </w:p>
    <w:bookmarkStart w:id="20" w:name="title"/>
    <w:p>
      <w:pPr>
        <w:pStyle w:val="Heading2"/>
      </w:pPr>
      <w:r>
        <w:rPr>
          <w:bCs/>
          <w:b/>
        </w:rPr>
        <w:t xml:space="preserve">Title</w:t>
      </w:r>
    </w:p>
    <w:p>
      <w:pPr>
        <w:pStyle w:val="FirstParagraph"/>
      </w:pPr>
      <w:r>
        <w:t xml:space="preserve">The Commitment Bridge</w:t>
      </w:r>
    </w:p>
    <w:bookmarkEnd w:id="20"/>
    <w:bookmarkStart w:id="21" w:name="learning-objective"/>
    <w:p>
      <w:pPr>
        <w:pStyle w:val="Heading2"/>
      </w:pPr>
      <w:r>
        <w:rPr>
          <w:bCs/>
          <w:b/>
        </w:rPr>
        <w:t xml:space="preserve">Learning Objective</w:t>
      </w:r>
    </w:p>
    <w:p>
      <w:pPr>
        <w:pStyle w:val="FirstParagraph"/>
      </w:pPr>
      <w:r>
        <w:t xml:space="preserve">To experientially introduce the concept that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is a deliberate choice to act for the good of others, demonstrated through commitment and collaboration, rather than a passive feeling.</w:t>
      </w:r>
    </w:p>
    <w:bookmarkEnd w:id="21"/>
    <w:bookmarkStart w:id="22" w:name="needed-materials"/>
    <w:p>
      <w:pPr>
        <w:pStyle w:val="Heading2"/>
      </w:pPr>
      <w:r>
        <w:rPr>
          <w:bCs/>
          <w:b/>
        </w:rPr>
        <w:t xml:space="preserve">Needed Materials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the activity:</w:t>
      </w:r>
      <w:r>
        <w:t xml:space="preserve"> </w:t>
      </w:r>
      <w:r>
        <w:t xml:space="preserve">One sheet of A4 paper and one pen per student.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the leader:</w:t>
      </w:r>
      <w:r>
        <w:t xml:space="preserve"> </w:t>
      </w:r>
      <w:r>
        <w:t xml:space="preserve">A whiteboard/flipchart and marker.</w:t>
      </w:r>
    </w:p>
    <w:bookmarkEnd w:id="22"/>
    <w:bookmarkStart w:id="26" w:name="X383c6cddde0ea250a309dca74178d77284f004c"/>
    <w:p>
      <w:pPr>
        <w:pStyle w:val="Heading2"/>
      </w:pPr>
      <w:r>
        <w:rPr>
          <w:bCs/>
          <w:b/>
        </w:rPr>
        <w:t xml:space="preserve">Step-by-Step Instructions (Total Time: 8-10 minutes)</w:t>
      </w:r>
    </w:p>
    <w:bookmarkStart w:id="23" w:name="part-1-the-individual-choice-2-mins"/>
    <w:p>
      <w:pPr>
        <w:pStyle w:val="Heading3"/>
      </w:pPr>
      <w:r>
        <w:rPr>
          <w:bCs/>
          <w:b/>
        </w:rPr>
        <w:t xml:space="preserve">Part 1: The Individual Choice (2 mins)</w:t>
      </w:r>
    </w:p>
    <w:p>
      <w:pPr>
        <w:numPr>
          <w:ilvl w:val="0"/>
          <w:numId w:val="1002"/>
        </w:numPr>
        <w:pStyle w:val="Compact"/>
      </w:pPr>
      <w:r>
        <w:t xml:space="preserve">Give each student one sheet of A4 paper and a pen.</w:t>
      </w:r>
    </w:p>
    <w:p>
      <w:pPr>
        <w:numPr>
          <w:ilvl w:val="0"/>
          <w:numId w:val="1002"/>
        </w:numPr>
        <w:pStyle w:val="Compact"/>
      </w:pPr>
      <w:r>
        <w:t xml:space="preserve">Instruct them: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Without talking to anyone, you have 60 seconds. Crumple your paper into a ball. On the count of three, I want you to make a choice: throw your paper ball into the middle of the room, or hold onto it. Ready? 3, 2, 1… GO!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Observe the result. Typically, most will throw it, creating a messy pile.</w:t>
      </w:r>
    </w:p>
    <w:bookmarkEnd w:id="23"/>
    <w:bookmarkStart w:id="24" w:name="X3e2eac889981d5886aa8ac4fe2bc131dee24bf4"/>
    <w:p>
      <w:pPr>
        <w:pStyle w:val="Heading3"/>
      </w:pPr>
      <w:r>
        <w:rPr>
          <w:bCs/>
          <w:b/>
        </w:rPr>
        <w:t xml:space="preserve">Part 2: The Collaborative Challenge (5 mins)</w:t>
      </w:r>
    </w:p>
    <w:p>
      <w:pPr>
        <w:numPr>
          <w:ilvl w:val="0"/>
          <w:numId w:val="1003"/>
        </w:numPr>
        <w:pStyle w:val="Compact"/>
      </w:pPr>
      <w:r>
        <w:t xml:space="preserve">Say: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Great. Now, here’s a new challenge. I need everyone to get into groups of 4 or 5 with people near you. Your team’s goal is to build the longest, continuous, unsupported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bridge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you can between two chairs (or tables) using ONLY the paper balls from your team and the pens. You cannot use tape, string, or anything else. You have 4 minutes. Go!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Facilitation Tips: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Be encouraging:</w:t>
      </w:r>
      <w:r>
        <w:t xml:space="preserve"> </w:t>
      </w:r>
      <w:r>
        <w:t xml:space="preserve">Move between groups, noting their strategies. Use positive, non-directive language like</w:t>
      </w:r>
      <w:r>
        <w:t xml:space="preserve"> </w:t>
      </w:r>
      <w:r>
        <w:t xml:space="preserve">“</w:t>
      </w:r>
      <w:r>
        <w:t xml:space="preserve">Interesting approach!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How are you working together to solve the stability problem?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Emphasise the constraint:</w:t>
      </w:r>
      <w:r>
        <w:t xml:space="preserve"> </w:t>
      </w:r>
      <w:r>
        <w:t xml:space="preserve">If they ask for tape, remind them they only have paper and pens. The challenge is to commit to working with what they have.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Watch for dynamics:</w:t>
      </w:r>
      <w:r>
        <w:t xml:space="preserve"> </w:t>
      </w:r>
      <w:r>
        <w:t xml:space="preserve">Note which groups start planning, who offers their paper ball first, who suggests using pens as connectors or counterweights.</w:t>
      </w:r>
    </w:p>
    <w:bookmarkEnd w:id="24"/>
    <w:bookmarkStart w:id="25" w:name="X9a12ae612098afb7ea4fcbfe3dbe6004daacb10"/>
    <w:p>
      <w:pPr>
        <w:pStyle w:val="Heading3"/>
      </w:pPr>
      <w:r>
        <w:rPr>
          <w:bCs/>
          <w:b/>
        </w:rPr>
        <w:t xml:space="preserve">Part 3: Group Observation &amp; Transition (1-2 mins)</w:t>
      </w:r>
    </w:p>
    <w:p>
      <w:pPr>
        <w:numPr>
          <w:ilvl w:val="0"/>
          <w:numId w:val="1005"/>
        </w:numPr>
        <w:pStyle w:val="Compact"/>
      </w:pPr>
      <w:r>
        <w:t xml:space="preserve">After time is up, have each group briefly show their</w:t>
      </w:r>
      <w:r>
        <w:t xml:space="preserve"> </w:t>
      </w:r>
      <w:r>
        <w:t xml:space="preserve">“</w:t>
      </w:r>
      <w:r>
        <w:t xml:space="preserve">bridge.</w:t>
      </w:r>
      <w:r>
        <w:t xml:space="preserve">”</w:t>
      </w:r>
      <w:r>
        <w:t xml:space="preserve"> </w:t>
      </w:r>
      <w:r>
        <w:t xml:space="preserve">Applaud the effort.</w:t>
      </w:r>
    </w:p>
    <w:p>
      <w:pPr>
        <w:numPr>
          <w:ilvl w:val="0"/>
          <w:numId w:val="1005"/>
        </w:numPr>
        <w:pStyle w:val="Compact"/>
      </w:pPr>
      <w:r>
        <w:t xml:space="preserve">Gather everyone back to a seated circle. Point to the whiteboard. Draw two columns. Label the first column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Activity 1: The Throw.</w:t>
      </w:r>
      <w:r>
        <w:rPr>
          <w:bCs/>
          <w:b/>
        </w:rPr>
        <w:t xml:space="preserve">”</w:t>
      </w:r>
      <w:r>
        <w:t xml:space="preserve"> </w:t>
      </w:r>
      <w:r>
        <w:t xml:space="preserve">Label the second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Activity 2: The Bridge.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Let’s compare these two tasks. In the first one, what was the main goal?</w:t>
      </w:r>
      <w:r>
        <w:rPr>
          <w:bCs/>
          <w:b/>
        </w:rPr>
        <w:t xml:space="preserve">”</w:t>
      </w:r>
      <w:r>
        <w:t xml:space="preserve"> </w:t>
      </w:r>
      <w:r>
        <w:t xml:space="preserve">(Solicit answers: it was individual, fast, maybe fun/cathartic, required no thought for others). Write key words under column 1 (e.g.,</w:t>
      </w:r>
      <w:r>
        <w:t xml:space="preserve"> </w:t>
      </w:r>
      <w:r>
        <w:t xml:space="preserve">“</w:t>
      </w:r>
      <w:r>
        <w:t xml:space="preserve">Me,</w:t>
      </w:r>
      <w:r>
        <w:t xml:space="preserve">”</w:t>
      </w:r>
      <w:r>
        <w:t xml:space="preserve"> </w:t>
      </w:r>
      <w:r>
        <w:t xml:space="preserve">“</w:t>
      </w:r>
      <w:r>
        <w:t xml:space="preserve">Quick,</w:t>
      </w:r>
      <w:r>
        <w:t xml:space="preserve">”</w:t>
      </w:r>
      <w:r>
        <w:t xml:space="preserve"> </w:t>
      </w:r>
      <w:r>
        <w:t xml:space="preserve">“</w:t>
      </w:r>
      <w:r>
        <w:t xml:space="preserve">Feeling,</w:t>
      </w:r>
      <w:r>
        <w:t xml:space="preserve">”</w:t>
      </w:r>
      <w:r>
        <w:t xml:space="preserve"> </w:t>
      </w:r>
      <w:r>
        <w:t xml:space="preserve">“</w:t>
      </w:r>
      <w:r>
        <w:t xml:space="preserve">Mess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Then 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the second challenge, what did you NEED to do to even start building?</w:t>
      </w:r>
      <w:r>
        <w:rPr>
          <w:bCs/>
          <w:b/>
        </w:rPr>
        <w:t xml:space="preserve">”</w:t>
      </w:r>
      <w:r>
        <w:t xml:space="preserve"> </w:t>
      </w:r>
      <w:r>
        <w:t xml:space="preserve">Guide them to see they had to:</w:t>
      </w:r>
      <w:r>
        <w:t xml:space="preserve"> </w:t>
      </w:r>
      <w:r>
        <w:rPr>
          <w:bCs/>
          <w:b/>
        </w:rPr>
        <w:t xml:space="preserve">gather resources from everyone, plan together, commit to a shared goal, handle materials carefully, support each other’s ideas.</w:t>
      </w:r>
      <w:r>
        <w:t xml:space="preserve"> </w:t>
      </w:r>
      <w:r>
        <w:t xml:space="preserve">Write these under column 2 (e.g.,</w:t>
      </w:r>
      <w:r>
        <w:t xml:space="preserve"> </w:t>
      </w:r>
      <w:r>
        <w:t xml:space="preserve">“</w:t>
      </w:r>
      <w:r>
        <w:t xml:space="preserve">Us,</w:t>
      </w:r>
      <w:r>
        <w:t xml:space="preserve">”</w:t>
      </w:r>
      <w:r>
        <w:t xml:space="preserve"> </w:t>
      </w:r>
      <w:r>
        <w:t xml:space="preserve">“</w:t>
      </w:r>
      <w:r>
        <w:t xml:space="preserve">Plan,</w:t>
      </w:r>
      <w:r>
        <w:t xml:space="preserve">”</w:t>
      </w:r>
      <w:r>
        <w:t xml:space="preserve"> </w:t>
      </w:r>
      <w:r>
        <w:t xml:space="preserve">“</w:t>
      </w:r>
      <w:r>
        <w:t xml:space="preserve">Choice,</w:t>
      </w:r>
      <w:r>
        <w:t xml:space="preserve">”</w:t>
      </w:r>
      <w:r>
        <w:t xml:space="preserve"> </w:t>
      </w:r>
      <w:r>
        <w:t xml:space="preserve">“</w:t>
      </w:r>
      <w:r>
        <w:t xml:space="preserve">Action,</w:t>
      </w:r>
      <w:r>
        <w:t xml:space="preserve">”</w:t>
      </w:r>
      <w:r>
        <w:t xml:space="preserve"> </w:t>
      </w:r>
      <w:r>
        <w:t xml:space="preserve">“</w:t>
      </w:r>
      <w:r>
        <w:t xml:space="preserve">Commitment,</w:t>
      </w:r>
      <w:r>
        <w:t xml:space="preserve">”</w:t>
      </w:r>
      <w:r>
        <w:t xml:space="preserve"> </w:t>
      </w:r>
      <w:r>
        <w:t xml:space="preserve">“</w:t>
      </w:r>
      <w:r>
        <w:t xml:space="preserve">Common Good</w:t>
      </w:r>
      <w:r>
        <w:t xml:space="preserve">”</w:t>
      </w:r>
      <w:r>
        <w:t xml:space="preserve">).</w:t>
      </w:r>
    </w:p>
    <w:bookmarkEnd w:id="25"/>
    <w:bookmarkEnd w:id="26"/>
    <w:bookmarkStart w:id="27" w:name="Xaf1d9bd2c82a3104bbc50a3809eff648db11e88"/>
    <w:p>
      <w:pPr>
        <w:pStyle w:val="Heading2"/>
      </w:pPr>
      <w:r>
        <w:rPr>
          <w:bCs/>
          <w:b/>
        </w:rPr>
        <w:t xml:space="preserve">Key Discussion Question for Transition to Bible Teaching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In the second challenge, you had to choose to use your paper—your resource—not for your own instant thing, but for a shared goal. Was that about how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felt</w:t>
      </w:r>
      <w:r>
        <w:rPr>
          <w:bCs/>
          <w:b/>
        </w:rPr>
        <w:t xml:space="preserve"> </w:t>
      </w:r>
      <w:r>
        <w:rPr>
          <w:bCs/>
          <w:b/>
        </w:rPr>
        <w:t xml:space="preserve">about your teammates, or about what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chose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?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Leader’s Script for Transition: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you’re describing—choosing to act for the good of the whole group, even if it meant giving up your own paper—that’s a powerful picture of a very specific kind of love. It’s not just a warm feeling that comes and goes. It’s a choice followed by an action. It’s committed. It seeks the best for others. In the Bible, this is called</w:t>
      </w:r>
      <w:r>
        <w:rPr>
          <w:iCs/>
          <w:i/>
        </w:rPr>
        <w:t xml:space="preserve"> </w:t>
      </w:r>
      <w:r>
        <w:rPr>
          <w:iCs/>
          <w:i/>
          <w:bCs/>
          <w:b/>
          <w:iCs/>
          <w:i/>
        </w:rPr>
        <w:t xml:space="preserve">Agape</w:t>
      </w:r>
      <w:r>
        <w:rPr>
          <w:iCs/>
          <w:i/>
        </w:rPr>
        <w:t xml:space="preserve"> </w:t>
      </w:r>
      <w:r>
        <w:rPr>
          <w:iCs/>
          <w:i/>
        </w:rPr>
        <w:t xml:space="preserve">love. It’s the first and most important quality that God’s Spirit grows in us. Today, we’re going to explore what this</w:t>
      </w:r>
      <w:r>
        <w:rPr>
          <w:iCs/>
          <w:i/>
        </w:rPr>
        <w:t xml:space="preserve"> </w:t>
      </w:r>
      <w:r>
        <w:rPr>
          <w:iCs/>
          <w:i/>
          <w:bCs/>
          <w:b/>
          <w:iCs/>
          <w:i/>
        </w:rPr>
        <w:t xml:space="preserve">Agape</w:t>
      </w:r>
      <w:r>
        <w:rPr>
          <w:iCs/>
          <w:i/>
        </w:rPr>
        <w:t xml:space="preserve"> </w:t>
      </w:r>
      <w:r>
        <w:rPr>
          <w:iCs/>
          <w:i/>
        </w:rPr>
        <w:t xml:space="preserve">love looks like in real life—at school, online, and at home—and how it’s completely different from the world’s idea of love. Let’s dive in.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Why This Activity Works: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Interactive &amp; Kinesthetic:</w:t>
      </w:r>
      <w:r>
        <w:t xml:space="preserve"> </w:t>
      </w:r>
      <w:r>
        <w:t xml:space="preserve">It immediately gets students moving, making choices, and collaborating.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Creates a Clear Contrast:</w:t>
      </w:r>
      <w:r>
        <w:t xml:space="preserve"> </w:t>
      </w:r>
      <w:r>
        <w:t xml:space="preserve">The visceral difference between the individualistic</w:t>
      </w:r>
      <w:r>
        <w:t xml:space="preserve"> </w:t>
      </w:r>
      <w:r>
        <w:t xml:space="preserve">“</w:t>
      </w:r>
      <w:r>
        <w:t xml:space="preserve">throw</w:t>
      </w:r>
      <w:r>
        <w:t xml:space="preserve">”</w:t>
      </w:r>
      <w:r>
        <w:t xml:space="preserve"> </w:t>
      </w:r>
      <w:r>
        <w:t xml:space="preserve">and the collaborative</w:t>
      </w:r>
      <w:r>
        <w:t xml:space="preserve"> </w:t>
      </w:r>
      <w:r>
        <w:t xml:space="preserve">“</w:t>
      </w:r>
      <w:r>
        <w:t xml:space="preserve">build</w:t>
      </w:r>
      <w:r>
        <w:t xml:space="preserve">”</w:t>
      </w:r>
      <w:r>
        <w:t xml:space="preserve"> </w:t>
      </w:r>
      <w:r>
        <w:t xml:space="preserve">perfectly mirrors the contrast between self-serving impulses and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Universal &amp; Inclusive:</w:t>
      </w:r>
      <w:r>
        <w:t xml:space="preserve"> </w:t>
      </w:r>
      <w:r>
        <w:t xml:space="preserve">The debrief uses the universal concepts of teamwork, choice, and shared goals, making it accessible to all students regardless of personal faith.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Minimal Prep:</w:t>
      </w:r>
      <w:r>
        <w:t xml:space="preserve"> </w:t>
      </w:r>
      <w:r>
        <w:t xml:space="preserve">Uses only standard classroom stationery.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Natural Link:</w:t>
      </w:r>
      <w:r>
        <w:t xml:space="preserve"> </w:t>
      </w:r>
      <w:r>
        <w:t xml:space="preserve">The transition question directly bridges the experiential learning to the theological concept, setting up the Bible teaching seamlessly.</w:t>
      </w:r>
    </w:p>
    <w:p>
      <w:r>
        <w:pict>
          <v:rect style="width:0;height:1.5pt" o:hralign="center" o:hrstd="t" o:hr="t"/>
        </w:pic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2026-03-07T17:47:22Z</dcterms:created>
  <dcterms:modified xsi:type="dcterms:W3CDTF">2026-03-07T17:47:22Z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