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Interpret Galatians 5:22-23 in the light of its context, providing insights from biblical Greek studies regarding the specific fruits of the Spirit listed in these verses.</w:t>
      </w:r>
    </w:p>
    <w:p>
      <w:r>
        <w:pict>
          <v:rect style="width:0;height:1.5pt" o:hralign="center" o:hrstd="t" o:hr="t"/>
        </w:pict>
      </w:r>
    </w:p>
    <w:p>
      <w:pPr>
        <w:pStyle w:val="FirstParagraph"/>
      </w:pPr>
      <w:r>
        <w:t xml:space="preserve">The apostle Paul’s exposition of the</w:t>
      </w:r>
      <w:r>
        <w:t xml:space="preserve"> </w:t>
      </w:r>
      <w:r>
        <w:t xml:space="preserve">“</w:t>
      </w:r>
      <w:r>
        <w:t xml:space="preserve">fruit of the Spirit</w:t>
      </w:r>
      <w:r>
        <w:t xml:space="preserve">”</w:t>
      </w:r>
      <w:r>
        <w:t xml:space="preserve"> </w:t>
      </w:r>
      <w:r>
        <w:t xml:space="preserve">stands as the climax of his ethical argument in Galatians, presenting a vivid contrast to the chaotic</w:t>
      </w:r>
      <w:r>
        <w:t xml:space="preserve"> </w:t>
      </w:r>
      <w:r>
        <w:t xml:space="preserve">“</w:t>
      </w:r>
      <w:r>
        <w:t xml:space="preserve">works of the flesh</w:t>
      </w:r>
      <w:r>
        <w:t xml:space="preserve">”</w:t>
      </w:r>
      <w:r>
        <w:t xml:space="preserve"> </w:t>
      </w:r>
      <w:r>
        <w:t xml:space="preserve">detailed in the preceding verses. To appreciate the depth of this passage, one must examine the grammatical shift from plural</w:t>
      </w:r>
      <w:r>
        <w:t xml:space="preserve"> </w:t>
      </w:r>
      <w:r>
        <w:t xml:space="preserve">“</w:t>
      </w:r>
      <w:r>
        <w:t xml:space="preserve">works</w:t>
      </w:r>
      <w:r>
        <w:t xml:space="preserve">”</w:t>
      </w:r>
      <w:r>
        <w:t xml:space="preserve"> </w:t>
      </w:r>
      <w:r>
        <w:t xml:space="preserve">to singular</w:t>
      </w:r>
      <w:r>
        <w:t xml:space="preserve"> </w:t>
      </w:r>
      <w:r>
        <w:t xml:space="preserve">“</w:t>
      </w:r>
      <w:r>
        <w:t xml:space="preserve">fruit,</w:t>
      </w:r>
      <w:r>
        <w:t xml:space="preserve">”</w:t>
      </w:r>
      <w:r>
        <w:t xml:space="preserve"> </w:t>
      </w:r>
      <w:r>
        <w:t xml:space="preserve">and then explore the lexical richness of the specific virtues listed.</w:t>
      </w:r>
    </w:p>
    <w:bookmarkStart w:id="20" w:name="the-singular-harvest-karpos-versus-erga"/>
    <w:p>
      <w:pPr>
        <w:pStyle w:val="Heading3"/>
      </w:pPr>
      <w:r>
        <w:t xml:space="preserve">The Singular Harvest:</w:t>
      </w:r>
      <w:r>
        <w:t xml:space="preserve"> </w:t>
      </w:r>
      <w:r>
        <w:rPr>
          <w:iCs/>
          <w:i/>
        </w:rPr>
        <w:t xml:space="preserve">Karpos</w:t>
      </w:r>
      <w:r>
        <w:t xml:space="preserve"> </w:t>
      </w:r>
      <w:r>
        <w:t xml:space="preserve">versus</w:t>
      </w:r>
      <w:r>
        <w:t xml:space="preserve"> </w:t>
      </w:r>
      <w:r>
        <w:rPr>
          <w:iCs/>
          <w:i/>
        </w:rPr>
        <w:t xml:space="preserve">Erga</w:t>
      </w:r>
    </w:p>
    <w:p>
      <w:pPr>
        <w:pStyle w:val="FirstParagraph"/>
      </w:pPr>
      <w:r>
        <w:t xml:space="preserve">A crucial theological distinction is immediately apparent in the text. In verses 19-21, Paul lists the</w:t>
      </w:r>
      <w:r>
        <w:t xml:space="preserve"> </w:t>
      </w:r>
      <w:r>
        <w:t xml:space="preserve">“</w:t>
      </w:r>
      <w:r>
        <w:t xml:space="preserve">works of the flesh</w:t>
      </w:r>
      <w:r>
        <w:t xml:space="preserve">”</w:t>
      </w:r>
      <w:r>
        <w:t xml:space="preserve"> </w:t>
      </w:r>
      <w:r>
        <w:t xml:space="preserve">using the Greek plural noun</w:t>
      </w:r>
      <w:r>
        <w:t xml:space="preserve"> </w:t>
      </w:r>
      <w:r>
        <w:rPr>
          <w:iCs/>
          <w:i/>
        </w:rPr>
        <w:t xml:space="preserve">erga</w:t>
      </w:r>
      <w:r>
        <w:t xml:space="preserve">—emphasizing disjointed, frantic, and self-generated efforts that result in fragmentation and discord. In stark contrast, verse 22 introduces the</w:t>
      </w:r>
      <w:r>
        <w:t xml:space="preserve"> </w:t>
      </w:r>
      <w:r>
        <w:t xml:space="preserve">“</w:t>
      </w:r>
      <w:r>
        <w:t xml:space="preserve">fruit of the Spirit</w:t>
      </w:r>
      <w:r>
        <w:t xml:space="preserve">”</w:t>
      </w:r>
      <w:r>
        <w:t xml:space="preserve"> </w:t>
      </w:r>
      <w:r>
        <w:t xml:space="preserve">using the singular Greek noun</w:t>
      </w:r>
      <w:r>
        <w:t xml:space="preserve"> </w:t>
      </w:r>
      <w:r>
        <w:rPr>
          <w:iCs/>
          <w:i/>
        </w:rPr>
        <w:t xml:space="preserve">karpos</w:t>
      </w:r>
      <w:r>
        <w:t xml:space="preserve">.</w:t>
      </w:r>
    </w:p>
    <w:p>
      <w:pPr>
        <w:pStyle w:val="BodyText"/>
      </w:pPr>
      <w:r>
        <w:t xml:space="preserve">This grammatical shift is profoundly significant. It suggests that the Spirit produces a unified harvest, not a disparate collection of virtues. One cannot pick and choose among these attributes as if they were items on a buffet; they are an organic whole. Just as an orange contains segments that together constitute a single fruit, these virtues are different facets of a single Christ-like character. The presence of one implies the presence of the root; the absence of one suggests a lack of spiritual vitality. This aligns with the Lord Jesus’ teaching in Matthew 7:16-20, where the nature of the tree is known by its fruit.</w:t>
      </w:r>
    </w:p>
    <w:bookmarkEnd w:id="20"/>
    <w:bookmarkStart w:id="21" w:name="exegesis-of-the-virtues"/>
    <w:p>
      <w:pPr>
        <w:pStyle w:val="Heading3"/>
      </w:pPr>
      <w:r>
        <w:t xml:space="preserve">Exegesis of the Virtues</w:t>
      </w:r>
    </w:p>
    <w:p>
      <w:pPr>
        <w:pStyle w:val="FirstParagraph"/>
      </w:pPr>
      <w:r>
        <w:t xml:space="preserve">Paul enumerates nine virtues, each carrying specific lexical weight that counters the</w:t>
      </w:r>
      <w:r>
        <w:t xml:space="preserve"> </w:t>
      </w:r>
      <w:r>
        <w:t xml:space="preserve">“</w:t>
      </w:r>
      <w:r>
        <w:t xml:space="preserve">works of the flesh.</w:t>
      </w:r>
      <w:r>
        <w:t xml:space="preserve">”</w:t>
      </w:r>
    </w:p>
    <w:p>
      <w:pPr>
        <w:pStyle w:val="BodyText"/>
      </w:pPr>
      <w:r>
        <w:rPr>
          <w:bCs/>
          <w:b/>
        </w:rPr>
        <w:t xml:space="preserve">1. Love (</w:t>
      </w:r>
      <w:r>
        <w:rPr>
          <w:iCs/>
          <w:i/>
          <w:bCs/>
          <w:b/>
        </w:rPr>
        <w:t xml:space="preserve">agapē</w:t>
      </w:r>
      <w:r>
        <w:rPr>
          <w:bCs/>
          <w:b/>
        </w:rPr>
        <w:t xml:space="preserve">)</w:t>
      </w:r>
      <w:r>
        <w:t xml:space="preserve"> </w:t>
      </w:r>
      <w:r>
        <w:t xml:space="preserve">Paul begins with</w:t>
      </w:r>
      <w:r>
        <w:t xml:space="preserve"> </w:t>
      </w:r>
      <w:r>
        <w:rPr>
          <w:iCs/>
          <w:i/>
        </w:rPr>
        <w:t xml:space="preserve">agapē</w:t>
      </w:r>
      <w:r>
        <w:t xml:space="preserve">, a term rarely used in classical Greek literature but elevated by the New Testament writers to describe the self-sacrificial nature of God. Unlike</w:t>
      </w:r>
      <w:r>
        <w:t xml:space="preserve"> </w:t>
      </w:r>
      <w:r>
        <w:rPr>
          <w:iCs/>
          <w:i/>
        </w:rPr>
        <w:t xml:space="preserve">eros</w:t>
      </w:r>
      <w:r>
        <w:t xml:space="preserve"> </w:t>
      </w:r>
      <w:r>
        <w:t xml:space="preserve">(romantic love) or</w:t>
      </w:r>
      <w:r>
        <w:t xml:space="preserve"> </w:t>
      </w:r>
      <w:r>
        <w:rPr>
          <w:iCs/>
          <w:i/>
        </w:rPr>
        <w:t xml:space="preserve">philia</w:t>
      </w:r>
      <w:r>
        <w:t xml:space="preserve"> </w:t>
      </w:r>
      <w:r>
        <w:t xml:space="preserve">(brotherly affection),</w:t>
      </w:r>
      <w:r>
        <w:t xml:space="preserve"> </w:t>
      </w:r>
      <w:r>
        <w:rPr>
          <w:iCs/>
          <w:i/>
        </w:rPr>
        <w:t xml:space="preserve">agapē</w:t>
      </w:r>
      <w:r>
        <w:t xml:space="preserve"> </w:t>
      </w:r>
      <w:r>
        <w:t xml:space="preserve">is not driven by the merit of the object but by the character of the subject. It is a love that</w:t>
      </w:r>
      <w:r>
        <w:t xml:space="preserve"> </w:t>
      </w:r>
      <w:r>
        <w:t xml:space="preserve">“</w:t>
      </w:r>
      <w:r>
        <w:t xml:space="preserve">seeks the highest good of another,</w:t>
      </w:r>
      <w:r>
        <w:t xml:space="preserve">”</w:t>
      </w:r>
      <w:r>
        <w:t xml:space="preserve"> </w:t>
      </w:r>
      <w:r>
        <w:t xml:space="preserve">a direct counter to the</w:t>
      </w:r>
      <w:r>
        <w:t xml:space="preserve"> </w:t>
      </w:r>
      <w:r>
        <w:t xml:space="preserve">“</w:t>
      </w:r>
      <w:r>
        <w:t xml:space="preserve">selfish ambition</w:t>
      </w:r>
      <w:r>
        <w:t xml:space="preserve">”</w:t>
      </w:r>
      <w:r>
        <w:t xml:space="preserve"> </w:t>
      </w:r>
      <w:r>
        <w:t xml:space="preserve">(</w:t>
      </w:r>
      <w:r>
        <w:rPr>
          <w:iCs/>
          <w:i/>
        </w:rPr>
        <w:t xml:space="preserve">eritheiai</w:t>
      </w:r>
      <w:r>
        <w:t xml:space="preserve">) listed in verse 20. As Paul states in Galatians 5:13, believers are to</w:t>
      </w:r>
      <w:r>
        <w:t xml:space="preserve"> </w:t>
      </w:r>
      <w:r>
        <w:t xml:space="preserve">“</w:t>
      </w:r>
      <w:r>
        <w:t xml:space="preserve">serve one another in love.</w:t>
      </w:r>
      <w:r>
        <w:t xml:space="preserve">”</w:t>
      </w:r>
    </w:p>
    <w:p>
      <w:pPr>
        <w:pStyle w:val="BodyText"/>
      </w:pPr>
      <w:r>
        <w:rPr>
          <w:bCs/>
          <w:b/>
        </w:rPr>
        <w:t xml:space="preserve">2. Joy (</w:t>
      </w:r>
      <w:r>
        <w:rPr>
          <w:iCs/>
          <w:i/>
          <w:bCs/>
          <w:b/>
        </w:rPr>
        <w:t xml:space="preserve">chara</w:t>
      </w:r>
      <w:r>
        <w:rPr>
          <w:bCs/>
          <w:b/>
        </w:rPr>
        <w:t xml:space="preserve">)</w:t>
      </w:r>
      <w:r>
        <w:t xml:space="preserve"> </w:t>
      </w:r>
      <w:r>
        <w:t xml:space="preserve">The term</w:t>
      </w:r>
      <w:r>
        <w:t xml:space="preserve"> </w:t>
      </w:r>
      <w:r>
        <w:rPr>
          <w:iCs/>
          <w:i/>
        </w:rPr>
        <w:t xml:space="preserve">chara</w:t>
      </w:r>
      <w:r>
        <w:t xml:space="preserve"> </w:t>
      </w:r>
      <w:r>
        <w:t xml:space="preserve">denotes a deep-seated gladness not dependent on external circumstances. In a context where the Galatians were facing internal strife (</w:t>
      </w:r>
      <w:r>
        <w:t xml:space="preserve">“</w:t>
      </w:r>
      <w:r>
        <w:t xml:space="preserve">biting and devouring one another,</w:t>
      </w:r>
      <w:r>
        <w:t xml:space="preserve">”</w:t>
      </w:r>
      <w:r>
        <w:t xml:space="preserve"> </w:t>
      </w:r>
      <w:r>
        <w:t xml:space="preserve">v. 15),</w:t>
      </w:r>
      <w:r>
        <w:t xml:space="preserve"> </w:t>
      </w:r>
      <w:r>
        <w:rPr>
          <w:iCs/>
          <w:i/>
        </w:rPr>
        <w:t xml:space="preserve">chara</w:t>
      </w:r>
      <w:r>
        <w:t xml:space="preserve"> </w:t>
      </w:r>
      <w:r>
        <w:t xml:space="preserve">offers a supernatural resilience. It is related to</w:t>
      </w:r>
      <w:r>
        <w:t xml:space="preserve"> </w:t>
      </w:r>
      <w:r>
        <w:rPr>
          <w:iCs/>
          <w:i/>
        </w:rPr>
        <w:t xml:space="preserve">charis</w:t>
      </w:r>
      <w:r>
        <w:t xml:space="preserve"> </w:t>
      </w:r>
      <w:r>
        <w:t xml:space="preserve">(grace), indicating that joy is a response to God’s grace rather than a reaction to favorable events.</w:t>
      </w:r>
    </w:p>
    <w:p>
      <w:pPr>
        <w:pStyle w:val="BodyText"/>
      </w:pPr>
      <w:r>
        <w:rPr>
          <w:bCs/>
          <w:b/>
        </w:rPr>
        <w:t xml:space="preserve">3. Peace (</w:t>
      </w:r>
      <w:r>
        <w:rPr>
          <w:iCs/>
          <w:i/>
          <w:bCs/>
          <w:b/>
        </w:rPr>
        <w:t xml:space="preserve">eirēnē</w:t>
      </w:r>
      <w:r>
        <w:rPr>
          <w:bCs/>
          <w:b/>
        </w:rPr>
        <w:t xml:space="preserve">)</w:t>
      </w:r>
      <w:r>
        <w:t xml:space="preserve"> </w:t>
      </w:r>
      <w:r>
        <w:rPr>
          <w:iCs/>
          <w:i/>
        </w:rPr>
        <w:t xml:space="preserve">Eirēnē</w:t>
      </w:r>
      <w:r>
        <w:t xml:space="preserve"> </w:t>
      </w:r>
      <w:r>
        <w:t xml:space="preserve">encompasses more than the absence of conflict; it signifies wholeness, completeness, and restoration. It mirrors the Hebrew concept of</w:t>
      </w:r>
      <w:r>
        <w:t xml:space="preserve"> </w:t>
      </w:r>
      <w:r>
        <w:rPr>
          <w:iCs/>
          <w:i/>
        </w:rPr>
        <w:t xml:space="preserve">shalom</w:t>
      </w:r>
      <w:r>
        <w:t xml:space="preserve">. In a church divided by factionalism (</w:t>
      </w:r>
      <w:r>
        <w:t xml:space="preserve">“</w:t>
      </w:r>
      <w:r>
        <w:t xml:space="preserve">dissensions</w:t>
      </w:r>
      <w:r>
        <w:t xml:space="preserve">”</w:t>
      </w:r>
      <w:r>
        <w:t xml:space="preserve"> </w:t>
      </w:r>
      <w:r>
        <w:t xml:space="preserve">and</w:t>
      </w:r>
      <w:r>
        <w:t xml:space="preserve"> </w:t>
      </w:r>
      <w:r>
        <w:t xml:space="preserve">“</w:t>
      </w:r>
      <w:r>
        <w:t xml:space="preserve">factions</w:t>
      </w:r>
      <w:r>
        <w:t xml:space="preserve">”</w:t>
      </w:r>
      <w:r>
        <w:t xml:space="preserve"> </w:t>
      </w:r>
      <w:r>
        <w:t xml:space="preserve">in v. 20), the Spirit produces a restorative peace that reconciles believers to God and to one another, fulfilling the</w:t>
      </w:r>
      <w:r>
        <w:t xml:space="preserve"> </w:t>
      </w:r>
      <w:r>
        <w:t xml:space="preserve">“</w:t>
      </w:r>
      <w:r>
        <w:t xml:space="preserve">gospel of peace</w:t>
      </w:r>
      <w:r>
        <w:t xml:space="preserve">”</w:t>
      </w:r>
      <w:r>
        <w:t xml:space="preserve"> </w:t>
      </w:r>
      <w:r>
        <w:t xml:space="preserve">(Ephesians 6:15).</w:t>
      </w:r>
    </w:p>
    <w:p>
      <w:pPr>
        <w:pStyle w:val="BodyText"/>
      </w:pPr>
      <w:r>
        <w:rPr>
          <w:bCs/>
          <w:b/>
        </w:rPr>
        <w:t xml:space="preserve">4. Patience (</w:t>
      </w:r>
      <w:r>
        <w:rPr>
          <w:iCs/>
          <w:i/>
          <w:bCs/>
          <w:b/>
        </w:rPr>
        <w:t xml:space="preserve">makrothumia</w:t>
      </w:r>
      <w:r>
        <w:rPr>
          <w:bCs/>
          <w:b/>
        </w:rPr>
        <w:t xml:space="preserve">)</w:t>
      </w:r>
      <w:r>
        <w:t xml:space="preserve"> </w:t>
      </w:r>
      <w:r>
        <w:t xml:space="preserve">This is a compound word derived from</w:t>
      </w:r>
      <w:r>
        <w:t xml:space="preserve"> </w:t>
      </w:r>
      <w:r>
        <w:rPr>
          <w:iCs/>
          <w:i/>
        </w:rPr>
        <w:t xml:space="preserve">makros</w:t>
      </w:r>
      <w:r>
        <w:t xml:space="preserve"> </w:t>
      </w:r>
      <w:r>
        <w:t xml:space="preserve">(long) and</w:t>
      </w:r>
      <w:r>
        <w:t xml:space="preserve"> </w:t>
      </w:r>
      <w:r>
        <w:rPr>
          <w:iCs/>
          <w:i/>
        </w:rPr>
        <w:t xml:space="preserve">thumos</w:t>
      </w:r>
      <w:r>
        <w:t xml:space="preserve"> </w:t>
      </w:r>
      <w:r>
        <w:t xml:space="preserve">(temper or anger). Literally, it means</w:t>
      </w:r>
      <w:r>
        <w:t xml:space="preserve"> </w:t>
      </w:r>
      <w:r>
        <w:t xml:space="preserve">“</w:t>
      </w:r>
      <w:r>
        <w:t xml:space="preserve">long-tempered</w:t>
      </w:r>
      <w:r>
        <w:t xml:space="preserve">”</w:t>
      </w:r>
      <w:r>
        <w:t xml:space="preserve">—the ability to endure provocation without retaliating. This virtue stands in direct opposition to</w:t>
      </w:r>
      <w:r>
        <w:t xml:space="preserve"> </w:t>
      </w:r>
      <w:r>
        <w:t xml:space="preserve">“</w:t>
      </w:r>
      <w:r>
        <w:t xml:space="preserve">outbursts of anger</w:t>
      </w:r>
      <w:r>
        <w:t xml:space="preserve">”</w:t>
      </w:r>
      <w:r>
        <w:t xml:space="preserve"> </w:t>
      </w:r>
      <w:r>
        <w:t xml:space="preserve">(</w:t>
      </w:r>
      <w:r>
        <w:rPr>
          <w:iCs/>
          <w:i/>
        </w:rPr>
        <w:t xml:space="preserve">thumoi</w:t>
      </w:r>
      <w:r>
        <w:t xml:space="preserve">) mentioned in verse 20. It is the patience God shows toward sinners (Romans 2:4), now reflected in the believer.</w:t>
      </w:r>
    </w:p>
    <w:p>
      <w:pPr>
        <w:pStyle w:val="BodyText"/>
      </w:pPr>
      <w:r>
        <w:rPr>
          <w:bCs/>
          <w:b/>
        </w:rPr>
        <w:t xml:space="preserve">5. Kindness (</w:t>
      </w:r>
      <w:r>
        <w:rPr>
          <w:iCs/>
          <w:i/>
          <w:bCs/>
          <w:b/>
        </w:rPr>
        <w:t xml:space="preserve">chrēstotēs</w:t>
      </w:r>
      <w:r>
        <w:rPr>
          <w:bCs/>
          <w:b/>
        </w:rPr>
        <w:t xml:space="preserve">)</w:t>
      </w:r>
      <w:r>
        <w:t xml:space="preserve"> </w:t>
      </w:r>
      <w:r>
        <w:rPr>
          <w:iCs/>
          <w:i/>
        </w:rPr>
        <w:t xml:space="preserve">Chrēstotēs</w:t>
      </w:r>
      <w:r>
        <w:t xml:space="preserve"> </w:t>
      </w:r>
      <w:r>
        <w:t xml:space="preserve">refers to a tender, benevolent disposition that is useful to others. It is not merely a feeling but an active posture of helpfulness. In the Septuagint (the Greek Old Testament), this word is often used to describe God’s kindness, as in Psalm 34:8,</w:t>
      </w:r>
      <w:r>
        <w:t xml:space="preserve"> </w:t>
      </w:r>
      <w:r>
        <w:t xml:space="preserve">“</w:t>
      </w:r>
      <w:r>
        <w:t xml:space="preserve">Taste and see that the Lord is good.</w:t>
      </w:r>
      <w:r>
        <w:t xml:space="preserve">”</w:t>
      </w:r>
    </w:p>
    <w:p>
      <w:pPr>
        <w:pStyle w:val="BodyText"/>
      </w:pPr>
      <w:r>
        <w:rPr>
          <w:bCs/>
          <w:b/>
        </w:rPr>
        <w:t xml:space="preserve">6. Goodness (</w:t>
      </w:r>
      <w:r>
        <w:rPr>
          <w:iCs/>
          <w:i/>
          <w:bCs/>
          <w:b/>
        </w:rPr>
        <w:t xml:space="preserve">agathōsunē</w:t>
      </w:r>
      <w:r>
        <w:rPr>
          <w:bCs/>
          <w:b/>
        </w:rPr>
        <w:t xml:space="preserve">)</w:t>
      </w:r>
      <w:r>
        <w:t xml:space="preserve"> </w:t>
      </w:r>
      <w:r>
        <w:t xml:space="preserve">While similar to kindness,</w:t>
      </w:r>
      <w:r>
        <w:t xml:space="preserve"> </w:t>
      </w:r>
      <w:r>
        <w:rPr>
          <w:iCs/>
          <w:i/>
        </w:rPr>
        <w:t xml:space="preserve">agathōsunē</w:t>
      </w:r>
      <w:r>
        <w:t xml:space="preserve"> </w:t>
      </w:r>
      <w:r>
        <w:t xml:space="preserve">is a broader term implying moral excellence and uprightness. It is the quality of being</w:t>
      </w:r>
      <w:r>
        <w:t xml:space="preserve"> </w:t>
      </w:r>
      <w:r>
        <w:t xml:space="preserve">“</w:t>
      </w:r>
      <w:r>
        <w:t xml:space="preserve">good</w:t>
      </w:r>
      <w:r>
        <w:t xml:space="preserve">”</w:t>
      </w:r>
      <w:r>
        <w:t xml:space="preserve"> </w:t>
      </w:r>
      <w:r>
        <w:t xml:space="preserve">in character and conduct. It contrasts sharply with the</w:t>
      </w:r>
      <w:r>
        <w:t xml:space="preserve"> </w:t>
      </w:r>
      <w:r>
        <w:t xml:space="preserve">“</w:t>
      </w:r>
      <w:r>
        <w:t xml:space="preserve">impurity</w:t>
      </w:r>
      <w:r>
        <w:t xml:space="preserve">”</w:t>
      </w:r>
      <w:r>
        <w:t xml:space="preserve"> </w:t>
      </w:r>
      <w:r>
        <w:t xml:space="preserve">(</w:t>
      </w:r>
      <w:r>
        <w:rPr>
          <w:iCs/>
          <w:i/>
        </w:rPr>
        <w:t xml:space="preserve">akatharsia</w:t>
      </w:r>
      <w:r>
        <w:t xml:space="preserve">) of the flesh, representing a life that reflects the holy nature of God.</w:t>
      </w:r>
    </w:p>
    <w:p>
      <w:pPr>
        <w:pStyle w:val="BodyText"/>
      </w:pPr>
      <w:r>
        <w:rPr>
          <w:bCs/>
          <w:b/>
        </w:rPr>
        <w:t xml:space="preserve">7. Faithfulness (</w:t>
      </w:r>
      <w:r>
        <w:rPr>
          <w:iCs/>
          <w:i/>
          <w:bCs/>
          <w:b/>
        </w:rPr>
        <w:t xml:space="preserve">pistis</w:t>
      </w:r>
      <w:r>
        <w:rPr>
          <w:bCs/>
          <w:b/>
        </w:rPr>
        <w:t xml:space="preserve">)</w:t>
      </w:r>
      <w:r>
        <w:t xml:space="preserve"> </w:t>
      </w:r>
      <w:r>
        <w:t xml:space="preserve">The word</w:t>
      </w:r>
      <w:r>
        <w:t xml:space="preserve"> </w:t>
      </w:r>
      <w:r>
        <w:rPr>
          <w:iCs/>
          <w:i/>
        </w:rPr>
        <w:t xml:space="preserve">pistis</w:t>
      </w:r>
      <w:r>
        <w:t xml:space="preserve"> </w:t>
      </w:r>
      <w:r>
        <w:t xml:space="preserve">is most commonly translated as</w:t>
      </w:r>
      <w:r>
        <w:t xml:space="preserve"> </w:t>
      </w:r>
      <w:r>
        <w:t xml:space="preserve">“</w:t>
      </w:r>
      <w:r>
        <w:t xml:space="preserve">faith,</w:t>
      </w:r>
      <w:r>
        <w:t xml:space="preserve">”</w:t>
      </w:r>
      <w:r>
        <w:t xml:space="preserve"> </w:t>
      </w:r>
      <w:r>
        <w:t xml:space="preserve">but in this ethical list, it carries the nuance of</w:t>
      </w:r>
      <w:r>
        <w:t xml:space="preserve"> </w:t>
      </w:r>
      <w:r>
        <w:t xml:space="preserve">“</w:t>
      </w:r>
      <w:r>
        <w:t xml:space="preserve">faithfulness</w:t>
      </w:r>
      <w:r>
        <w:t xml:space="preserve">”</w:t>
      </w:r>
      <w:r>
        <w:t xml:space="preserve"> </w:t>
      </w:r>
      <w:r>
        <w:t xml:space="preserve">or</w:t>
      </w:r>
      <w:r>
        <w:t xml:space="preserve"> </w:t>
      </w:r>
      <w:r>
        <w:t xml:space="preserve">“</w:t>
      </w:r>
      <w:r>
        <w:t xml:space="preserve">trustworthiness.</w:t>
      </w:r>
      <w:r>
        <w:t xml:space="preserve">”</w:t>
      </w:r>
      <w:r>
        <w:t xml:space="preserve"> </w:t>
      </w:r>
      <w:r>
        <w:t xml:space="preserve">It speaks to reliability and integrity. In a culture where</w:t>
      </w:r>
      <w:r>
        <w:t xml:space="preserve"> </w:t>
      </w:r>
      <w:r>
        <w:t xml:space="preserve">“</w:t>
      </w:r>
      <w:r>
        <w:t xml:space="preserve">sorcery</w:t>
      </w:r>
      <w:r>
        <w:t xml:space="preserve">”</w:t>
      </w:r>
      <w:r>
        <w:t xml:space="preserve"> </w:t>
      </w:r>
      <w:r>
        <w:t xml:space="preserve">and</w:t>
      </w:r>
      <w:r>
        <w:t xml:space="preserve"> </w:t>
      </w:r>
      <w:r>
        <w:t xml:space="preserve">“</w:t>
      </w:r>
      <w:r>
        <w:t xml:space="preserve">idolatry</w:t>
      </w:r>
      <w:r>
        <w:t xml:space="preserve">”</w:t>
      </w:r>
      <w:r>
        <w:t xml:space="preserve"> </w:t>
      </w:r>
      <w:r>
        <w:t xml:space="preserve">involved seeking power through unreliable means, the Spirit produces a character that keeps its word and remains loyal to Christ.</w:t>
      </w:r>
    </w:p>
    <w:p>
      <w:pPr>
        <w:pStyle w:val="BodyText"/>
      </w:pPr>
      <w:r>
        <w:rPr>
          <w:bCs/>
          <w:b/>
        </w:rPr>
        <w:t xml:space="preserve">8. Gentleness (</w:t>
      </w:r>
      <w:r>
        <w:rPr>
          <w:iCs/>
          <w:i/>
          <w:bCs/>
          <w:b/>
        </w:rPr>
        <w:t xml:space="preserve">prautes</w:t>
      </w:r>
      <w:r>
        <w:rPr>
          <w:bCs/>
          <w:b/>
        </w:rPr>
        <w:t xml:space="preserve">)</w:t>
      </w:r>
      <w:r>
        <w:t xml:space="preserve"> </w:t>
      </w:r>
      <w:r>
        <w:rPr>
          <w:iCs/>
          <w:i/>
        </w:rPr>
        <w:t xml:space="preserve">Prautes</w:t>
      </w:r>
      <w:r>
        <w:t xml:space="preserve"> </w:t>
      </w:r>
      <w:r>
        <w:t xml:space="preserve">is perhaps the most misunderstood of the virtues. It does not imply weakness or passivity. Rather, it describes</w:t>
      </w:r>
      <w:r>
        <w:t xml:space="preserve"> </w:t>
      </w:r>
      <w:r>
        <w:t xml:space="preserve">“</w:t>
      </w:r>
      <w:r>
        <w:t xml:space="preserve">power under control</w:t>
      </w:r>
      <w:r>
        <w:t xml:space="preserve">”</w:t>
      </w:r>
      <w:r>
        <w:t xml:space="preserve">—like a wild horse that has been tamed. It is the disposition that refuses to assert oneself for selfish advantage, contrasting with the</w:t>
      </w:r>
      <w:r>
        <w:t xml:space="preserve"> </w:t>
      </w:r>
      <w:r>
        <w:t xml:space="preserve">“</w:t>
      </w:r>
      <w:r>
        <w:t xml:space="preserve">selfish ambition</w:t>
      </w:r>
      <w:r>
        <w:t xml:space="preserve">”</w:t>
      </w:r>
      <w:r>
        <w:t xml:space="preserve"> </w:t>
      </w:r>
      <w:r>
        <w:t xml:space="preserve">of the flesh. Jesus uses this word to describe Himself in Matthew 11:29,</w:t>
      </w:r>
      <w:r>
        <w:t xml:space="preserve"> </w:t>
      </w:r>
      <w:r>
        <w:t xml:space="preserve">“</w:t>
      </w:r>
      <w:r>
        <w:t xml:space="preserve">I am gentle (</w:t>
      </w:r>
      <w:r>
        <w:rPr>
          <w:iCs/>
          <w:i/>
        </w:rPr>
        <w:t xml:space="preserve">praus</w:t>
      </w:r>
      <w:r>
        <w:t xml:space="preserve">) and humble in heart.</w:t>
      </w:r>
      <w:r>
        <w:t xml:space="preserve">”</w:t>
      </w:r>
    </w:p>
    <w:p>
      <w:pPr>
        <w:pStyle w:val="BodyText"/>
      </w:pPr>
      <w:r>
        <w:rPr>
          <w:bCs/>
          <w:b/>
        </w:rPr>
        <w:t xml:space="preserve">9. Self-Control (</w:t>
      </w:r>
      <w:r>
        <w:rPr>
          <w:iCs/>
          <w:i/>
          <w:bCs/>
          <w:b/>
        </w:rPr>
        <w:t xml:space="preserve">egkrateia</w:t>
      </w:r>
      <w:r>
        <w:rPr>
          <w:bCs/>
          <w:b/>
        </w:rPr>
        <w:t xml:space="preserve">)</w:t>
      </w:r>
      <w:r>
        <w:t xml:space="preserve"> </w:t>
      </w:r>
      <w:r>
        <w:t xml:space="preserve">The final virtue in the list is</w:t>
      </w:r>
      <w:r>
        <w:t xml:space="preserve"> </w:t>
      </w:r>
      <w:r>
        <w:rPr>
          <w:iCs/>
          <w:i/>
        </w:rPr>
        <w:t xml:space="preserve">egkrateia</w:t>
      </w:r>
      <w:r>
        <w:t xml:space="preserve">, meaning</w:t>
      </w:r>
      <w:r>
        <w:t xml:space="preserve"> </w:t>
      </w:r>
      <w:r>
        <w:t xml:space="preserve">“</w:t>
      </w:r>
      <w:r>
        <w:t xml:space="preserve">mastery over oneself.</w:t>
      </w:r>
      <w:r>
        <w:t xml:space="preserve">”</w:t>
      </w:r>
      <w:r>
        <w:t xml:space="preserve"> </w:t>
      </w:r>
      <w:r>
        <w:t xml:space="preserve">This term was highly valued in Greek philosophy, particularly by the Stoics, who viewed it as the ability to resist passions. However, Paul roots this virtue not in human willpower, but in the Spirit’s power. It is the ultimate antidote to the</w:t>
      </w:r>
      <w:r>
        <w:t xml:space="preserve"> </w:t>
      </w:r>
      <w:r>
        <w:t xml:space="preserve">“</w:t>
      </w:r>
      <w:r>
        <w:t xml:space="preserve">drunkenness and carousing</w:t>
      </w:r>
      <w:r>
        <w:t xml:space="preserve">”</w:t>
      </w:r>
      <w:r>
        <w:t xml:space="preserve"> </w:t>
      </w:r>
      <w:r>
        <w:t xml:space="preserve">of verse 21, enabling the believer to say</w:t>
      </w:r>
      <w:r>
        <w:t xml:space="preserve"> </w:t>
      </w:r>
      <w:r>
        <w:t xml:space="preserve">“</w:t>
      </w:r>
      <w:r>
        <w:t xml:space="preserve">no</w:t>
      </w:r>
      <w:r>
        <w:t xml:space="preserve">”</w:t>
      </w:r>
      <w:r>
        <w:t xml:space="preserve"> </w:t>
      </w:r>
      <w:r>
        <w:t xml:space="preserve">to the desires of the flesh.</w:t>
      </w:r>
    </w:p>
    <w:bookmarkEnd w:id="21"/>
    <w:bookmarkStart w:id="22" w:name="the-law-and-the-spirit"/>
    <w:p>
      <w:pPr>
        <w:pStyle w:val="Heading3"/>
      </w:pPr>
      <w:r>
        <w:t xml:space="preserve">The Law and the Spirit</w:t>
      </w:r>
    </w:p>
    <w:p>
      <w:pPr>
        <w:pStyle w:val="FirstParagraph"/>
      </w:pPr>
      <w:r>
        <w:t xml:space="preserve">Paul concludes this section with a profound theological statement:</w:t>
      </w:r>
      <w:r>
        <w:t xml:space="preserve"> </w:t>
      </w:r>
      <w:r>
        <w:t xml:space="preserve">“</w:t>
      </w:r>
      <w:r>
        <w:t xml:space="preserve">Against such things there is no law</w:t>
      </w:r>
      <w:r>
        <w:t xml:space="preserve">”</w:t>
      </w:r>
      <w:r>
        <w:t xml:space="preserve"> </w:t>
      </w:r>
      <w:r>
        <w:t xml:space="preserve">(</w:t>
      </w:r>
      <w:r>
        <w:rPr>
          <w:iCs/>
          <w:i/>
        </w:rPr>
        <w:t xml:space="preserve">nomos</w:t>
      </w:r>
      <w:r>
        <w:t xml:space="preserve">). This phrase serves as a rhetorical triumph. The Law (the Torah) was given to restrain sin and reveal transgression. However, the Law cannot legislate or restrict the virtues produced by the Spirit. When a believer exhibits</w:t>
      </w:r>
      <w:r>
        <w:t xml:space="preserve"> </w:t>
      </w:r>
      <w:r>
        <w:rPr>
          <w:iCs/>
          <w:i/>
        </w:rPr>
        <w:t xml:space="preserve">agapē</w:t>
      </w:r>
      <w:r>
        <w:t xml:space="preserve"> </w:t>
      </w:r>
      <w:r>
        <w:t xml:space="preserve">or</w:t>
      </w:r>
      <w:r>
        <w:t xml:space="preserve"> </w:t>
      </w:r>
      <w:r>
        <w:rPr>
          <w:iCs/>
          <w:i/>
        </w:rPr>
        <w:t xml:space="preserve">egkrateia</w:t>
      </w:r>
      <w:r>
        <w:t xml:space="preserve">, they are not breaking the Law; rather, they are fulfilling the</w:t>
      </w:r>
      <w:r>
        <w:t xml:space="preserve"> </w:t>
      </w:r>
      <w:r>
        <w:t xml:space="preserve">“</w:t>
      </w:r>
      <w:r>
        <w:t xml:space="preserve">righteous requirement of the law</w:t>
      </w:r>
      <w:r>
        <w:t xml:space="preserve">”</w:t>
      </w:r>
      <w:r>
        <w:t xml:space="preserve"> </w:t>
      </w:r>
      <w:r>
        <w:t xml:space="preserve">(Romans 8:4) from the inside out.</w:t>
      </w:r>
    </w:p>
    <w:p>
      <w:pPr>
        <w:pStyle w:val="BodyText"/>
      </w:pPr>
      <w:r>
        <w:t xml:space="preserve">The</w:t>
      </w:r>
      <w:r>
        <w:t xml:space="preserve"> </w:t>
      </w:r>
      <w:r>
        <w:t xml:space="preserve">“</w:t>
      </w:r>
      <w:r>
        <w:t xml:space="preserve">works of the flesh</w:t>
      </w:r>
      <w:r>
        <w:t xml:space="preserve">”</w:t>
      </w:r>
      <w:r>
        <w:t xml:space="preserve"> </w:t>
      </w:r>
      <w:r>
        <w:t xml:space="preserve">are chaotic and lawless, requiring external restraint. The</w:t>
      </w:r>
      <w:r>
        <w:t xml:space="preserve"> </w:t>
      </w:r>
      <w:r>
        <w:t xml:space="preserve">“</w:t>
      </w:r>
      <w:r>
        <w:t xml:space="preserve">fruit of the Spirit</w:t>
      </w:r>
      <w:r>
        <w:t xml:space="preserve">”</w:t>
      </w:r>
      <w:r>
        <w:t xml:space="preserve"> </w:t>
      </w:r>
      <w:r>
        <w:t xml:space="preserve">is orderly and holy, requiring no external legislation because the internal governor—the Holy Spirit—has aligned the believer’s desires with God’s will. Thus, the Spirit-led life is the true expression of liberty, not a return to bondage.</w:t>
      </w:r>
    </w:p>
    <w:p>
      <w:r>
        <w:pict>
          <v:rect style="width:0;height:1.5pt" o:hralign="center" o:hrstd="t" o:hr="t"/>
        </w:pic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2026-03-07T17:03:48Z</dcterms:created>
  <dcterms:modified xsi:type="dcterms:W3CDTF">2026-03-07T17:03:48Z</dcterms:modified>
</cp:coreProperties>
</file>

<file path=docProps/custom.xml><?xml version="1.0" encoding="utf-8"?>
<Properties xmlns="http://schemas.openxmlformats.org/officeDocument/2006/custom-properties" xmlns:vt="http://schemas.openxmlformats.org/officeDocument/2006/docPropsVTypes"/>
</file>