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Interpret Galatians 5:22-23, providing detailed analysis of the Greek terms for each fruit of the Spirit: agape (love), chara (joy), eirene (peace), makrothumia (patience), chrestotes (kindness), agathosune (goodness), pistis (faithfulness), prautes (gentleness), and enkrateia (self-control). Include examination of the immediate context in Galatians 5:16-26 regarding the contrast between works of the flesh and fruit of the Spirit, the theological significance of the singular noun</w:t>
      </w:r>
      <w:r>
        <w:t xml:space="preserve"> </w:t>
      </w:r>
      <w:r>
        <w:t xml:space="preserve">“</w:t>
      </w:r>
      <w:r>
        <w:t xml:space="preserve">fruit</w:t>
      </w:r>
      <w:r>
        <w:t xml:space="preserve">”</w:t>
      </w:r>
      <w:r>
        <w:t xml:space="preserve"> </w:t>
      </w:r>
      <w:r>
        <w:t xml:space="preserve">versus the plural list, and the broader epistolary context of Galatians chapters 1-6 concerning Paul’s argument against legalism, the relationship between freedom in Christ and Spirit-filled living, and how the fruit functions as evidence of gospel transformation.</w:t>
      </w:r>
    </w:p>
    <w:p>
      <w:r>
        <w:pict>
          <v:rect style="width:0;height:1.5pt" o:hralign="center" o:hrstd="t" o:hr="t"/>
        </w:pict>
      </w:r>
    </w:p>
    <w:p>
      <w:pPr>
        <w:pStyle w:val="FirstParagraph"/>
      </w:pPr>
      <w:r>
        <w:t xml:space="preserve">The ninefold graces enumerated in this climimactic passage constitute the apologetic evidence of authentic gospel transformation, standing in stark antithesis to the ἔργα τῆς σαρκός catalogued in the preceding verses. The grammatical architecture itself proclaims theological truth: Paul employs the singular καρπὸς (karpos) to govern the subsequent plural virtues, indicating not nine disparate fruits but one unified organic produce of the Spirit’s indwelling presence. Where the flesh manufactures disparate, self-generated ἔργα (works, vv. 19-21), the Spirit cultivates a singular, integrated harvest. This agricultural metaphor suggests that these qualities emerge organically from the believer’s union with Christ (cf. 2:20, ζῶ δὲ οὐκέτι ἐγώ, ζῇ δὲ ἐν ἐμοὶ Χριστός), rather than through the Galatians’ misguided attempts at nomistic self-effort.</w:t>
      </w:r>
    </w:p>
    <w:p>
      <w:pPr>
        <w:pStyle w:val="BodyText"/>
      </w:pPr>
      <w:r>
        <w:rPr>
          <w:bCs/>
          <w:b/>
        </w:rPr>
        <w:t xml:space="preserve">The Singular Fruit and the Spirit’s Agency</w:t>
      </w:r>
    </w:p>
    <w:p>
      <w:pPr>
        <w:pStyle w:val="BodyText"/>
      </w:pPr>
      <w:r>
        <w:t xml:space="preserve">The theological weight of καρπὸς τοῦ πνεύματός rests upon its grammatical singularity. Unlike the fifteen plural ἔργα τῆς σαρκός (v. 19)—which Paul enumerates as disparate, chaotic impulses arising from fallen human nature—the Spirit produces one coherent harvest. This reflects Paul’s argument throughout the epistle that justification and sanctification operate by πνεῦμα (3:3, ἐναρξάμενοι πνεύματι), not σάρξ. The singular noun indicates that these nine virtues constitute an indivisible whole; one cannot selectively cultivate certain fruits while neglecting others, for they are the natural effusion of the Spirit’s character implanted in the believer. This stands in deliberate contrast to the Judaizers’ externalized religion of ritual observance, which Paul has dismantled in chapters 3-4.</w:t>
      </w:r>
    </w:p>
    <w:p>
      <w:pPr>
        <w:pStyle w:val="BodyText"/>
      </w:pPr>
      <w:r>
        <w:rPr>
          <w:bCs/>
          <w:b/>
        </w:rPr>
        <w:t xml:space="preserve">Lexical Analysis of the Nine Graces</w:t>
      </w:r>
    </w:p>
    <w:p>
      <w:pPr>
        <w:pStyle w:val="BodyText"/>
      </w:pPr>
      <w:r>
        <w:rPr>
          <w:bCs/>
          <w:b/>
        </w:rPr>
        <w:t xml:space="preserve">Ἀγάπη (agape):</w:t>
      </w:r>
      <w:r>
        <w:t xml:space="preserve"> </w:t>
      </w:r>
      <w:r>
        <w:t xml:space="preserve">Standing first in the catalog, ἀγάπη denotes not sentimental affection but the divine, self-sacrificial love that fulfills the entire law (v. 14, ὁ γὰρ πᾶς νόμος ἐν ἑνὶ λόγῳ πεπλήρωται). Distinct from ἔρως (sexual passion) or φιλία (friendship), this term describes the covenantal love of God in Christ (2:20, τοῦ υἱοῦ τοῦ θεοῦ τοῦ ἀγαπήσαντός με), now reproduced in the believer by the Spirit. It is the fountain from which the subsequent virtues flow, the ethical correlate of justification by faith.</w:t>
      </w:r>
    </w:p>
    <w:p>
      <w:pPr>
        <w:pStyle w:val="BodyText"/>
      </w:pPr>
      <w:r>
        <w:rPr>
          <w:bCs/>
          <w:b/>
        </w:rPr>
        <w:t xml:space="preserve">Χαρά (chara):</w:t>
      </w:r>
      <w:r>
        <w:t xml:space="preserve"> </w:t>
      </w:r>
      <w:r>
        <w:t xml:space="preserve">This denotes not circumstantial happiness but eschatological joy—the deep-seated delight in God’s salvation that persists despite external conditions. The cognate χαίρω appears in 4:27 (οὐρανῷ εἰς τὴν ἔρημον), quoting Isaiah’s prophecy of the barren woman rejoicing. For Paul, this joy characterizes those who have been liberated from the stoicheia (4:3) into sonship (4:6), transcending the anxiety-producing performance mentality of legalism.</w:t>
      </w:r>
    </w:p>
    <w:p>
      <w:pPr>
        <w:pStyle w:val="BodyText"/>
      </w:pPr>
      <w:r>
        <w:rPr>
          <w:bCs/>
          <w:b/>
        </w:rPr>
        <w:t xml:space="preserve">Εἰρήνη (eirene):</w:t>
      </w:r>
      <w:r>
        <w:t xml:space="preserve"> </w:t>
      </w:r>
      <w:r>
        <w:t xml:space="preserve">Drawing upon the Hebrew שָׁלוֹם (shalom), this signifies not merely the absence of conflict but wholeness, reconciliation, and cosmic order established through Christ’s cross (cf. Eph. 2:14-17). In the immediate context of Galatians 5, εἰρήνη stands opposed to the factional strife (v. 20, ἔρις, διχοστασίαι) produced by the flesh. It represents the vertical peace with God (justification) that necessarily produces horizontal peace with others.</w:t>
      </w:r>
    </w:p>
    <w:p>
      <w:pPr>
        <w:pStyle w:val="BodyText"/>
      </w:pPr>
      <w:r>
        <w:rPr>
          <w:bCs/>
          <w:b/>
        </w:rPr>
        <w:t xml:space="preserve">Μακροθυμία (makrothumia):</w:t>
      </w:r>
      <w:r>
        <w:t xml:space="preserve"> </w:t>
      </w:r>
      <w:r>
        <w:t xml:space="preserve">The compound of μακρός (long) and θυμός (temper/anger) literally means</w:t>
      </w:r>
      <w:r>
        <w:t xml:space="preserve"> </w:t>
      </w:r>
      <w:r>
        <w:t xml:space="preserve">“</w:t>
      </w:r>
      <w:r>
        <w:t xml:space="preserve">long-temperedness</w:t>
      </w:r>
      <w:r>
        <w:t xml:space="preserve">”</w:t>
      </w:r>
      <w:r>
        <w:t xml:space="preserve">—the capacity to endure provocation without retaliation. This virtue proves particularly relevant to the Galatian situation, where Paul urges forbearance toward those caught in sin (6:1, οἱ πνευματικοὶ καταρτίζετε τὸν τοιοῦτον ἐν πνεύματι πραΰτητος). It reflects God’s own patience toward sinners (Rom. 2:4) and stands opposed to the flesh’s immediate gratification and quick anger (v. 20, θυμοί).</w:t>
      </w:r>
    </w:p>
    <w:p>
      <w:pPr>
        <w:pStyle w:val="BodyText"/>
      </w:pPr>
      <w:r>
        <w:rPr>
          <w:bCs/>
          <w:b/>
        </w:rPr>
        <w:t xml:space="preserve">Χρηστότης (chrestotes):</w:t>
      </w:r>
      <w:r>
        <w:t xml:space="preserve"> </w:t>
      </w:r>
      <w:r>
        <w:t xml:space="preserve">Often translated</w:t>
      </w:r>
      <w:r>
        <w:t xml:space="preserve"> </w:t>
      </w:r>
      <w:r>
        <w:t xml:space="preserve">“</w:t>
      </w:r>
      <w:r>
        <w:t xml:space="preserve">kindness,</w:t>
      </w:r>
      <w:r>
        <w:t xml:space="preserve">”</w:t>
      </w:r>
      <w:r>
        <w:t xml:space="preserve"> </w:t>
      </w:r>
      <w:r>
        <w:t xml:space="preserve">this term carries connotations of moral excellence and integrity in one’s dealings. Significantly, Jesus declares His yoke χρηστός (Matt. 11:30), contrasting with the burdensome yoke of Pharisaic legalism (cf. Gal. 6:2, ὁ νόμος τοῦ Χριστοῦ). This virtue manifests in benevolent action toward others, particularly those who cannot reciprocate, embodying the gentleness of the Messiah.</w:t>
      </w:r>
    </w:p>
    <w:p>
      <w:pPr>
        <w:pStyle w:val="BodyText"/>
      </w:pPr>
      <w:r>
        <w:rPr>
          <w:bCs/>
          <w:b/>
        </w:rPr>
        <w:t xml:space="preserve">Ἀγαθωσύνη (agathosune):</w:t>
      </w:r>
      <w:r>
        <w:t xml:space="preserve"> </w:t>
      </w:r>
      <w:r>
        <w:t xml:space="preserve">Distinguished from χρηστότης, ἀγαθωσύνη emphasizes active goodness and benevolence—the practical doing of good to others. It appears in 6:10 (ἐργαζώμεθα τὸ ἀγαθὸν πρὸς πάντας), where Paul commands doing good to all, especially believers. This fruit combats the self-centeredness of the flesh and the exclusivism of the Judaizers.</w:t>
      </w:r>
    </w:p>
    <w:p>
      <w:pPr>
        <w:pStyle w:val="BodyText"/>
      </w:pPr>
      <w:r>
        <w:rPr>
          <w:bCs/>
          <w:b/>
        </w:rPr>
        <w:t xml:space="preserve">Πίστις (pistis):</w:t>
      </w:r>
      <w:r>
        <w:t xml:space="preserve"> </w:t>
      </w:r>
      <w:r>
        <w:t xml:space="preserve">While often translated</w:t>
      </w:r>
      <w:r>
        <w:t xml:space="preserve"> </w:t>
      </w:r>
      <w:r>
        <w:t xml:space="preserve">“</w:t>
      </w:r>
      <w:r>
        <w:t xml:space="preserve">faith,</w:t>
      </w:r>
      <w:r>
        <w:t xml:space="preserve">”</w:t>
      </w:r>
      <w:r>
        <w:t xml:space="preserve"> </w:t>
      </w:r>
      <w:r>
        <w:t xml:space="preserve">here πίστις denotes faithfulness, fidelity, and reliability—the character of one who keeps commitments. This virtue answers to the Spirit’s producing in the believer the covenant faithfulness of God Himself, contrasting with the fickle, unstable nature of the flesh (cf. 1:6, οὕτως ταχέως μετατίθεσθε). It manifests as dependability in relationships and integrity in word.</w:t>
      </w:r>
    </w:p>
    <w:p>
      <w:pPr>
        <w:pStyle w:val="BodyText"/>
      </w:pPr>
      <w:r>
        <w:rPr>
          <w:bCs/>
          <w:b/>
        </w:rPr>
        <w:t xml:space="preserve">Πραΰτης (prautes):</w:t>
      </w:r>
      <w:r>
        <w:t xml:space="preserve"> </w:t>
      </w:r>
      <w:r>
        <w:t xml:space="preserve">Frequently mistranslated as weakness, πραΰτης describes meekness as strength under control—the gentle power that refuses self-assertion. Moses exemplified this virtue (Num. 12:3), and Jesus pronounced blessing upon the πραεῖς (Matt. 5:5). In Galatians 6:1, this becomes the essential disposition for restoring fallen brothers, requiring spiritual maturity to avoid the arrogance of the</w:t>
      </w:r>
      <w:r>
        <w:t xml:space="preserve"> </w:t>
      </w:r>
      <w:r>
        <w:t xml:space="preserve">“</w:t>
      </w:r>
      <w:r>
        <w:t xml:space="preserve">super-spiritual</w:t>
      </w:r>
      <w:r>
        <w:t xml:space="preserve">”</w:t>
      </w:r>
      <w:r>
        <w:t xml:space="preserve"> </w:t>
      </w:r>
      <w:r>
        <w:t xml:space="preserve">(v. 26, κενόδοξοι).</w:t>
      </w:r>
    </w:p>
    <w:p>
      <w:pPr>
        <w:pStyle w:val="BodyText"/>
      </w:pPr>
      <w:r>
        <w:rPr>
          <w:bCs/>
          <w:b/>
        </w:rPr>
        <w:t xml:space="preserve">Ἐγκράτεια (enkrateia):</w:t>
      </w:r>
      <w:r>
        <w:t xml:space="preserve"> </w:t>
      </w:r>
      <w:r>
        <w:t xml:space="preserve">The final fruit, ἐγκράτεια (from ἐν + κράτος, power), denotes self-mastery or self-control—particularly regarding desires and passions. This virtue directly confronts the ἀσέλγεια (licentiousness) and ἐπιθυμίαι (desires) of the flesh (v. 16, 24). Significantly, Paul lists this last to emphasize that Spirit-produced liberty (ἐλευθερία, 5:1, 13) never degenerates into antinomian license; rather, true freedom manifests as the ability to say</w:t>
      </w:r>
      <w:r>
        <w:t xml:space="preserve"> </w:t>
      </w:r>
      <w:r>
        <w:t xml:space="preserve">“</w:t>
      </w:r>
      <w:r>
        <w:t xml:space="preserve">no</w:t>
      </w:r>
      <w:r>
        <w:t xml:space="preserve">”</w:t>
      </w:r>
      <w:r>
        <w:t xml:space="preserve"> </w:t>
      </w:r>
      <w:r>
        <w:t xml:space="preserve">to the flesh’s demands.</w:t>
      </w:r>
    </w:p>
    <w:p>
      <w:pPr>
        <w:pStyle w:val="BodyText"/>
      </w:pPr>
      <w:r>
        <w:rPr>
          <w:bCs/>
          <w:b/>
        </w:rPr>
        <w:t xml:space="preserve">Immediate Context: The Flesh/Spirit Antithesis (5:16-26)</w:t>
      </w:r>
    </w:p>
    <w:p>
      <w:pPr>
        <w:pStyle w:val="BodyText"/>
      </w:pPr>
      <w:r>
        <w:t xml:space="preserve">The passage emerges from Paul’s imperative in verse 16: περιπατεῖτε πνεύματι (walk by the Spirit). This present imperative commands continuous, habitual conduct directed by the Spirit’s leading. The subsequent verses establish the conflict between σάρξ and πνεῦμα: τὸ γὰρ θέλει τὸ πνεῦμα ὑπὲρ τῆς σαρκός, ταῦτα δὲ ἀλλήλοις ἀντίκειται (v. 17). The flesh desires contrary to the Spirit, creating an internal war that only the Spirit’s indwelling can resolve.</w:t>
      </w:r>
    </w:p>
    <w:p>
      <w:pPr>
        <w:pStyle w:val="BodyText"/>
      </w:pPr>
      <w:r>
        <w:t xml:space="preserve">Verse 18 clarifies that those led by the Spirit (ἄγεσθε) are not under law (οὐκ ἐστὲ ὑπὸ νόμον)—not because the law is evil, but because the Spirit produces what the law demands (5:14, 23b). The catalog of ἔργα τῆς σαρκός (vv. 19-21) includes sexual immorality, idolatry, and communal sins (ἔρις, ζῆλος, διχοστασίαι), warning that those practicing such things shall not inherit God’s kingdom.</w:t>
      </w:r>
    </w:p>
    <w:p>
      <w:pPr>
        <w:pStyle w:val="BodyText"/>
      </w:pPr>
      <w:r>
        <w:t xml:space="preserve">The transition to καρπὸς τοῦ πνεύματος (v. 22) signals a new creation reality. Verse 24 declares that those belonging to Christ have crucified the flesh (ἐσταύρωσαν τὴν σάρκα σὺν τοῖς παθήμασιν καὶ ταῖς ἐπιθυμίαις), while verse 25 commands walking in step with the Spirit (στοιχῶμεν πνεύματι). The fruit thus serves as the evidence that the crucifixion of verse 24 has actually occurred.</w:t>
      </w:r>
    </w:p>
    <w:p>
      <w:pPr>
        <w:pStyle w:val="BodyText"/>
      </w:pPr>
      <w:r>
        <w:rPr>
          <w:bCs/>
          <w:b/>
        </w:rPr>
        <w:t xml:space="preserve">Broader Epistolary Context: Freedom and Transformation</w:t>
      </w:r>
    </w:p>
    <w:p>
      <w:pPr>
        <w:pStyle w:val="BodyText"/>
      </w:pPr>
      <w:r>
        <w:t xml:space="preserve">Within Paul’s overarching argument, this passage resolves the tension between liberty and obedience introduced in 5:1, 13: τῇ ἐλευθερίᾳ ἡμᾶς Χριστὸς ἠλευθέρωσεν (for freedom Christ has set us free). The Judaizers feared that freedom from Torah observance would produce moral anarchy; Paul demonstrates that Spirit-produced fruit exceeds Torah requirements (v. 23, οὐκ ἔστιν νόμος). The law cannot produce these virtues—only the Spirit can (3:3).</w:t>
      </w:r>
    </w:p>
    <w:p>
      <w:pPr>
        <w:pStyle w:val="BodyText"/>
      </w:pPr>
      <w:r>
        <w:t xml:space="preserve">The fruit authenticates the believer’s justification. Against the legalists’ claim that circumcision and dietary laws produce righteousness, Paul argues that the Spirit’s fruit constitutes the true circumcision (6:15, οὔτε γὰρ περιτομή τί ἐστιν οὔτε ἀκροβυστία ἀλλὰ καινὴ κτίσις). This new creation (καινὴ κτίσις) manifests in the nine graces listed, proving that the believer has died to the law through the body of Christ (2:19) and now lives by faith in the Son of God (2:20).</w:t>
      </w:r>
    </w:p>
    <w:p>
      <w:pPr>
        <w:pStyle w:val="BodyText"/>
      </w:pPr>
      <w:r>
        <w:t xml:space="preserve">Furthermore, the fruit demonstrates that Christian freedom operates through ἀγάπη (5:6, 13-14). The liberty for which Christ set the Galatians free must not serve the flesh (v. 13, μὴ τὴν ἐλευθερίαν εἰς ἀφορμὴν τῇ σαρκί), but rather become the occasion for Spirit-empowered service. Thus, the fruit of the Spirit vindicates Paul’s gospel against both the legalism of the Judaizers and the libertinism feared by his opponents, proving that justification by faith produces precisely the ethical life the law commanded but could not create.</w:t>
      </w:r>
    </w:p>
    <w:p>
      <w:pPr>
        <w:pStyle w:val="BodyText"/>
      </w:pPr>
      <w:r>
        <w:rPr>
          <w:bCs/>
          <w:b/>
        </w:rPr>
        <w:t xml:space="preserve">Conclusion: Evidence of Gospel Transformation</w:t>
      </w:r>
    </w:p>
    <w:p>
      <w:pPr>
        <w:pStyle w:val="BodyText"/>
      </w:pPr>
      <w:r>
        <w:t xml:space="preserve">Ultimately, καρπὸς τοῦ πνεύματος functions as the apologetic evidence of genuine conversion. Where the Judaizers offered external markers (circumcision, Sabbath observance, dietary laws), Paul offers the internal, organic production of Christ-like character. These nine virtues cannot be manufactured by human willpower or religious ritual; they are the natural growth of the Spirit’s presence in the believer who has been crucified with Christ (2:20) and now lives by the Spirit’s resurrection power (5:25). Thus, the fruit authenticates the believer’s sonship (4:6), vindicates Paul’s gospel of free grace, and demonstrates that in Christ, the eschatological age of the Spirit has dawned, producing the ethical life that fulfills the law’s deepest intention (5:14; 6:2).</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2026-03-07T17:12:23Z</dcterms:created>
  <dcterms:modified xsi:type="dcterms:W3CDTF">2026-03-07T17:12:23Z</dcterms:modified>
</cp:coreProperties>
</file>

<file path=docProps/custom.xml><?xml version="1.0" encoding="utf-8"?>
<Properties xmlns="http://schemas.openxmlformats.org/officeDocument/2006/custom-properties" xmlns:vt="http://schemas.openxmlformats.org/officeDocument/2006/docPropsVTypes"/>
</file>