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Provide a detailed outline of Galatians 5:22-23.</w:t>
      </w:r>
    </w:p>
    <w:p>
      <w:r>
        <w:pict>
          <v:rect style="width:0;height:1.5pt" o:hralign="center" o:hrstd="t" o:hr="t"/>
        </w:pict>
      </w:r>
    </w:p>
    <w:bookmarkStart w:id="36" w:name="X26633a3c4dd2891d7e56944413b5c0107c43c9d"/>
    <w:p>
      <w:pPr>
        <w:pStyle w:val="Heading1"/>
      </w:pPr>
      <w:r>
        <w:t xml:space="preserve">Exegetical and Theological Outline of Galatians 5:22-23</w:t>
      </w:r>
    </w:p>
    <w:p>
      <w:pPr>
        <w:pStyle w:val="FirstParagraph"/>
      </w:pPr>
      <w:r>
        <w:rPr>
          <w:bCs/>
          <w:b/>
        </w:rPr>
        <w:t xml:space="preserve">Textual Context:</w:t>
      </w:r>
      <w:r>
        <w:t xml:space="preserve"> </w:t>
      </w:r>
      <w:r>
        <w:t xml:space="preserve">This passage serves as the ethical climax of Paul’s argument regarding the tension between the</w:t>
      </w:r>
      <w:r>
        <w:t xml:space="preserve"> </w:t>
      </w:r>
      <w:r>
        <w:t xml:space="preserve">“</w:t>
      </w:r>
      <w:r>
        <w:t xml:space="preserve">flesh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sarx</w:t>
      </w:r>
      <w:r>
        <w:t xml:space="preserve">) and the</w:t>
      </w:r>
      <w:r>
        <w:t xml:space="preserve"> </w:t>
      </w:r>
      <w:r>
        <w:t xml:space="preserve">“</w:t>
      </w:r>
      <w:r>
        <w:t xml:space="preserve">Spirit</w:t>
      </w:r>
      <w:r>
        <w:t xml:space="preserve">”</w:t>
      </w:r>
      <w:r>
        <w:t xml:space="preserve"> </w:t>
      </w:r>
      <w:r>
        <w:t xml:space="preserve">(</w:t>
      </w:r>
      <w:r>
        <w:rPr>
          <w:iCs/>
          <w:i/>
        </w:rPr>
        <w:t xml:space="preserve">Pneuma</w:t>
      </w:r>
      <w:r>
        <w:t xml:space="preserve">). Having listed the destructive</w:t>
      </w:r>
      <w:r>
        <w:t xml:space="preserve"> </w:t>
      </w:r>
      <w:r>
        <w:t xml:space="preserve">“</w:t>
      </w:r>
      <w:r>
        <w:t xml:space="preserve">works of the flesh</w:t>
      </w:r>
      <w:r>
        <w:t xml:space="preserve">”</w:t>
      </w:r>
      <w:r>
        <w:t xml:space="preserve"> </w:t>
      </w:r>
      <w:r>
        <w:t xml:space="preserve">(5:19-21), Paul pivots to the organic, divine production of the Holy Spirit in the believer’s life.</w:t>
      </w:r>
    </w:p>
    <w:p>
      <w:r>
        <w:pict>
          <v:rect style="width:0;height:1.5pt" o:hralign="center" o:hrstd="t" o:hr="t"/>
        </w:pict>
      </w:r>
    </w:p>
    <w:bookmarkStart w:id="21" w:name="Xddd5d7b87722063476ed4d6c1a1e7f84e54b356"/>
    <w:p>
      <w:pPr>
        <w:pStyle w:val="Heading2"/>
      </w:pPr>
      <w:r>
        <w:t xml:space="preserve">I. The Divine Source and Nature of Spiritual Virtue (v. 22a)</w:t>
      </w:r>
    </w:p>
    <w:p>
      <w:pPr>
        <w:pStyle w:val="FirstParagraph"/>
      </w:pPr>
      <w:r>
        <w:rPr>
          <w:iCs/>
          <w:i/>
        </w:rPr>
        <w:t xml:space="preserve">This section establishes the origin and the singular nature of the spiritual manifestation.</w:t>
      </w:r>
    </w:p>
    <w:bookmarkStart w:id="20" w:name="Xa7e9135507e5d43942817b22210fc79bfd1c3d9"/>
    <w:p>
      <w:pPr>
        <w:pStyle w:val="Heading3"/>
      </w:pPr>
      <w:r>
        <w:t xml:space="preserve">A. The Pneumatological Origin: The Agency of the Spirit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Spirit…</w:t>
      </w:r>
      <w:r>
        <w:rPr>
          <w:iCs/>
          <w:i/>
        </w:rPr>
        <w:t xml:space="preserve">”</w:t>
      </w:r>
      <w:r>
        <w:t xml:space="preserve"> </w:t>
      </w:r>
      <w:r>
        <w:t xml:space="preserve">(v. 22a)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Contrast of Agency:</w:t>
      </w:r>
      <w:r>
        <w:t xml:space="preserve"> </w:t>
      </w:r>
      <w:r>
        <w:t xml:space="preserve">The shift from</w:t>
      </w:r>
      <w:r>
        <w:t xml:space="preserve"> </w:t>
      </w:r>
      <w:r>
        <w:t xml:space="preserve">“</w:t>
      </w:r>
      <w:r>
        <w:t xml:space="preserve">works</w:t>
      </w:r>
      <w:r>
        <w:t xml:space="preserve">”</w:t>
      </w:r>
      <w:r>
        <w:t xml:space="preserve"> </w:t>
      </w:r>
      <w:r>
        <w:t xml:space="preserve">(human effort/sinful nature) to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(divine production).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Singular Nature of the Fruit:</w:t>
      </w:r>
      <w:r>
        <w:t xml:space="preserve"> </w:t>
      </w:r>
      <w:r>
        <w:t xml:space="preserve">Analysis of the singular noun</w:t>
      </w:r>
      <w:r>
        <w:t xml:space="preserve"> </w:t>
      </w:r>
      <w:r>
        <w:rPr>
          <w:iCs/>
          <w:i/>
        </w:rPr>
        <w:t xml:space="preserve">karpos</w:t>
      </w:r>
      <w:r>
        <w:t xml:space="preserve"> </w:t>
      </w:r>
      <w:r>
        <w:t xml:space="preserve">(fruit), indicating that these virtues are not a</w:t>
      </w:r>
      <w:r>
        <w:t xml:space="preserve"> </w:t>
      </w:r>
      <w:r>
        <w:t xml:space="preserve">“</w:t>
      </w:r>
      <w:r>
        <w:t xml:space="preserve">menu</w:t>
      </w:r>
      <w:r>
        <w:t xml:space="preserve">”</w:t>
      </w:r>
      <w:r>
        <w:t xml:space="preserve"> </w:t>
      </w:r>
      <w:r>
        <w:t xml:space="preserve">of options, but a unified manifestation of one Spirit.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Organic Process:</w:t>
      </w:r>
      <w:r>
        <w:t xml:space="preserve"> </w:t>
      </w:r>
      <w:r>
        <w:t xml:space="preserve">The theological implication of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as something that grows through abiding, rather than something manufactured by legalistic adherence.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c157991e5f233d59aebd7c4d0575cba9a7bf104"/>
    <w:p>
      <w:pPr>
        <w:pStyle w:val="Heading2"/>
      </w:pPr>
      <w:r>
        <w:t xml:space="preserve">II. The Primary Virtue: The Foundation of All Grace (v. 22a-b)</w:t>
      </w:r>
    </w:p>
    <w:p>
      <w:pPr>
        <w:pStyle w:val="FirstParagraph"/>
      </w:pPr>
      <w:r>
        <w:rPr>
          <w:iCs/>
          <w:i/>
        </w:rPr>
        <w:t xml:space="preserve">The first attribute is the governing principle that informs all subsequent virtues.</w:t>
      </w:r>
    </w:p>
    <w:bookmarkStart w:id="22" w:name="a.-the-primacy-of-divine-love-v.-22b"/>
    <w:p>
      <w:pPr>
        <w:pStyle w:val="Heading3"/>
      </w:pPr>
      <w:r>
        <w:t xml:space="preserve">A. The Primacy of Divine Love (v. 22b)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…love,</w:t>
      </w:r>
      <w:r>
        <w:rPr>
          <w:iCs/>
          <w:i/>
        </w:rPr>
        <w:t xml:space="preserve">”</w:t>
      </w:r>
      <w:r>
        <w:t xml:space="preserve"> </w:t>
      </w:r>
      <w:r>
        <w:t xml:space="preserve">(v. 22b)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Agape as the Root:</w:t>
      </w:r>
      <w:r>
        <w:t xml:space="preserve"> </w:t>
      </w:r>
      <w:r>
        <w:t xml:space="preserve">The identification of</w:t>
      </w:r>
      <w:r>
        <w:t xml:space="preserve"> </w:t>
      </w:r>
      <w:r>
        <w:rPr>
          <w:iCs/>
          <w:i/>
        </w:rPr>
        <w:t xml:space="preserve">agapē</w:t>
      </w:r>
      <w:r>
        <w:t xml:space="preserve">—self-sacrificial, unconditional love—as the cornerstone of the Spirit’s work.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Christological Pattern:</w:t>
      </w:r>
      <w:r>
        <w:t xml:space="preserve"> </w:t>
      </w:r>
      <w:r>
        <w:t xml:space="preserve">Love not as a feeling, but as a commitment to the well-being of the other, mirroring the love of Christ.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281ab9f91bdb06247e6cab33d3e5c276c55e873"/>
    <w:p>
      <w:pPr>
        <w:pStyle w:val="Heading2"/>
      </w:pPr>
      <w:r>
        <w:t xml:space="preserve">III. The Relational Manifestations: Outward Expressions of Grace (v. 22c-23a)</w:t>
      </w:r>
    </w:p>
    <w:p>
      <w:pPr>
        <w:pStyle w:val="FirstParagraph"/>
      </w:pPr>
      <w:r>
        <w:rPr>
          <w:iCs/>
          <w:i/>
        </w:rPr>
        <w:t xml:space="preserve">These virtues describe how the Spirit transforms the believer’s interaction with others.</w:t>
      </w:r>
    </w:p>
    <w:bookmarkStart w:id="24" w:name="X5359e3d67079261fbea3aeb02f97ef20b20bfd5"/>
    <w:p>
      <w:pPr>
        <w:pStyle w:val="Heading3"/>
      </w:pPr>
      <w:r>
        <w:t xml:space="preserve">A. The Benevolence of the Heart: Joy (v. 22c)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…joy,</w:t>
      </w:r>
      <w:r>
        <w:rPr>
          <w:iCs/>
          <w:i/>
        </w:rPr>
        <w:t xml:space="preserve">”</w:t>
      </w:r>
      <w:r>
        <w:t xml:space="preserve"> </w:t>
      </w:r>
      <w:r>
        <w:t xml:space="preserve">(v. 22c)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Transcendental Gladness:</w:t>
      </w:r>
      <w:r>
        <w:t xml:space="preserve"> </w:t>
      </w:r>
      <w:r>
        <w:t xml:space="preserve">Analysis of</w:t>
      </w:r>
      <w:r>
        <w:t xml:space="preserve"> </w:t>
      </w:r>
      <w:r>
        <w:rPr>
          <w:iCs/>
          <w:i/>
        </w:rPr>
        <w:t xml:space="preserve">chara</w:t>
      </w:r>
      <w:r>
        <w:t xml:space="preserve"> </w:t>
      </w:r>
      <w:r>
        <w:t xml:space="preserve">as a deep-seated confidence in God’s sovereignty, distinct from circumstantial happiness.</w:t>
      </w:r>
    </w:p>
    <w:bookmarkEnd w:id="24"/>
    <w:bookmarkStart w:id="25" w:name="b.-the-divine-disposition-peace-v.-22d"/>
    <w:p>
      <w:pPr>
        <w:pStyle w:val="Heading3"/>
      </w:pPr>
      <w:r>
        <w:t xml:space="preserve">B. The Divine Disposition: Peace (v. 22d)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…peace,</w:t>
      </w:r>
      <w:r>
        <w:rPr>
          <w:iCs/>
          <w:i/>
        </w:rPr>
        <w:t xml:space="preserve">”</w:t>
      </w:r>
      <w:r>
        <w:t xml:space="preserve"> </w:t>
      </w:r>
      <w:r>
        <w:t xml:space="preserve">(v. 22d)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Shalom of the Spirit:</w:t>
      </w:r>
      <w:r>
        <w:t xml:space="preserve"> </w:t>
      </w:r>
      <w:r>
        <w:t xml:space="preserve">The internal tranquility (</w:t>
      </w:r>
      <w:r>
        <w:rPr>
          <w:iCs/>
          <w:i/>
        </w:rPr>
        <w:t xml:space="preserve">eirēnē</w:t>
      </w:r>
      <w:r>
        <w:t xml:space="preserve">) that results from reconciliation with God and the pursuit of harmony with others.</w:t>
      </w:r>
    </w:p>
    <w:bookmarkEnd w:id="25"/>
    <w:bookmarkStart w:id="26" w:name="Xef898668cbe6033d147435cc1b81701ad617c1f"/>
    <w:p>
      <w:pPr>
        <w:pStyle w:val="Heading3"/>
      </w:pPr>
      <w:r>
        <w:t xml:space="preserve">C. The Posture of Humility: Patience/Longsuffering (v. 22e)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…patience,</w:t>
      </w:r>
      <w:r>
        <w:rPr>
          <w:iCs/>
          <w:i/>
        </w:rPr>
        <w:t xml:space="preserve">”</w:t>
      </w:r>
      <w:r>
        <w:t xml:space="preserve"> </w:t>
      </w:r>
      <w:r>
        <w:t xml:space="preserve">(v. 22e)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Endurance Under Pressure:</w:t>
      </w:r>
      <w:r>
        <w:t xml:space="preserve"> </w:t>
      </w:r>
      <w:r>
        <w:t xml:space="preserve">The capacity for</w:t>
      </w:r>
      <w:r>
        <w:t xml:space="preserve"> </w:t>
      </w:r>
      <w:r>
        <w:rPr>
          <w:iCs/>
          <w:i/>
        </w:rPr>
        <w:t xml:space="preserve">makrothymia</w:t>
      </w:r>
      <w:r>
        <w:t xml:space="preserve"> </w:t>
      </w:r>
      <w:r>
        <w:t xml:space="preserve">(long-temperedness), specifically in the face of provocation or opposition.</w:t>
      </w:r>
    </w:p>
    <w:bookmarkEnd w:id="26"/>
    <w:bookmarkStart w:id="27" w:name="Xf70e903ce3c77ac2b15b55f6ee2bd8231efde0b"/>
    <w:p>
      <w:pPr>
        <w:pStyle w:val="Heading3"/>
      </w:pPr>
      <w:r>
        <w:t xml:space="preserve">D. The Active Expression of Grace: Kindness (v. 22f)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…kindness,</w:t>
      </w:r>
      <w:r>
        <w:rPr>
          <w:iCs/>
          <w:i/>
        </w:rPr>
        <w:t xml:space="preserve">”</w:t>
      </w:r>
      <w:r>
        <w:t xml:space="preserve"> </w:t>
      </w:r>
      <w:r>
        <w:t xml:space="preserve">(v. 22f)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Benevolent Will:</w:t>
      </w:r>
      <w:r>
        <w:t xml:space="preserve"> </w:t>
      </w:r>
      <w:r>
        <w:t xml:space="preserve">The outward manifestation of a tender heart (</w:t>
      </w:r>
      <w:r>
        <w:rPr>
          <w:iCs/>
          <w:i/>
        </w:rPr>
        <w:t xml:space="preserve">chrēstotēs</w:t>
      </w:r>
      <w:r>
        <w:t xml:space="preserve">) that seeks to be helpful and considerate.</w:t>
      </w:r>
    </w:p>
    <w:bookmarkEnd w:id="27"/>
    <w:bookmarkStart w:id="28" w:name="Xb55c712c1b63c1aecb2d27a505c955cd0eceec6"/>
    <w:p>
      <w:pPr>
        <w:pStyle w:val="Heading3"/>
      </w:pPr>
      <w:r>
        <w:t xml:space="preserve">E. The Moral Integrity of the Soul: Goodness (v. 22g)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…goodness,</w:t>
      </w:r>
      <w:r>
        <w:rPr>
          <w:iCs/>
          <w:i/>
        </w:rPr>
        <w:t xml:space="preserve">”</w:t>
      </w:r>
      <w:r>
        <w:t xml:space="preserve"> </w:t>
      </w:r>
      <w:r>
        <w:t xml:space="preserve">(v. 22g)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Virtue in Action:</w:t>
      </w:r>
      <w:r>
        <w:t xml:space="preserve"> </w:t>
      </w:r>
      <w:r>
        <w:t xml:space="preserve">The active pursuit of righteousness (</w:t>
      </w:r>
      <w:r>
        <w:rPr>
          <w:iCs/>
          <w:i/>
        </w:rPr>
        <w:t xml:space="preserve">agathosynē</w:t>
      </w:r>
      <w:r>
        <w:t xml:space="preserve">), where moral purity translates into beneficial action for others.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174bc52bb67fdbf3cc8922f4efd7ae06cd50b87"/>
    <w:p>
      <w:pPr>
        <w:pStyle w:val="Heading2"/>
      </w:pPr>
      <w:r>
        <w:t xml:space="preserve">IV. The Internal Disciplines: Inward Governance by the Spirit (v. 23a-b)</w:t>
      </w:r>
    </w:p>
    <w:p>
      <w:pPr>
        <w:pStyle w:val="FirstParagraph"/>
      </w:pPr>
      <w:r>
        <w:rPr>
          <w:iCs/>
          <w:i/>
        </w:rPr>
        <w:t xml:space="preserve">These virtues describe the Spirit’s work in regulating the believer’s internal will and character.</w:t>
      </w:r>
    </w:p>
    <w:bookmarkStart w:id="30" w:name="Xf56546a3740379bbdab5799ca1d76ce2d2cc2f0"/>
    <w:p>
      <w:pPr>
        <w:pStyle w:val="Heading3"/>
      </w:pPr>
      <w:r>
        <w:t xml:space="preserve">A. The Steadfastness of Spirit: Faithfulness (v. 23a)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…faithfulness,</w:t>
      </w:r>
      <w:r>
        <w:rPr>
          <w:iCs/>
          <w:i/>
        </w:rPr>
        <w:t xml:space="preserve">”</w:t>
      </w:r>
      <w:r>
        <w:t xml:space="preserve"> </w:t>
      </w:r>
      <w:r>
        <w:t xml:space="preserve">(v. 23a)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Quality of Reliability:</w:t>
      </w:r>
      <w:r>
        <w:t xml:space="preserve"> </w:t>
      </w:r>
      <w:r>
        <w:t xml:space="preserve">The cultivation of</w:t>
      </w:r>
      <w:r>
        <w:t xml:space="preserve"> </w:t>
      </w:r>
      <w:r>
        <w:rPr>
          <w:iCs/>
          <w:i/>
        </w:rPr>
        <w:t xml:space="preserve">pistis</w:t>
      </w:r>
      <w:r>
        <w:t xml:space="preserve">—being trustworthy, loyal, and constant in one’s commitment to God and man.</w:t>
      </w:r>
    </w:p>
    <w:bookmarkEnd w:id="30"/>
    <w:bookmarkStart w:id="31" w:name="X3ad4b62396c65ad8c48813f6e680e1483307218"/>
    <w:p>
      <w:pPr>
        <w:pStyle w:val="Heading3"/>
      </w:pPr>
      <w:r>
        <w:t xml:space="preserve">B. The Spirit of Submission: Gentleness (v. 23b)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…gentleness,</w:t>
      </w:r>
      <w:r>
        <w:rPr>
          <w:iCs/>
          <w:i/>
        </w:rPr>
        <w:t xml:space="preserve">”</w:t>
      </w:r>
      <w:r>
        <w:t xml:space="preserve"> </w:t>
      </w:r>
      <w:r>
        <w:t xml:space="preserve">(v. 23b)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Power Under Control:</w:t>
      </w:r>
      <w:r>
        <w:t xml:space="preserve"> </w:t>
      </w:r>
      <w:r>
        <w:t xml:space="preserve">The analysis of</w:t>
      </w:r>
      <w:r>
        <w:t xml:space="preserve"> </w:t>
      </w:r>
      <w:r>
        <w:rPr>
          <w:iCs/>
          <w:i/>
        </w:rPr>
        <w:t xml:space="preserve">prautēs</w:t>
      </w:r>
      <w:r>
        <w:t xml:space="preserve"> </w:t>
      </w:r>
      <w:r>
        <w:t xml:space="preserve">not as weakness, but as</w:t>
      </w:r>
      <w:r>
        <w:t xml:space="preserve"> </w:t>
      </w:r>
      <w:r>
        <w:t xml:space="preserve">“</w:t>
      </w:r>
      <w:r>
        <w:t xml:space="preserve">meekness</w:t>
      </w:r>
      <w:r>
        <w:t xml:space="preserve">”</w:t>
      </w:r>
      <w:r>
        <w:t xml:space="preserve">—the strength to remain humble and non-combative.</w:t>
      </w:r>
    </w:p>
    <w:bookmarkEnd w:id="31"/>
    <w:bookmarkStart w:id="32" w:name="Xd595943b5988ce3d5b4e8fde688c857410ff90c"/>
    <w:p>
      <w:pPr>
        <w:pStyle w:val="Heading3"/>
      </w:pPr>
      <w:r>
        <w:t xml:space="preserve">C. The Disciplined Will: Self-Control (v. 23c)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…self-control,</w:t>
      </w:r>
      <w:r>
        <w:rPr>
          <w:iCs/>
          <w:i/>
        </w:rPr>
        <w:t xml:space="preserve">”</w:t>
      </w:r>
      <w:r>
        <w:t xml:space="preserve"> </w:t>
      </w:r>
      <w:r>
        <w:t xml:space="preserve">(v. 23c)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Mastery of Desires:</w:t>
      </w:r>
      <w:r>
        <w:t xml:space="preserve"> </w:t>
      </w:r>
      <w:r>
        <w:t xml:space="preserve">The capacity for</w:t>
      </w:r>
      <w:r>
        <w:t xml:space="preserve"> </w:t>
      </w:r>
      <w:r>
        <w:rPr>
          <w:iCs/>
          <w:i/>
        </w:rPr>
        <w:t xml:space="preserve">enkrateia</w:t>
      </w:r>
      <w:r>
        <w:t xml:space="preserve"> </w:t>
      </w:r>
      <w:r>
        <w:t xml:space="preserve">(holding oneself in), the Spirit-empowered ability to govern passions and impulses.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v.-the-finality-of-the-moral-law-v.-23d"/>
    <w:p>
      <w:pPr>
        <w:pStyle w:val="Heading2"/>
      </w:pPr>
      <w:r>
        <w:t xml:space="preserve">V. The Finality of the Moral Law (v. 23d)</w:t>
      </w:r>
    </w:p>
    <w:p>
      <w:pPr>
        <w:pStyle w:val="FirstParagraph"/>
      </w:pPr>
      <w:r>
        <w:rPr>
          <w:iCs/>
          <w:i/>
        </w:rPr>
        <w:t xml:space="preserve">The concluding statement regarding the relationship between the Spirit and the Law.</w:t>
      </w:r>
    </w:p>
    <w:bookmarkStart w:id="34" w:name="X04ddaeebc7a636b51fbef5df7e4ea2671911b2a"/>
    <w:p>
      <w:pPr>
        <w:pStyle w:val="Heading3"/>
      </w:pPr>
      <w:r>
        <w:t xml:space="preserve">A. The Transcendence of the Spirit over Legalism</w:t>
      </w:r>
    </w:p>
    <w:p>
      <w:pPr>
        <w:pStyle w:val="FirstParagraph"/>
      </w:pPr>
      <w:r>
        <w:rPr>
          <w:bCs/>
          <w:b/>
        </w:rPr>
        <w:t xml:space="preserve">Passage: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against such things there is no law.</w:t>
      </w:r>
      <w:r>
        <w:rPr>
          <w:iCs/>
          <w:i/>
        </w:rPr>
        <w:t xml:space="preserve">”</w:t>
      </w:r>
      <w:r>
        <w:t xml:space="preserve"> </w:t>
      </w:r>
      <w:r>
        <w:t xml:space="preserve">(v. 23d)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Harmony of Grace and Law:</w:t>
      </w:r>
      <w:r>
        <w:t xml:space="preserve"> </w:t>
      </w:r>
      <w:r>
        <w:t xml:space="preserve">The theological assertion that the fruit of the Spirit fulfills the intent of the Law without the need for legalistic coercion.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Irreproachable Nature of Virtue:</w:t>
      </w:r>
      <w:r>
        <w:t xml:space="preserve"> </w:t>
      </w:r>
      <w:r>
        <w:t xml:space="preserve">The recognition that these divine attributes can never be categorized as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illegal</w:t>
      </w:r>
      <w:r>
        <w:t xml:space="preserve">”</w:t>
      </w:r>
      <w:r>
        <w:t xml:space="preserve"> </w:t>
      </w:r>
      <w:r>
        <w:t xml:space="preserve">by any moral or divine standard.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2026-04-05T17:55:16Z</dcterms:created>
  <dcterms:modified xsi:type="dcterms:W3CDTF">2026-04-05T17:55:16Z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