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 a detailed outline of Galatians 5:22-23.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Since you have requested a highly detailed, granular breakdown of specifically</w:t>
      </w:r>
      <w:r>
        <w:t xml:space="preserve"> </w:t>
      </w:r>
      <w:r>
        <w:rPr>
          <w:bCs/>
          <w:b/>
        </w:rPr>
        <w:t xml:space="preserve">Galatians 5:22-23</w:t>
      </w:r>
      <w:r>
        <w:t xml:space="preserve">, I will treat these two verses as a complete</w:t>
      </w:r>
      <w:r>
        <w:t xml:space="preserve"> </w:t>
      </w:r>
      <w:r>
        <w:t xml:space="preserve">“</w:t>
      </w:r>
      <w:r>
        <w:t xml:space="preserve">mini-book.</w:t>
      </w:r>
      <w:r>
        <w:t xml:space="preserve">”</w:t>
      </w:r>
      <w:r>
        <w:t xml:space="preserve"> </w:t>
      </w:r>
      <w:r>
        <w:t xml:space="preserve">Rather than a broad summary, I will dissect every phrase and attribute to provide the level of detail you are seeking.</w:t>
      </w:r>
    </w:p>
    <w:p>
      <w:pPr>
        <w:pStyle w:val="BodyText"/>
      </w:pPr>
      <w:r>
        <w:t xml:space="preserve">Here is the comprehensive, analytical outline of Galatians 5:22-23.</w:t>
      </w:r>
    </w:p>
    <w:p>
      <w:r>
        <w:pict>
          <v:rect style="width:0;height:1.5pt" o:hralign="center" o:hrstd="t" o:hr="t"/>
        </w:pict>
      </w:r>
    </w:p>
    <w:bookmarkStart w:id="24" w:name="X119039b27fe63b7e1a542ba3a64dba82574c91e"/>
    <w:p>
      <w:pPr>
        <w:pStyle w:val="Heading1"/>
      </w:pPr>
      <w:r>
        <w:t xml:space="preserve">Detailed Analytical Outline: The Manifestation of the Spirit</w:t>
      </w:r>
    </w:p>
    <w:p>
      <w:pPr>
        <w:pStyle w:val="FirstParagraph"/>
      </w:pPr>
      <w:r>
        <w:rPr>
          <w:bCs/>
          <w:b/>
        </w:rPr>
        <w:t xml:space="preserve">Scripture Reference:</w:t>
      </w:r>
      <w:r>
        <w:t xml:space="preserve"> </w:t>
      </w:r>
      <w:r>
        <w:t xml:space="preserve">Galatians 5:22-23</w:t>
      </w:r>
    </w:p>
    <w:bookmarkStart w:id="20" w:name="X11ba68a77d40a1e401a9217233e1ce21c80e869"/>
    <w:p>
      <w:pPr>
        <w:pStyle w:val="Heading2"/>
      </w:pPr>
      <w:r>
        <w:t xml:space="preserve">Section I: The Source and Nature of Spiritual Growth (v. 22a)</w:t>
      </w:r>
    </w:p>
    <w:p>
      <w:pPr>
        <w:pStyle w:val="FirstParagraph"/>
      </w:pPr>
      <w:r>
        <w:rPr>
          <w:iCs/>
          <w:i/>
        </w:rPr>
        <w:t xml:space="preserve">This section establishes the theological foundation: that virtue is a product of divine agency, not human effort.</w:t>
      </w:r>
    </w:p>
    <w:p>
      <w:pPr>
        <w:pStyle w:val="BodyText"/>
      </w:pPr>
      <w:r>
        <w:rPr>
          <w:bCs/>
          <w:b/>
        </w:rPr>
        <w:t xml:space="preserve">Passage 1: The Contrast of Production 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Shift from Effort to Growth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Paul contrasts the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(plural, labored, human-driven) of the flesh mentioned in verses 19-21 with the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(singular, organic, Spirit-driven). This highlights that the Christian life is not about</w:t>
      </w:r>
      <w:r>
        <w:t xml:space="preserve"> </w:t>
      </w:r>
      <w:r>
        <w:t xml:space="preserve">“</w:t>
      </w:r>
      <w:r>
        <w:t xml:space="preserve">trying harder</w:t>
      </w:r>
      <w:r>
        <w:t xml:space="preserve">”</w:t>
      </w:r>
      <w:r>
        <w:t xml:space="preserve"> </w:t>
      </w:r>
      <w:r>
        <w:t xml:space="preserve">to be good, but about</w:t>
      </w:r>
      <w:r>
        <w:t xml:space="preserve"> </w:t>
      </w:r>
      <w:r>
        <w:t xml:space="preserve">“</w:t>
      </w:r>
      <w:r>
        <w:t xml:space="preserve">abiding</w:t>
      </w:r>
      <w:r>
        <w:t xml:space="preserve">”</w:t>
      </w:r>
      <w:r>
        <w:t xml:space="preserve"> </w:t>
      </w:r>
      <w:r>
        <w:t xml:space="preserve">in the Spirit to produce goodness.</w:t>
      </w:r>
    </w:p>
    <w:p>
      <w:pPr>
        <w:pStyle w:val="BodyText"/>
      </w:pPr>
      <w:r>
        <w:rPr>
          <w:bCs/>
          <w:b/>
        </w:rPr>
        <w:t xml:space="preserve">Passage 2: The Singular Identity of the Fruit 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Unity of the Spirit’s Work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The use of the singular noun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karpos</w:t>
      </w:r>
      <w:r>
        <w:t xml:space="preserve">) suggests that these nine attributes are not separate gifts to be picked and chosen, but a single, unified cluster. To have the Spirit is to have the potential for all these virtues; they are the collective evidence of one Spirit working in one believer.</w:t>
      </w:r>
    </w:p>
    <w:p>
      <w:r>
        <w:pict>
          <v:rect style="width:0;height:1.5pt" o:hralign="center" o:hrstd="t" o:hr="t"/>
        </w:pict>
      </w:r>
    </w:p>
    <w:bookmarkEnd w:id="20"/>
    <w:bookmarkStart w:id="21" w:name="Xc895aa91ea5dee747cb980daf65371d50ca461b"/>
    <w:p>
      <w:pPr>
        <w:pStyle w:val="Heading2"/>
      </w:pPr>
      <w:r>
        <w:t xml:space="preserve">Section II: The Outward-Facing Virtues (v. 22b-22g)</w:t>
      </w:r>
    </w:p>
    <w:p>
      <w:pPr>
        <w:pStyle w:val="FirstParagraph"/>
      </w:pPr>
      <w:r>
        <w:rPr>
          <w:iCs/>
          <w:i/>
        </w:rPr>
        <w:t xml:space="preserve">These attributes describe the believer’s primary orientation toward God and others.</w:t>
      </w:r>
    </w:p>
    <w:p>
      <w:pPr>
        <w:pStyle w:val="BodyText"/>
      </w:pPr>
      <w:r>
        <w:rPr>
          <w:bCs/>
          <w:b/>
        </w:rPr>
        <w:t xml:space="preserve">Passage 3: The Governing Principle (v. 22b)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Agape: The Foundation of Love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Love is listed first because it is the root from which all other fruits grow. This is not emotional affection, but</w:t>
      </w:r>
      <w:r>
        <w:t xml:space="preserve"> </w:t>
      </w:r>
      <w:r>
        <w:rPr>
          <w:iCs/>
          <w:i/>
        </w:rPr>
        <w:t xml:space="preserve">agape</w:t>
      </w:r>
      <w:r>
        <w:t xml:space="preserve">—a selfless, sacrificial commitment to the highest good of another.</w:t>
      </w:r>
    </w:p>
    <w:p>
      <w:pPr>
        <w:pStyle w:val="BodyText"/>
      </w:pPr>
      <w:r>
        <w:rPr>
          <w:bCs/>
          <w:b/>
        </w:rPr>
        <w:t xml:space="preserve">Passage 4: The Internal State of Gladness (v. 22c)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Joy: Transcendental Satisfaction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Joy (</w:t>
      </w:r>
      <w:r>
        <w:rPr>
          <w:iCs/>
          <w:i/>
        </w:rPr>
        <w:t xml:space="preserve">chara</w:t>
      </w:r>
      <w:r>
        <w:t xml:space="preserve">) is distinct from happiness. While happiness depends on</w:t>
      </w:r>
      <w:r>
        <w:t xml:space="preserve"> </w:t>
      </w:r>
      <w:r>
        <w:t xml:space="preserve">“</w:t>
      </w:r>
      <w:r>
        <w:t xml:space="preserve">happenings</w:t>
      </w:r>
      <w:r>
        <w:t xml:space="preserve">”</w:t>
      </w:r>
      <w:r>
        <w:t xml:space="preserve"> </w:t>
      </w:r>
      <w:r>
        <w:t xml:space="preserve">(circumstances), this joy is a deep-seated confidence in God’s sovereignty and salvation, regardless of external hardship.</w:t>
      </w:r>
    </w:p>
    <w:p>
      <w:pPr>
        <w:pStyle w:val="BodyText"/>
      </w:pPr>
      <w:r>
        <w:rPr>
          <w:bCs/>
          <w:b/>
        </w:rPr>
        <w:t xml:space="preserve">Passage 5: The State of Harmony (v. 22d)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Peace: The Quietness of the Soul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Peace (</w:t>
      </w:r>
      <w:r>
        <w:rPr>
          <w:iCs/>
          <w:i/>
        </w:rPr>
        <w:t xml:space="preserve">eirene</w:t>
      </w:r>
      <w:r>
        <w:t xml:space="preserve">) refers to both the internal tranquility of a heart at rest with God and the external pursuit of reconciliation and harmony within the community.</w:t>
      </w:r>
    </w:p>
    <w:p>
      <w:pPr>
        <w:pStyle w:val="BodyText"/>
      </w:pPr>
      <w:r>
        <w:rPr>
          <w:bCs/>
          <w:b/>
        </w:rPr>
        <w:t xml:space="preserve">Passage 6: The Capacity for Endurance (v. 22e)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Patience: Long-suffering under Pressure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Patience (</w:t>
      </w:r>
      <w:r>
        <w:rPr>
          <w:iCs/>
          <w:i/>
        </w:rPr>
        <w:t xml:space="preserve">makrothymia</w:t>
      </w:r>
      <w:r>
        <w:t xml:space="preserve">) literally means</w:t>
      </w:r>
      <w:r>
        <w:t xml:space="preserve"> </w:t>
      </w:r>
      <w:r>
        <w:t xml:space="preserve">“</w:t>
      </w:r>
      <w:r>
        <w:t xml:space="preserve">long-tempered.</w:t>
      </w:r>
      <w:r>
        <w:t xml:space="preserve">”</w:t>
      </w:r>
      <w:r>
        <w:t xml:space="preserve"> </w:t>
      </w:r>
      <w:r>
        <w:t xml:space="preserve">It is the ability to endure provocation or opposition from people without retaliating or losing hope.</w:t>
      </w:r>
    </w:p>
    <w:p>
      <w:pPr>
        <w:pStyle w:val="BodyText"/>
      </w:pPr>
      <w:r>
        <w:rPr>
          <w:bCs/>
          <w:b/>
        </w:rPr>
        <w:t xml:space="preserve">Passage 7: The Benevolence of Action (v. 22f)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Kindness: The Tender Heart in Motion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Kindness (</w:t>
      </w:r>
      <w:r>
        <w:rPr>
          <w:iCs/>
          <w:i/>
        </w:rPr>
        <w:t xml:space="preserve">chrestotes</w:t>
      </w:r>
      <w:r>
        <w:t xml:space="preserve">) is the outward expression of a gentle spirit. It is the active desire to be useful and helpful to others, often in small, thoughtful ways.</w:t>
      </w:r>
    </w:p>
    <w:p>
      <w:pPr>
        <w:pStyle w:val="BodyText"/>
      </w:pPr>
      <w:r>
        <w:rPr>
          <w:bCs/>
          <w:b/>
        </w:rPr>
        <w:t xml:space="preserve">Passage 8: The Moral Standard of Conduct (v. 22g)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Goodness: Virtue Manifested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Goodness (</w:t>
      </w:r>
      <w:r>
        <w:rPr>
          <w:iCs/>
          <w:i/>
        </w:rPr>
        <w:t xml:space="preserve">agathosyne</w:t>
      </w:r>
      <w:r>
        <w:t xml:space="preserve">) is kindness with a moral edge. It is not just being</w:t>
      </w:r>
      <w:r>
        <w:t xml:space="preserve"> </w:t>
      </w:r>
      <w:r>
        <w:t xml:space="preserve">“</w:t>
      </w:r>
      <w:r>
        <w:t xml:space="preserve">nice,</w:t>
      </w:r>
      <w:r>
        <w:t xml:space="preserve">”</w:t>
      </w:r>
      <w:r>
        <w:t xml:space="preserve"> </w:t>
      </w:r>
      <w:r>
        <w:t xml:space="preserve">but doing what is right and beneficial for others, sometimes involving a necessary firmness or correction.</w:t>
      </w:r>
    </w:p>
    <w:p>
      <w:r>
        <w:pict>
          <v:rect style="width:0;height:1.5pt" o:hralign="center" o:hrstd="t" o:hr="t"/>
        </w:pict>
      </w:r>
    </w:p>
    <w:bookmarkEnd w:id="21"/>
    <w:bookmarkStart w:id="22" w:name="X25ef3b0b2c481910f1f64879b5001797a298dbd"/>
    <w:p>
      <w:pPr>
        <w:pStyle w:val="Heading2"/>
      </w:pPr>
      <w:r>
        <w:t xml:space="preserve">Section III: The Inward-Governing Virtues (v. 23a-23c)</w:t>
      </w:r>
    </w:p>
    <w:p>
      <w:pPr>
        <w:pStyle w:val="FirstParagraph"/>
      </w:pPr>
      <w:r>
        <w:rPr>
          <w:iCs/>
          <w:i/>
        </w:rPr>
        <w:t xml:space="preserve">These attributes describe the internal discipline and stability produced by the Spirit.</w:t>
      </w:r>
    </w:p>
    <w:p>
      <w:pPr>
        <w:pStyle w:val="BodyText"/>
      </w:pPr>
      <w:r>
        <w:rPr>
          <w:bCs/>
          <w:b/>
        </w:rPr>
        <w:t xml:space="preserve">Passage 9: The Quality of Reliability (v. 23a)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Faithfulness: Steadfast Loyalty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Faithfulness (</w:t>
      </w:r>
      <w:r>
        <w:rPr>
          <w:iCs/>
          <w:i/>
        </w:rPr>
        <w:t xml:space="preserve">pistis</w:t>
      </w:r>
      <w:r>
        <w:t xml:space="preserve">) refers to being trustworthy and reliable. It is the consistency of character that makes a person dependable in their relationship with God and their commitments to others.</w:t>
      </w:r>
    </w:p>
    <w:p>
      <w:pPr>
        <w:pStyle w:val="BodyText"/>
      </w:pPr>
      <w:r>
        <w:rPr>
          <w:bCs/>
          <w:b/>
        </w:rPr>
        <w:t xml:space="preserve">Passage 10: The Strength of Humility (v. 23b)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Gentleness: Power Under Control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Gentleness (</w:t>
      </w:r>
      <w:r>
        <w:rPr>
          <w:iCs/>
          <w:i/>
        </w:rPr>
        <w:t xml:space="preserve">prautes</w:t>
      </w:r>
      <w:r>
        <w:t xml:space="preserve">) is often misunderstood as weakness. In the biblical sense, it is</w:t>
      </w:r>
      <w:r>
        <w:t xml:space="preserve"> </w:t>
      </w:r>
      <w:r>
        <w:t xml:space="preserve">“</w:t>
      </w:r>
      <w:r>
        <w:t xml:space="preserve">meekness</w:t>
      </w:r>
      <w:r>
        <w:t xml:space="preserve">”</w:t>
      </w:r>
      <w:r>
        <w:t xml:space="preserve">—the strength of a powerful animal that has been tamed. It is the ability to remain calm and humble even when one has the power to be harsh.</w:t>
      </w:r>
    </w:p>
    <w:p>
      <w:pPr>
        <w:pStyle w:val="BodyText"/>
      </w:pPr>
      <w:r>
        <w:rPr>
          <w:bCs/>
          <w:b/>
        </w:rPr>
        <w:t xml:space="preserve">Passage 11: The Mastery of Impulse (v. 23c)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Self-Control: The Disciplined Will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Self-control (</w:t>
      </w:r>
      <w:r>
        <w:rPr>
          <w:iCs/>
          <w:i/>
        </w:rPr>
        <w:t xml:space="preserve">enkrateia</w:t>
      </w:r>
      <w:r>
        <w:t xml:space="preserve">) is the ability to govern one’s desires and passions. It is the final</w:t>
      </w:r>
      <w:r>
        <w:t xml:space="preserve"> </w:t>
      </w:r>
      <w:r>
        <w:t xml:space="preserve">“</w:t>
      </w:r>
      <w:r>
        <w:t xml:space="preserve">guardrail</w:t>
      </w:r>
      <w:r>
        <w:t xml:space="preserve">”</w:t>
      </w:r>
      <w:r>
        <w:t xml:space="preserve"> </w:t>
      </w:r>
      <w:r>
        <w:t xml:space="preserve">that ensures the other fruits are not compromised by impulsive behavior or uncontrolled emotion.</w:t>
      </w:r>
    </w:p>
    <w:p>
      <w:r>
        <w:pict>
          <v:rect style="width:0;height:1.5pt" o:hralign="center" o:hrstd="t" o:hr="t"/>
        </w:pict>
      </w:r>
    </w:p>
    <w:bookmarkEnd w:id="22"/>
    <w:bookmarkStart w:id="23" w:name="Xc5ebac80ec3d603f95327ec35e6f13928adc890"/>
    <w:p>
      <w:pPr>
        <w:pStyle w:val="Heading2"/>
      </w:pPr>
      <w:r>
        <w:t xml:space="preserve">Section IV: The Legal and Moral Conclusion (v. 23d)</w:t>
      </w:r>
    </w:p>
    <w:p>
      <w:pPr>
        <w:pStyle w:val="FirstParagraph"/>
      </w:pPr>
      <w:r>
        <w:rPr>
          <w:iCs/>
          <w:i/>
        </w:rPr>
        <w:t xml:space="preserve">Paul concludes by addressing the relationship between these virtues and the Law.</w:t>
      </w:r>
    </w:p>
    <w:p>
      <w:pPr>
        <w:pStyle w:val="BodyText"/>
      </w:pPr>
      <w:r>
        <w:rPr>
          <w:bCs/>
          <w:b/>
        </w:rPr>
        <w:t xml:space="preserve">Passage 12: The Transcendence of Grace (v. 23d)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Irreproachable Nature of the Spirit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Paul states,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Against such things there is no law.</w:t>
      </w:r>
      <w:r>
        <w:rPr>
          <w:iCs/>
          <w:i/>
        </w:rPr>
        <w:t xml:space="preserve">”</w:t>
      </w:r>
      <w:r>
        <w:t xml:space="preserve"> </w:t>
      </w:r>
      <w:r>
        <w:t xml:space="preserve">He argues that while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are forbidden by law, the</w:t>
      </w:r>
      <w:r>
        <w:t xml:space="preserve"> </w:t>
      </w:r>
      <w:r>
        <w:t xml:space="preserve">“</w:t>
      </w:r>
      <w:r>
        <w:t xml:space="preserve">fruit of the Spirit</w:t>
      </w:r>
      <w:r>
        <w:t xml:space="preserve">”</w:t>
      </w:r>
      <w:r>
        <w:t xml:space="preserve"> </w:t>
      </w:r>
      <w:r>
        <w:t xml:space="preserve">is so inherently good that no law—human or divine—could ever forbid them. Furthermore, the Spirit achieves what the Law could not: a heart that</w:t>
      </w:r>
      <w:r>
        <w:t xml:space="preserve"> </w:t>
      </w:r>
      <w:r>
        <w:rPr>
          <w:iCs/>
          <w:i/>
        </w:rPr>
        <w:t xml:space="preserve">wants</w:t>
      </w:r>
      <w:r>
        <w:t xml:space="preserve"> </w:t>
      </w:r>
      <w:r>
        <w:t xml:space="preserve">to do what is right.</w:t>
      </w:r>
    </w:p>
    <w:p>
      <w:r>
        <w:pict>
          <v:rect style="width:0;height:1.5pt" o:hralign="center" o:hrstd="t" o:hr="t"/>
        </w:pic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2026-04-05T17:57:33Z</dcterms:created>
  <dcterms:modified xsi:type="dcterms:W3CDTF">2026-04-05T17:57:33Z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