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TRIPOD+AI reporting checklist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Completed checklist for this study, following Collins et al. (2024, BMJ 385:e078378). This is a development study with internal validation only (repeated stratified cross-validation, single dataset); evaluation-only items are marked N/A with justification (grey). Use the official item wording from Collins et al. (2024) in the submitted version; the wording here is abbreviated. Page and line references correspond to the paginated manuscript with continuous line numbers (ML_DLD_ManusAugust2026_newVersion290826).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Checklist item (TRIPOD+AI, abbreviated)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Where addressed / status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Page/line</w:t>
            </w:r>
          </w:p>
        </w:tc>
      </w:tr>
      <w:tr>
        <w:tc>
          <w:tcPr>
            <w:gridSpan w:val="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Title &amp; Abstract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Title — identify as developing a multivariable prediction/classification model, target population, outcome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Title page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1, lines 1–2; p. 3, lines 44–49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Abstract — structured summary per TRIPOD+AI for Abstracts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Abstract (effect sizes only per JSLHR; describe discrimination qualitatively)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3, lines 42–65</w:t>
            </w:r>
          </w:p>
        </w:tc>
      </w:tr>
      <w:tr>
        <w:tc>
          <w:tcPr>
            <w:gridSpan w:val="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Introduction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Background; state the model is diagnostic; rationale; existing models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Introduction (¶1–2; ML positioning: Borovsky, Justice &amp; Ahn, Georgiou)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5–7, lines 69–124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Target population, intended use in the care pathway, intended users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Introduction / Discussion (screening in assessment-light systems; flag for full assessment)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5, lines 79–90; p. 26, lines 546–563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3c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Known health inequalities between sociodemographic groups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Introduction — variability in identification by municipality, school resources, family capacity; girls and multilingual children; Discussion (Limitations) notes multilingual exclusion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5–6, lines 90–96; p. 27, lines 570–574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Objectives; state development vs validation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Introduction (objectives: development with internal validation)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8, lines 136–145</w:t>
            </w:r>
          </w:p>
        </w:tc>
      </w:tr>
      <w:tr>
        <w:tc>
          <w:tcPr>
            <w:gridSpan w:val="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Methods — Data, participants, outcome, predictors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Data sources and rationale; representativeness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Participants &amp; Setting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8, lines 147–152; p. 13, lines 257–262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Accrual dates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 (Dec 2013–June 2014)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8, lines 156–157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Setting; number/location of centres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Participants &amp; Setting (multi-region recruitment; region confound noted)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8, lines 152–153; p. 18, line 350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Eligibility criteria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Participants and Setting (referral by municipal PPR SLTs for persistent language difficulties; exclusion criteria listed)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9, lines 160–177; p. 10, lines 186–194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6c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Treatments received and handling (if relevant)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Methods/HI section (HI amplification; unaided BEHL)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—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Data preparation; quality checks; applied equally across groups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Data Preparation (in-fold imputation/standardization, applied identically)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12–13, lines 248–255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8a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Outcome definition; how/when assessed; consistency across groups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Participants and Setting (DLD status assigned by municipal SLTs; reference standard is clinical judgement, not a research protocol — stated as a limitation)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10, lines 186–204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8b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If subjective outcome, assessor qualifications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Participants and Setting (certified speech-language therapists in municipal PPR services)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10, lines 187–190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8c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Blinding of outcome assessment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Participants and Setting — group membership known to assessors; blinding of outcome assessment not possible in this design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10, lines 199–204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9a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Initial predictors and any pre-selection before modelling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Predictors (one-score-per-task; exclusions) + Analytical (selection inside CV)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11–12, lines 206–245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9b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Define predictors; how/when measured; blinding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Predictors (assessors not blind to group; all tasks objectively scored, residual influence acknowledged)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11, lines 207–212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9c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If subjective predictors, assessor qualifications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Participants &amp; Setting (author + trained SLT students)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11, lines 208–211</w:t>
            </w:r>
          </w:p>
        </w:tc>
      </w:tr>
      <w:tr>
        <w:tc>
          <w:tcPr>
            <w:gridSpan w:val="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Methods — Sample size, missing data, analysis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Sample size and justification of sufficiency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Sample Size (fixed convenience sample; learning curve)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13–14, lines 256–271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Missing-data handling and reasons for omissions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Data Preparation (median in-fold; structural-missingness timing vars dropped)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12–13, lines 228–235, 248–255; p. 17–18, lines 351–354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12a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How data were used/partitioned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Analytical (repeated stratified 5-fold CV = internal validation)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14, lines 273–279; p. 15, lines 292–299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12b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Predictor handling (rescaling/standardization)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Analytical (standardized within folds)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14, lines 276–279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12c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Model type, rationale, ALL model-building steps incl. tuning, internal-validation method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Analytical (LASSO primary + RF robustness; nested-CV C; selection in-fold)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14, lines 280–291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12d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Heterogeneity across clusters (centres/regions)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Methods/Limitations (multi-region; not modelled — stated as limitation)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—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12e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Discrimination, calibration, clinical utility; model comparison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 + Results (AUC/balanced accuracy; calibration Fig 3; LASSO vs RF)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15, lines 297–310; Figures 2–3 (pp. 40–41)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12f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Model updating from evaluation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color w:val="777777"/>
                <w:sz w:val="18"/>
                <w:szCs w:val="18"/>
              </w:rPr>
              <w:t xml:space="preserve">N/A — development study; no external evaluation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—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12g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How predictions calculated for evaluation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color w:val="777777"/>
                <w:sz w:val="18"/>
                <w:szCs w:val="18"/>
              </w:rPr>
              <w:t xml:space="preserve">N/A — no external evaluation dataset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15, lines 304–310</w:t>
            </w:r>
          </w:p>
        </w:tc>
      </w:tr>
      <w:tr>
        <w:tc>
          <w:tcPr>
            <w:gridSpan w:val="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Methods — Imbalance, fairness, output, ethics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Class-imbalance handling and effect on calibration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Analytical (balanced accuracy + stratified CV; no resampling; calibration noted)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15, lines 300–303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Fairness approaches and rationale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Analytical Methods (exploratory check by sex and age band; formal subgroup estimation not supportable at n = 59 — only six girls in the DLD group); Discussion (Limitations)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15–16, lines 311–316; p. 27, lines 568–570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Model output (probabilities vs class) and threshold rationale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Analytical (probabilities; 0.5 default threshold; justified)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15, lines 304–308; p. 28, lines 592–594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Differences between development and evaluation data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color w:val="777777"/>
                <w:sz w:val="18"/>
                <w:szCs w:val="18"/>
              </w:rPr>
              <w:t xml:space="preserve">N/A — single dataset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—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17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Ethical approval and consent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Participants and Setting — no ethics-committee approval required under Danish law for non-biomedical research at a humanities faculty; notified to the Danish Data Protection Agency (journal no. 2013-41-2136); written parental informed consent; Declaration of Helsinki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8–9, lines 153–159</w:t>
            </w:r>
          </w:p>
        </w:tc>
      </w:tr>
      <w:tr>
        <w:tc>
          <w:tcPr>
            <w:gridSpan w:val="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Open science &amp; patient involvement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18a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Funding and role of funders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Acknowledgments — original data collection funded (funder masked for review); present secondary analysis received no specific grant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29, lines 612–614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18b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Conflicts of interest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Disclosed via the Editorial Manager submission portal per ASHA policy; none declared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Submission portal (ASHA policy)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18c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Protocol availability, or state none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Analytical Methods — retrospective secondary analysis; no study protocol was prepared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17, lines 338–339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18d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Registration, or state not registered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Methods: Analytical Methods — analysis was not pre-registered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17, lines 338–339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18e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Study-data availability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Data Availability Statement — data not available; consent obtained at collection does not permit onward sharing, and disclosure is restricted by Danish data protection law. Summary statistics reported in Tables 1 and 3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29, lines 616–619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18f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Analytical-code availability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Data Availability Statement — analysis code, pinned software environment with exact package versions, trained model (LASSO coefficients) and dated run log openly available at the repository DOI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29, lines 619–621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Patient/public involvement, or state none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Acknowledgments — children, families and clinicians were not involved in setting the research question, designing the study, or interpreting the results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29, lines 606–610</w:t>
            </w:r>
          </w:p>
        </w:tc>
      </w:tr>
      <w:tr>
        <w:tc>
          <w:tcPr>
            <w:gridSpan w:val="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Results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20a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Participant flow; numbers with/without outcome; diagram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Results: Sample Characteristics; Supplemental Material S1 (83 assessed, 8 excluded on eligibility grounds with reasons, 75 retained; n = 59 for the primary analysis)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9, lines 172–177; p. 17, lines 342–343; S1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20b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Characteristics; key predictors; demographics; missing-data amounts; group differences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Results: Sample Characteristics + Table 1 (demographics, nonverbal reasoning); Table 3 (predictor distributions by group); Methods: Data Preparation states missing values were no more than 8.5% on any retained measure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17–18, lines 341–354; Tables 1 and 3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20c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Compare evaluation vs development predictor distributions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color w:val="777777"/>
                <w:sz w:val="18"/>
                <w:szCs w:val="18"/>
              </w:rPr>
              <w:t xml:space="preserve">N/A — single dataset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—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Participants and outcome events per analysis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Results (n = 59 DLD-vs-control; group sizes as events)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14, line 274; p. 17, lines 343–345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Full model for predictions in new individuals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Results/Fig 4 (LASSO coefficients) + trained object in repo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19, lines 397–402; repository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23a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Performance with confidence/uncertainty intervals; key subgroups; plots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Results + Tables 4–5 (percentile intervals; ROC/confusion Fig 2); subgroup limits at n=59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18, lines 370–377; Table 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23b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Heterogeneity in performance across clusters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Limitations (multi-region; not formally modelled)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—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24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Results of model updating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color w:val="777777"/>
                <w:sz w:val="18"/>
                <w:szCs w:val="18"/>
              </w:rPr>
              <w:t xml:space="preserve">N/A — no evaluation/updating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—</w:t>
            </w:r>
          </w:p>
        </w:tc>
      </w:tr>
      <w:tr>
        <w:tc>
          <w:tcPr>
            <w:gridSpan w:val="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Discussion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25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Interpretation incl. fairness; vs objectives and prior work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Discussion (¶1–5; comparison with prior ML; fairness in Limitations)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23–26, lines 468–545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26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Limitations incl. non-representative sample, size, overfitting, missing data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Discussion: Limitations (consolidated)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27–28, lines 566–594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27a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How poor/unavailable input data are handled at implementation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Discussion: Toward scalable screening — the model requires complete predictor scores; a deployed screener should return no result rather than substitute imputed values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26, lines 552–556</w:t>
            </w:r>
          </w:p>
        </w:tc>
      </w:tr>
      <w:tr>
        <w:tc>
          <w:tcPr>
            <w:tcW w:type="pct" w:w="6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27b</w:t>
            </w:r>
          </w:p>
        </w:tc>
        <w:tc>
          <w:tcPr>
            <w:tcW w:type="pct" w:w="52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User interaction and expertise required</w:t>
            </w:r>
          </w:p>
        </w:tc>
        <w:tc>
          <w:tcPr>
            <w:tcW w:type="pct" w:w="34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Discussion: Toward scalable screening — intended users are speech-language therapists or trained assessors under supervision, not untrained staff or parents</w:t>
            </w:r>
          </w:p>
        </w:tc>
        <w:tc>
          <w:tcPr>
            <w:tcW w:type="pct" w:w="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line="23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  <w:r>
              <w:t xml:space="preserve">p. 26–27, lines 556–561</w:t>
            </w:r>
          </w:p>
        </w:tc>
      </w:tr>
    </w:tbl>
    <w:p>
      <w:pPr>
        <w:spacing w:before="16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Abstract sub-checklist: </w:t>
      </w:r>
      <w:r>
        <w:rPr>
          <w:rFonts w:ascii="Times New Roman" w:cs="Times New Roman" w:eastAsia="Times New Roman" w:hAnsi="Times New Roman"/>
          <w:i/>
          <w:iCs/>
          <w:color w:val="777777"/>
          <w:sz w:val="19"/>
          <w:szCs w:val="19"/>
        </w:rPr>
        <w:t xml:space="preserve">the TRIPOD+AI for Abstracts items (objective, data source, outcome, model type, performance, conclusions/limitations) are covered within the JSLHR structured abstract; note JSLHR permits effect sizes but not other statistics in the abstract, so discrimination is described qualitatively.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footnotes" Target="footnot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openxmlformats.org/officeDocument/2006/relationships/endnotes" Target="endnotes.xml"/><Relationship Id="rId9" Type="http://schemas.openxmlformats.org/officeDocument/2006/relationships/customXml" Target="../customXml/item2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79D4885BAE9F841B57ADB33D26FBF9E" ma:contentTypeVersion="10" ma:contentTypeDescription="Opret et nyt dokument." ma:contentTypeScope="" ma:versionID="ea12a6fbdaa80d0c92341453181a267b">
  <xsd:schema xmlns:xsd="http://www.w3.org/2001/XMLSchema" xmlns:xs="http://www.w3.org/2001/XMLSchema" xmlns:p="http://schemas.microsoft.com/office/2006/metadata/properties" xmlns:ns2="c921c6d3-e8a4-441f-a095-ed321e3bfde0" xmlns:ns3="6073ef41-3497-47f8-ab09-6e5f9d18caa7" targetNamespace="http://schemas.microsoft.com/office/2006/metadata/properties" ma:root="true" ma:fieldsID="b700c7040b9aa2f3ab206222f8336b2b" ns2:_="" ns3:_="">
    <xsd:import namespace="c921c6d3-e8a4-441f-a095-ed321e3bfde0"/>
    <xsd:import namespace="6073ef41-3497-47f8-ab09-6e5f9d18ca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21c6d3-e8a4-441f-a095-ed321e3bfd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ledmærker" ma:readOnly="false" ma:fieldId="{5cf76f15-5ced-4ddc-b409-7134ff3c332f}" ma:taxonomyMulti="true" ma:sspId="f9553f63-5966-4a09-978d-72b299aea1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73ef41-3497-47f8-ab09-6e5f9d18caa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724faa1-2aee-4a59-9b36-d3fb994ed0b1}" ma:internalName="TaxCatchAll" ma:showField="CatchAllData" ma:web="6073ef41-3497-47f8-ab09-6e5f9d18ca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921c6d3-e8a4-441f-a095-ed321e3bfde0">
      <Terms xmlns="http://schemas.microsoft.com/office/infopath/2007/PartnerControls"/>
    </lcf76f155ced4ddcb4097134ff3c332f>
    <TaxCatchAll xmlns="6073ef41-3497-47f8-ab09-6e5f9d18caa7" xsi:nil="true"/>
  </documentManagement>
</p:properties>
</file>

<file path=customXml/itemProps1.xml><?xml version="1.0" encoding="utf-8"?>
<ds:datastoreItem xmlns:ds="http://schemas.openxmlformats.org/officeDocument/2006/customXml" ds:itemID="{48DC5C3F-83B0-48F7-829A-73A4B6714445}"/>
</file>

<file path=customXml/itemProps2.xml><?xml version="1.0" encoding="utf-8"?>
<ds:datastoreItem xmlns:ds="http://schemas.openxmlformats.org/officeDocument/2006/customXml" ds:itemID="{EECF9258-478B-4561-8BE1-276BBB18B976}"/>
</file>

<file path=customXml/itemProps3.xml><?xml version="1.0" encoding="utf-8"?>
<ds:datastoreItem xmlns:ds="http://schemas.openxmlformats.org/officeDocument/2006/customXml" ds:itemID="{BB26642D-1443-4231-8F57-E8EE8357E0FB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2026-07-05T22:55:17Z</dcterms:created>
  <dcterms:modified xsi:type="dcterms:W3CDTF">2026-07-05T22:55:17Z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0x010100879D4885BAE9F841B57ADB33D26FBF9E</vt:lpwstr>
  </property>
  <property fmtid="{D5CDD505-2E9C-101B-9397-08002B2CF9AE}" pid="4" name="docLang">
    <vt:lpwstr>en</vt:lpwstr>
  </property>
  <property fmtid="{D5CDD505-2E9C-101B-9397-08002B2CF9AE}" pid="5" name="MediaServiceImageTags">
    <vt:lpwstr/>
  </property>
</Properties>
</file>