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Times New Roman" w:cs="Times New Roman" w:eastAsia="Times New Roman" w:hAnsi="Times New Roman"/>
          <w:b/>
          <w:bCs/>
          <w:sz w:val="28"/>
          <w:szCs w:val="28"/>
        </w:rPr>
        <w:t xml:space="preserve">TRIPOD+AI reporting checklist</w:t>
      </w:r>
    </w:p>
    <w:p>
      <w:pPr>
        <w:spacing w:after="80"/>
      </w:pPr>
      <w:r>
        <w:rPr>
          <w:rFonts w:ascii="Times New Roman" w:cs="Times New Roman" w:eastAsia="Times New Roman" w:hAnsi="Times New Roman"/>
          <w:sz w:val="18"/>
          <w:szCs w:val="18"/>
        </w:rPr>
        <w:t xml:space="preserve">Completed checklist for this study, following Collins et al. (2024, BMJ 385:e078378). This is a development study with internal validation only (repeated stratified cross-validation, single dataset); evaluation-only items are marked N/A with justification (grey). Page and line references correspond to the paginated manuscript with continuous line numbers (ML_DLD_ManusAugust2026_newVersion290826).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6%"/>
            <w:tcBorders>
              <w:top w:val="single" w:color="BBBBBB" w:sz="4"/>
              <w:left w:val="single" w:color="BBBBBB" w:sz="4"/>
              <w:bottom w:val="single" w:color="BBBBBB" w:sz="4"/>
              <w:right w:val="single" w:color="BBBBBB" w:sz="4"/>
            </w:tcBorders>
            <w:shd w:fill="1F4E79" w:val="clear"/>
            <w:tcMar>
              <w:top w:type="dxa" w:w="30"/>
              <w:left w:type="dxa" w:w="70"/>
              <w:bottom w:type="dxa" w:w="30"/>
              <w:right w:type="dxa" w:w="70"/>
            </w:tcMar>
          </w:tcPr>
          <w:p>
            <w:r>
              <w:rPr>
                <w:rFonts w:ascii="Times New Roman" w:cs="Times New Roman" w:eastAsia="Times New Roman" w:hAnsi="Times New Roman"/>
                <w:b/>
                <w:bCs/>
                <w:color w:val="FFFFFF"/>
                <w:sz w:val="18"/>
                <w:szCs w:val="18"/>
              </w:rPr>
              <w:t xml:space="preserve">#</w:t>
            </w:r>
          </w:p>
        </w:tc>
        <w:tc>
          <w:tcPr>
            <w:tcW w:type="pct" w:w="52%"/>
            <w:tcBorders>
              <w:top w:val="single" w:color="BBBBBB" w:sz="4"/>
              <w:left w:val="single" w:color="BBBBBB" w:sz="4"/>
              <w:bottom w:val="single" w:color="BBBBBB" w:sz="4"/>
              <w:right w:val="single" w:color="BBBBBB" w:sz="4"/>
            </w:tcBorders>
            <w:shd w:fill="1F4E79" w:val="clear"/>
            <w:tcMar>
              <w:top w:type="dxa" w:w="30"/>
              <w:left w:type="dxa" w:w="70"/>
              <w:bottom w:type="dxa" w:w="30"/>
              <w:right w:type="dxa" w:w="70"/>
            </w:tcMar>
          </w:tcPr>
          <w:p>
            <w:r>
              <w:rPr>
                <w:rFonts w:ascii="Times New Roman" w:cs="Times New Roman" w:eastAsia="Times New Roman" w:hAnsi="Times New Roman"/>
                <w:b/>
                <w:bCs/>
                <w:color w:val="FFFFFF"/>
                <w:sz w:val="18"/>
                <w:szCs w:val="18"/>
              </w:rPr>
              <w:t xml:space="preserve">Checklist item (TRIPOD+AI, abbreviated)</w:t>
            </w:r>
          </w:p>
        </w:tc>
        <w:tc>
          <w:tcPr>
            <w:tcW w:type="pct" w:w="34%"/>
            <w:tcBorders>
              <w:top w:val="single" w:color="BBBBBB" w:sz="4"/>
              <w:left w:val="single" w:color="BBBBBB" w:sz="4"/>
              <w:bottom w:val="single" w:color="BBBBBB" w:sz="4"/>
              <w:right w:val="single" w:color="BBBBBB" w:sz="4"/>
            </w:tcBorders>
            <w:shd w:fill="1F4E79" w:val="clear"/>
            <w:tcMar>
              <w:top w:type="dxa" w:w="30"/>
              <w:left w:type="dxa" w:w="70"/>
              <w:bottom w:type="dxa" w:w="30"/>
              <w:right w:type="dxa" w:w="70"/>
            </w:tcMar>
          </w:tcPr>
          <w:p>
            <w:r>
              <w:rPr>
                <w:rFonts w:ascii="Times New Roman" w:cs="Times New Roman" w:eastAsia="Times New Roman" w:hAnsi="Times New Roman"/>
                <w:b/>
                <w:bCs/>
                <w:color w:val="FFFFFF"/>
                <w:sz w:val="18"/>
                <w:szCs w:val="18"/>
              </w:rPr>
              <w:t xml:space="preserve">Where addressed / status</w:t>
            </w:r>
          </w:p>
        </w:tc>
        <w:tc>
          <w:tcPr>
            <w:tcW w:type="pct" w:w="8%"/>
            <w:tcBorders>
              <w:top w:val="single" w:color="BBBBBB" w:sz="4"/>
              <w:left w:val="single" w:color="BBBBBB" w:sz="4"/>
              <w:bottom w:val="single" w:color="BBBBBB" w:sz="4"/>
              <w:right w:val="single" w:color="BBBBBB" w:sz="4"/>
            </w:tcBorders>
            <w:shd w:fill="1F4E79" w:val="clear"/>
            <w:tcMar>
              <w:top w:type="dxa" w:w="30"/>
              <w:left w:type="dxa" w:w="70"/>
              <w:bottom w:type="dxa" w:w="30"/>
              <w:right w:type="dxa" w:w="70"/>
            </w:tcMar>
          </w:tcPr>
          <w:p>
            <w:r>
              <w:rPr>
                <w:rFonts w:ascii="Times New Roman" w:cs="Times New Roman" w:eastAsia="Times New Roman" w:hAnsi="Times New Roman"/>
                <w:b/>
                <w:bCs/>
                <w:color w:val="FFFFFF"/>
                <w:sz w:val="18"/>
                <w:szCs w:val="18"/>
              </w:rPr>
              <w:t xml:space="preserve">Page/line</w:t>
            </w:r>
          </w:p>
        </w:tc>
      </w:tr>
      <w:tr>
        <w:tc>
          <w:tcPr>
            <w:gridSpan w:val="4"/>
            <w:tcBorders>
              <w:top w:val="single" w:color="BBBBBB" w:sz="4"/>
              <w:left w:val="single" w:color="BBBBBB" w:sz="4"/>
              <w:bottom w:val="single" w:color="BBBBBB" w:sz="4"/>
              <w:right w:val="single" w:color="BBBBBB" w:sz="4"/>
            </w:tcBorders>
            <w:shd w:fill="DCE6F1" w:val="clear"/>
            <w:tcMar>
              <w:top w:type="dxa" w:w="30"/>
              <w:left w:type="dxa" w:w="70"/>
              <w:bottom w:type="dxa" w:w="30"/>
              <w:right w:type="dxa" w:w="70"/>
            </w:tcMar>
          </w:tcPr>
          <w:p>
            <w:r>
              <w:rPr>
                <w:rFonts w:ascii="Times New Roman" w:cs="Times New Roman" w:eastAsia="Times New Roman" w:hAnsi="Times New Roman"/>
                <w:b/>
                <w:bCs/>
                <w:sz w:val="18"/>
                <w:szCs w:val="18"/>
              </w:rPr>
              <w:t xml:space="preserve">Title &amp; Abstract</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Identify the study as developing or evaluating the performance of a multivariable prediction model, the target population, and the outcome to be predicted</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Title page</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 lines 1–2; p. 3, lines 44–49</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2</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See TRIPOD+AI for Abstracts checklist</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Abstract (effect sizes only per JSLHR; describe discrimination qualitatively)</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3, lines 42–65</w:t>
            </w:r>
          </w:p>
        </w:tc>
      </w:tr>
      <w:tr>
        <w:tc>
          <w:tcPr>
            <w:gridSpan w:val="4"/>
            <w:tcBorders>
              <w:top w:val="single" w:color="BBBBBB" w:sz="4"/>
              <w:left w:val="single" w:color="BBBBBB" w:sz="4"/>
              <w:bottom w:val="single" w:color="BBBBBB" w:sz="4"/>
              <w:right w:val="single" w:color="BBBBBB" w:sz="4"/>
            </w:tcBorders>
            <w:shd w:fill="DCE6F1" w:val="clear"/>
            <w:tcMar>
              <w:top w:type="dxa" w:w="30"/>
              <w:left w:type="dxa" w:w="70"/>
              <w:bottom w:type="dxa" w:w="30"/>
              <w:right w:type="dxa" w:w="70"/>
            </w:tcMar>
          </w:tcPr>
          <w:p>
            <w:r>
              <w:rPr>
                <w:rFonts w:ascii="Times New Roman" w:cs="Times New Roman" w:eastAsia="Times New Roman" w:hAnsi="Times New Roman"/>
                <w:b/>
                <w:bCs/>
                <w:sz w:val="18"/>
                <w:szCs w:val="18"/>
              </w:rPr>
              <w:t xml:space="preserve">Introduction</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3a</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Explain the healthcare context (including whether diagnostic or prognostic) and rationale for developing or evaluating the prediction model, including references to existing models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Introduction (¶1–2; ML positioning: Borovsky, Justice &amp; Ahn, Georgiou)</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5–7, lines 69–124</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3b</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Describe the target population and the intended purpose of the prediction model in the context of the care pathway, including its intended users (e.g., healthcare professionals, patients, public)</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Introduction / Discussion (screening in assessment-light systems; flag for full assessment)</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5, lines 79–90; p. 26, lines 546–563</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3c</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Describe any known health inequalities between sociodemographic groups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Introduction — variability in identification by municipality, school resources, family capacity; girls and multilingual children; Discussion (Limitations) notes multilingual exclusion</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5–6, lines 90–96; p. 27, lines 570–574</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4</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Specify the study objectives, including whether the study describes the development or validation of a prediction model (or both)</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Introduction (objectives: development with internal validation)</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8, lines 136–145</w:t>
            </w:r>
          </w:p>
        </w:tc>
      </w:tr>
      <w:tr>
        <w:tc>
          <w:tcPr>
            <w:gridSpan w:val="4"/>
            <w:tcBorders>
              <w:top w:val="single" w:color="BBBBBB" w:sz="4"/>
              <w:left w:val="single" w:color="BBBBBB" w:sz="4"/>
              <w:bottom w:val="single" w:color="BBBBBB" w:sz="4"/>
              <w:right w:val="single" w:color="BBBBBB" w:sz="4"/>
            </w:tcBorders>
            <w:shd w:fill="DCE6F1" w:val="clear"/>
            <w:tcMar>
              <w:top w:type="dxa" w:w="30"/>
              <w:left w:type="dxa" w:w="70"/>
              <w:bottom w:type="dxa" w:w="30"/>
              <w:right w:type="dxa" w:w="70"/>
            </w:tcMar>
          </w:tcPr>
          <w:p>
            <w:r>
              <w:rPr>
                <w:rFonts w:ascii="Times New Roman" w:cs="Times New Roman" w:eastAsia="Times New Roman" w:hAnsi="Times New Roman"/>
                <w:b/>
                <w:bCs/>
                <w:sz w:val="18"/>
                <w:szCs w:val="18"/>
              </w:rPr>
              <w:t xml:space="preserve">Methods — Data, participants, outcome, predictors</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5a</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Describe the sources of data separately for the development and evaluation datasets (e.g., randomised trial, cohort, routine care or registry data), the rationale for using these data, and representativeness of the data</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Participants &amp; Setting</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8, lines 147–152; p. 13, lines 257–262</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5b</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Specify the dates of the collected participant data, including start and end of participant accrual; and, if applicable, end of follow-up</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(Dec 2013–June 2014)</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8, lines 156–157</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6a</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Specify key elements of the study setting (e.g., primary care, secondary care, general population) including the number and location of centres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Participants &amp; Setting (multi-region recruitment; region confound noted)</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8, lines 152–153; p. 18, line 350</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6b</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Describe the eligibility criteria for study participants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Participants and Setting (referral by municipal PPR SLTs for persistent language difficulties; exclusion criteria listed)</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9, lines 160–177; p. 10, lines 186–194</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6c</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Give details of any treatments received, and how they were handled during model development or evaluation, if relevant</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Methods/HI section (HI amplification; unaided BEHL)</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7</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Describe any data pre-processing and quality checking, including whether this was similar across relevant sociodemographic groups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Data Preparation (in-fold imputation/standardization, applied identically)</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12–13, lines 248–255</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8a</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Clearly define the outcome that is being predicted and the time horizon, including how and when assessed, the rationale for choosing this outcome, and whether the method of outcome assessment is consistent across sociodemographic groups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Participants and Setting (DLD status assigned by municipal SLTs; reference standard is clinical judgement, not a research protocol — stated as a limitation)</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10, lines 186–204</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8b</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If outcome assessment requires subjective interpretation, describe the qualifications and demographic characteristics of the outcome assessors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Participants and Setting (certified speech-language therapists in municipal PPR services)</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10, lines 187–190</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8c</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Report any actions to blind assessment of the outcome to be predicted</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Participants and Setting — group membership known to assessors; blinding of outcome assessment not possible in this design</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10, lines 199–204</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9a</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Describe the choice of initial predictors (e.g., literature, previous models, all available predictors) and any pre-selection of predictors before model building</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Predictors (one-score-per-task; exclusions) + Analytical (selection inside CV)</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11–12, lines 206–245</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9b</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Clearly define all predictors, including how and when they were measured (and any actions to blind assessment of predictors for the outcome and other predictors)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Predictors (assessors not blind to group; all tasks objectively scored, residual influence acknowledged)</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11, lines 207–212</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9c</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If predictor measurement requires subjective interpretation, describe the qualifications and demographic characteristics of the predictor assessors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Participants &amp; Setting (author + trained SLT students)</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11, lines 208–211</w:t>
            </w:r>
          </w:p>
        </w:tc>
      </w:tr>
      <w:tr>
        <w:tc>
          <w:tcPr>
            <w:gridSpan w:val="4"/>
            <w:tcBorders>
              <w:top w:val="single" w:color="BBBBBB" w:sz="4"/>
              <w:left w:val="single" w:color="BBBBBB" w:sz="4"/>
              <w:bottom w:val="single" w:color="BBBBBB" w:sz="4"/>
              <w:right w:val="single" w:color="BBBBBB" w:sz="4"/>
            </w:tcBorders>
            <w:shd w:fill="DCE6F1" w:val="clear"/>
            <w:tcMar>
              <w:top w:type="dxa" w:w="30"/>
              <w:left w:type="dxa" w:w="70"/>
              <w:bottom w:type="dxa" w:w="30"/>
              <w:right w:type="dxa" w:w="70"/>
            </w:tcMar>
          </w:tcPr>
          <w:p>
            <w:r>
              <w:rPr>
                <w:rFonts w:ascii="Times New Roman" w:cs="Times New Roman" w:eastAsia="Times New Roman" w:hAnsi="Times New Roman"/>
                <w:b/>
                <w:bCs/>
                <w:sz w:val="18"/>
                <w:szCs w:val="18"/>
              </w:rPr>
              <w:t xml:space="preserve">Methods — Sample size, missing data, analysis</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10</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Explain how the study size was arrived at (separately for development and evaluation), and justify that the study size was sufficient to answer the research question. Include details of any sample size calculation</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Sample Size (fixed convenience sample; learning curve)</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13–14, lines 256–271</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11</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Describe how missing data were handled. Provide reasons for omitting any data</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Data Preparation (median in-fold; structural-missingness timing vars dropped)</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12–13, lines 228–235, 248–255; p. 17–18, lines 351–354</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12a</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Describe how the data were used (e.g., for development and evaluation of model performance) in the analysis, including whether the data were partitioned, considering any sample size requirements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Analytical (repeated stratified 5-fold CV = internal validation)</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14, lines 273–279; p. 15, lines 292–299</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12b</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Depending on the type of model, describe how predictors were handled in the analyses (functional form, rescaling, transformation, or any standardisation).</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Analytical (standardized within folds)</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14, lines 276–279</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12c</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Specify the type of model, rationale, all model-building steps, including any hyperparameter tuning, and method for internal validation</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Analytical (LASSO primary + RF robustness; nested-CV C; selection in-fold)</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14, lines 280–291</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12d</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Describe if and how any heterogeneity in estimates of model parameter values and model performance was handled and quantified across clusters (e.g., hospitals, countries). See TRIPOD-Cluster for additional considerations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Methods/Limitations (multi-region; not modelled — stated as limitation)</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12e</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Specify all measures and plots used (and their rationale) to evaluate model performance (e.g., discrimination, calibration, clinical utility) and, if relevant, to compare multiple models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 Results (AUC/balanced accuracy; calibration Fig 3; LASSO vs RF)</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15, lines 297–310; Figures 2–3 (pp. 40–41)</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12f</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Describe any model updating (e.g., recalibration) arising from the model evaluation, either overall or for particular sociodemographic groups or settings</w:t>
            </w:r>
          </w:p>
        </w:tc>
        <w:tc>
          <w:tcPr>
            <w:tcW w:type="pct" w:w="34%"/>
            <w:tcBorders>
              <w:top w:val="single" w:color="BBBBBB" w:sz="4"/>
              <w:left w:val="single" w:color="BBBBBB" w:sz="4"/>
              <w:bottom w:val="single" w:color="BBBBBB" w:sz="4"/>
              <w:right w:val="single" w:color="BBBBBB" w:sz="4"/>
            </w:tcBorders>
            <w:shd w:fill="F2F2F2" w:val="clear"/>
            <w:tcMar>
              <w:top w:type="dxa" w:w="30"/>
              <w:left w:type="dxa" w:w="70"/>
              <w:bottom w:type="dxa" w:w="30"/>
              <w:right w:type="dxa" w:w="70"/>
            </w:tcMar>
          </w:tcPr>
          <w:p>
            <w:pPr>
              <w:spacing w:line="230"/>
              <w:jc w:val="left"/>
            </w:pPr>
            <w:r>
              <w:rPr>
                <w:rFonts w:ascii="Times New Roman" w:cs="Times New Roman" w:eastAsia="Times New Roman" w:hAnsi="Times New Roman"/>
                <w:i/>
                <w:iCs/>
                <w:color w:val="777777"/>
                <w:sz w:val="18"/>
                <w:szCs w:val="18"/>
              </w:rPr>
              <w:t xml:space="preserve">N/A — development study; no external evaluation</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12g</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For model evaluation, describe how the model predictions were calculated (e.g., formula, code, object, application programming interface)</w:t>
            </w:r>
          </w:p>
        </w:tc>
        <w:tc>
          <w:tcPr>
            <w:tcW w:type="pct" w:w="34%"/>
            <w:tcBorders>
              <w:top w:val="single" w:color="BBBBBB" w:sz="4"/>
              <w:left w:val="single" w:color="BBBBBB" w:sz="4"/>
              <w:bottom w:val="single" w:color="BBBBBB" w:sz="4"/>
              <w:right w:val="single" w:color="BBBBBB" w:sz="4"/>
            </w:tcBorders>
            <w:shd w:fill="F2F2F2" w:val="clear"/>
            <w:tcMar>
              <w:top w:type="dxa" w:w="30"/>
              <w:left w:type="dxa" w:w="70"/>
              <w:bottom w:type="dxa" w:w="30"/>
              <w:right w:type="dxa" w:w="70"/>
            </w:tcMar>
          </w:tcPr>
          <w:p>
            <w:pPr>
              <w:spacing w:line="230"/>
              <w:jc w:val="left"/>
            </w:pPr>
            <w:r>
              <w:rPr>
                <w:rFonts w:ascii="Times New Roman" w:cs="Times New Roman" w:eastAsia="Times New Roman" w:hAnsi="Times New Roman"/>
                <w:i/>
                <w:iCs/>
                <w:color w:val="777777"/>
                <w:sz w:val="18"/>
                <w:szCs w:val="18"/>
              </w:rPr>
              <w:t xml:space="preserve">N/A — no external evaluation dataset</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15, lines 304–310</w:t>
            </w:r>
          </w:p>
        </w:tc>
      </w:tr>
      <w:tr>
        <w:tc>
          <w:tcPr>
            <w:gridSpan w:val="4"/>
            <w:tcBorders>
              <w:top w:val="single" w:color="BBBBBB" w:sz="4"/>
              <w:left w:val="single" w:color="BBBBBB" w:sz="4"/>
              <w:bottom w:val="single" w:color="BBBBBB" w:sz="4"/>
              <w:right w:val="single" w:color="BBBBBB" w:sz="4"/>
            </w:tcBorders>
            <w:shd w:fill="DCE6F1" w:val="clear"/>
            <w:tcMar>
              <w:top w:type="dxa" w:w="30"/>
              <w:left w:type="dxa" w:w="70"/>
              <w:bottom w:type="dxa" w:w="30"/>
              <w:right w:type="dxa" w:w="70"/>
            </w:tcMar>
          </w:tcPr>
          <w:p>
            <w:r>
              <w:rPr>
                <w:rFonts w:ascii="Times New Roman" w:cs="Times New Roman" w:eastAsia="Times New Roman" w:hAnsi="Times New Roman"/>
                <w:b/>
                <w:bCs/>
                <w:sz w:val="18"/>
                <w:szCs w:val="18"/>
              </w:rPr>
              <w:t xml:space="preserve">Methods — Imbalance, fairness, output, ethics</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13</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If class imbalance methods were used, state why and how this was done, and any subsequent methods to recalibrate the model or the model predictions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Analytical (balanced accuracy + stratified CV; no resampling; calibration noted)</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15, lines 300–303</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14</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Describe any approaches that were used to address model fairness and their rationale</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Analytical Methods (exploratory check by sex and age band; formal subgroup estimation not supportable at n = 59 — only six girls in the DLD group); Discussion (Limitations)</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15–16, lines 311–316; p. 27, lines 568–570</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15</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Specify the output of the prediction model (e.g., probabilities, classification). Provide details and rationale for any classification and how the thresholds were identified</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Analytical (probabilities; 0.5 default threshold; justified)</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15, lines 304–308; p. 28, lines 592–594</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16</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Identify any differences between the development and evaluation data in healthcare setting, eligibility criteria, outcome, and predictors</w:t>
            </w:r>
          </w:p>
        </w:tc>
        <w:tc>
          <w:tcPr>
            <w:tcW w:type="pct" w:w="34%"/>
            <w:tcBorders>
              <w:top w:val="single" w:color="BBBBBB" w:sz="4"/>
              <w:left w:val="single" w:color="BBBBBB" w:sz="4"/>
              <w:bottom w:val="single" w:color="BBBBBB" w:sz="4"/>
              <w:right w:val="single" w:color="BBBBBB" w:sz="4"/>
            </w:tcBorders>
            <w:shd w:fill="F2F2F2" w:val="clear"/>
            <w:tcMar>
              <w:top w:type="dxa" w:w="30"/>
              <w:left w:type="dxa" w:w="70"/>
              <w:bottom w:type="dxa" w:w="30"/>
              <w:right w:type="dxa" w:w="70"/>
            </w:tcMar>
          </w:tcPr>
          <w:p>
            <w:pPr>
              <w:spacing w:line="230"/>
              <w:jc w:val="left"/>
            </w:pPr>
            <w:r>
              <w:rPr>
                <w:rFonts w:ascii="Times New Roman" w:cs="Times New Roman" w:eastAsia="Times New Roman" w:hAnsi="Times New Roman"/>
                <w:i/>
                <w:iCs/>
                <w:color w:val="777777"/>
                <w:sz w:val="18"/>
                <w:szCs w:val="18"/>
              </w:rPr>
              <w:t xml:space="preserve">N/A — single dataset</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17</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Name the institutional research board or ethics committee that approved the study and describe the participant-informed consent or the ethics committee waiver of informed consent</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Participants and Setting — no ethics-committee approval required under Danish law for non-biomedical research at a humanities faculty; notified to the Danish Data Protection Agency (journal no. 2013-41-2136); written parental informed consent; Declaration of Helsinki</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8–9, lines 153–159</w:t>
            </w:r>
          </w:p>
        </w:tc>
      </w:tr>
      <w:tr>
        <w:tc>
          <w:tcPr>
            <w:gridSpan w:val="4"/>
            <w:tcBorders>
              <w:top w:val="single" w:color="BBBBBB" w:sz="4"/>
              <w:left w:val="single" w:color="BBBBBB" w:sz="4"/>
              <w:bottom w:val="single" w:color="BBBBBB" w:sz="4"/>
              <w:right w:val="single" w:color="BBBBBB" w:sz="4"/>
            </w:tcBorders>
            <w:shd w:fill="DCE6F1" w:val="clear"/>
            <w:tcMar>
              <w:top w:type="dxa" w:w="30"/>
              <w:left w:type="dxa" w:w="70"/>
              <w:bottom w:type="dxa" w:w="30"/>
              <w:right w:type="dxa" w:w="70"/>
            </w:tcMar>
          </w:tcPr>
          <w:p>
            <w:r>
              <w:rPr>
                <w:rFonts w:ascii="Times New Roman" w:cs="Times New Roman" w:eastAsia="Times New Roman" w:hAnsi="Times New Roman"/>
                <w:b/>
                <w:bCs/>
                <w:sz w:val="18"/>
                <w:szCs w:val="18"/>
              </w:rPr>
              <w:t xml:space="preserve">Open science &amp; patient involvement</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18a</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Give the source of funding and the role of the funders for the present study</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Acknowledgments — original data collection funded (funder masked for review); present secondary analysis received no specific grant</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29, lines 612–614</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18b</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Declare any conflicts of interest and financial disclosures for all authors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Disclosed via the Editorial Manager submission portal per ASHA policy; none declared</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Submission portal (ASHA policy)</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18c</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Indicate where the study protocol can be accessed or state that a protocol was not prepared</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Analytical Methods — retrospective secondary analysis; no study protocol was prepared</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17, lines 338–339</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18d</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Provide registration information for the study, including register name and registration number, or state that the study was not registered</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Methods: Analytical Methods — analysis was not pre-registered</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17, lines 338–339</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18e</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Provide details of the availability of the study data</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Data Availability Statement — data not available; consent obtained at collection does not permit onward sharing, and disclosure is restricted by Danish data protection law. Summary statistics reported in Tables 1 and 3</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29, lines 616–619</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18f</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Provide details of the availability of the analytical code</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Data Availability Statement — analysis code, pinned software environment with exact package versions, trained model (LASSO coefficients) and dated run log openly available at the repository DOI</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29, lines 619–621</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19</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Provide details of any patient and public involvement during the design, conduct, reporting, interpretation, or dissemination of the study or state no involvement.</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Acknowledgments — children, families and clinicians were not involved in setting the research question, designing the study, or interpreting the results</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29, lines 606–610</w:t>
            </w:r>
          </w:p>
        </w:tc>
      </w:tr>
      <w:tr>
        <w:tc>
          <w:tcPr>
            <w:gridSpan w:val="4"/>
            <w:tcBorders>
              <w:top w:val="single" w:color="BBBBBB" w:sz="4"/>
              <w:left w:val="single" w:color="BBBBBB" w:sz="4"/>
              <w:bottom w:val="single" w:color="BBBBBB" w:sz="4"/>
              <w:right w:val="single" w:color="BBBBBB" w:sz="4"/>
            </w:tcBorders>
            <w:shd w:fill="DCE6F1" w:val="clear"/>
            <w:tcMar>
              <w:top w:type="dxa" w:w="30"/>
              <w:left w:type="dxa" w:w="70"/>
              <w:bottom w:type="dxa" w:w="30"/>
              <w:right w:type="dxa" w:w="70"/>
            </w:tcMar>
          </w:tcPr>
          <w:p>
            <w:r>
              <w:rPr>
                <w:rFonts w:ascii="Times New Roman" w:cs="Times New Roman" w:eastAsia="Times New Roman" w:hAnsi="Times New Roman"/>
                <w:b/>
                <w:bCs/>
                <w:sz w:val="18"/>
                <w:szCs w:val="18"/>
              </w:rPr>
              <w:t xml:space="preserve">Results</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20a</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Describe the flow of participants through the study, including the number of participants with and without the outcome and, if applicable, a summary of the follow-up time. A diagram may be helpful.</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Results: Sample Characteristics; Supplemental Material S1 (83 assessed, 8 excluded on eligibility grounds with reasons, 75 retained; n = 59 for the primary analysis)</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9, lines 172–177; p. 17, lines 342–343; S1</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20b</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Report the characteristics overall and, where applicable, for each data source or setting, including the key dates, key predictors (including demographics), treatments received, sample size, number of outcome events, follow-up time, and amount of missing data. A table may be helpful. Report any differences across key demographic groups.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Results: Sample Characteristics + Table 1 (demographics, nonverbal reasoning); Table 3 (predictor distributions by group); Methods: Data Preparation states missing values were no more than 8.5% on any retained measure</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17–18, lines 341–354; Tables 1 and 3</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20c</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For model evaluation, show a comparison with the development data of the distribution of important predictors (demographics, predictors, and outcome).</w:t>
            </w:r>
          </w:p>
        </w:tc>
        <w:tc>
          <w:tcPr>
            <w:tcW w:type="pct" w:w="34%"/>
            <w:tcBorders>
              <w:top w:val="single" w:color="BBBBBB" w:sz="4"/>
              <w:left w:val="single" w:color="BBBBBB" w:sz="4"/>
              <w:bottom w:val="single" w:color="BBBBBB" w:sz="4"/>
              <w:right w:val="single" w:color="BBBBBB" w:sz="4"/>
            </w:tcBorders>
            <w:shd w:fill="F2F2F2" w:val="clear"/>
            <w:tcMar>
              <w:top w:type="dxa" w:w="30"/>
              <w:left w:type="dxa" w:w="70"/>
              <w:bottom w:type="dxa" w:w="30"/>
              <w:right w:type="dxa" w:w="70"/>
            </w:tcMar>
          </w:tcPr>
          <w:p>
            <w:pPr>
              <w:spacing w:line="230"/>
              <w:jc w:val="left"/>
            </w:pPr>
            <w:r>
              <w:rPr>
                <w:rFonts w:ascii="Times New Roman" w:cs="Times New Roman" w:eastAsia="Times New Roman" w:hAnsi="Times New Roman"/>
                <w:i/>
                <w:iCs/>
                <w:color w:val="777777"/>
                <w:sz w:val="18"/>
                <w:szCs w:val="18"/>
              </w:rPr>
              <w:t xml:space="preserve">N/A — single dataset</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21</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Specify the number of participants and outcome events in each analysis (e.g., for model development, hyperparameter tuning, model evaluation)</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Results (n = 59 DLD-vs-control; group sizes as events)</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14, line 274; p. 17, lines 343–345</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22</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Provide details of the full prediction model (e.g., formula, code, object, application programming interface) to allow predictions in new individuals and to enable third-party evaluation and implementation, including any restrictions to access or re-use (e.g., freely available, proprietary)</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Results/Fig 4 (LASSO coefficients) + trained object in repo</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19, lines 397–402; repository</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23a</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Report model performance estimates with confidence intervals, including for any key subgroups (e.g., sociodemographic). Consider plots to aid presentation.</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Results + Tables 4–5 (percentile intervals; ROC/confusion Fig 2); subgroup limits at n=59</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18, lines 370–377; Table 4</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23b</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If examined, report results of any heterogeneity in model performance across clusters. See TRIPOD Cluster for additional details.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Limitations (multi-region; not formally modelled)</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24</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Report the results from any model updating, including the updated model and subsequent performance</w:t>
            </w:r>
          </w:p>
        </w:tc>
        <w:tc>
          <w:tcPr>
            <w:tcW w:type="pct" w:w="34%"/>
            <w:tcBorders>
              <w:top w:val="single" w:color="BBBBBB" w:sz="4"/>
              <w:left w:val="single" w:color="BBBBBB" w:sz="4"/>
              <w:bottom w:val="single" w:color="BBBBBB" w:sz="4"/>
              <w:right w:val="single" w:color="BBBBBB" w:sz="4"/>
            </w:tcBorders>
            <w:shd w:fill="F2F2F2" w:val="clear"/>
            <w:tcMar>
              <w:top w:type="dxa" w:w="30"/>
              <w:left w:type="dxa" w:w="70"/>
              <w:bottom w:type="dxa" w:w="30"/>
              <w:right w:type="dxa" w:w="70"/>
            </w:tcMar>
          </w:tcPr>
          <w:p>
            <w:pPr>
              <w:spacing w:line="230"/>
              <w:jc w:val="left"/>
            </w:pPr>
            <w:r>
              <w:rPr>
                <w:rFonts w:ascii="Times New Roman" w:cs="Times New Roman" w:eastAsia="Times New Roman" w:hAnsi="Times New Roman"/>
                <w:i/>
                <w:iCs/>
                <w:color w:val="777777"/>
                <w:sz w:val="18"/>
                <w:szCs w:val="18"/>
              </w:rPr>
              <w:t xml:space="preserve">N/A — no evaluation/updating</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w:t>
            </w:r>
          </w:p>
        </w:tc>
      </w:tr>
      <w:tr>
        <w:tc>
          <w:tcPr>
            <w:gridSpan w:val="4"/>
            <w:tcBorders>
              <w:top w:val="single" w:color="BBBBBB" w:sz="4"/>
              <w:left w:val="single" w:color="BBBBBB" w:sz="4"/>
              <w:bottom w:val="single" w:color="BBBBBB" w:sz="4"/>
              <w:right w:val="single" w:color="BBBBBB" w:sz="4"/>
            </w:tcBorders>
            <w:shd w:fill="DCE6F1" w:val="clear"/>
            <w:tcMar>
              <w:top w:type="dxa" w:w="30"/>
              <w:left w:type="dxa" w:w="70"/>
              <w:bottom w:type="dxa" w:w="30"/>
              <w:right w:type="dxa" w:w="70"/>
            </w:tcMar>
          </w:tcPr>
          <w:p>
            <w:r>
              <w:rPr>
                <w:rFonts w:ascii="Times New Roman" w:cs="Times New Roman" w:eastAsia="Times New Roman" w:hAnsi="Times New Roman"/>
                <w:b/>
                <w:bCs/>
                <w:sz w:val="18"/>
                <w:szCs w:val="18"/>
              </w:rPr>
              <w:t xml:space="preserve">Discussion</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25</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Give an overall interpretation of the main results, including issues of fairness in the context of the objectives and previous studies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Discussion (¶1–5; comparison with prior ML; fairness in Limitations)</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23–26, lines 468–545</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26</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Discuss any limitations of the study (such as a non-representative sample, sample size, overfitting, missing data) and their effects on any biases, statistical uncertainty, and generalizability</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Discussion: Limitations (consolidated)</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27–28, lines 566–594</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27a</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Describe how poor quality or unavailable input data (e.g., predictor values) should be assessed and handled when implementing the prediction model</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Discussion: Toward scalable screening — the model requires complete predictor scores; a deployed screener should return no result rather than substitute imputed values</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26, lines 552–556</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27b</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Specify whether users will be required to interact in the handling of the input data or use of the model, and what level of expertise is required of users</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Discussion: Toward scalable screening — intended users are speech-language therapists or trained assessors under supervision, not untrained staff or parents</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
            </w:r>
            <w:r>
              <w:t xml:space="preserve">p. 26–27, lines 556–561</w:t>
            </w:r>
          </w:p>
        </w:tc>
      </w:tr>
      <w:tr>
        <w:tc>
          <w:tcPr>
            <w:tcW w:type="pct" w:w="6%"/>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center"/>
            </w:pPr>
            <w:r>
              <w:rPr>
                <w:rFonts w:ascii="Times New Roman" w:cs="Times New Roman" w:eastAsia="Times New Roman" w:hAnsi="Times New Roman"/>
                <w:b/>
                <w:bCs/>
                <w:sz w:val="18"/>
                <w:szCs w:val="18"/>
              </w:rPr>
              <w:t xml:space="preserve">27c</w:t>
            </w:r>
          </w:p>
        </w:tc>
        <w:tc>
          <w:tcPr>
            <w:tcW w:type="pct" w:w="52%"/>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Discuss any next steps for future research, with a specific view to applicability and generalizability of the model</w:t>
            </w:r>
          </w:p>
        </w:tc>
        <w:tc>
          <w:tcPr>
            <w:tcW w:type="pct" w:w="34%"/>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Discussion: Toward scalable screening (digital or partially automated delivery); Limitations (external validation in larger, more representative cohorts; separate development required for multilingual children); Conclusion</w:t>
            </w:r>
          </w:p>
        </w:tc>
        <w:tc>
          <w:tcPr>
            <w:tcW w:type="pct" w:w="8%"/>
            <w:tcBorders>
              <w:top w:val="single" w:color="BBBBBB" w:sz="4"/>
              <w:left w:val="single" w:color="BBBBBB" w:sz="4"/>
              <w:bottom w:val="single" w:color="BBBBBB" w:sz="4"/>
              <w:right w:val="single" w:color="BBBBBB" w:sz="4"/>
            </w:tcBorders>
            <w:tcMar>
              <w:top w:type="dxa" w:w="30"/>
              <w:left w:type="dxa" w:w="70"/>
              <w:bottom w:type="dxa" w:w="30"/>
              <w:right w:type="dxa" w:w="70"/>
            </w:tcMar>
          </w:tcPr>
          <w:p>
            <w:pPr>
              <w:spacing w:line="230"/>
              <w:jc w:val="left"/>
            </w:pPr>
            <w:r>
              <w:rPr>
                <w:rFonts w:ascii="Times New Roman" w:cs="Times New Roman" w:eastAsia="Times New Roman" w:hAnsi="Times New Roman"/>
                <w:sz w:val="18"/>
                <w:szCs w:val="18"/>
              </w:rPr>
              <w:t xml:space="preserve">p. 26–27, lines 561–563; p. 27, lines 570–574; p. 28–29, lines 592–594, 602–604</w:t>
            </w:r>
          </w:p>
        </w:tc>
      </w:tr>
    </w:tbl>
    <w:p>
      <w:pPr>
        <w:spacing w:before="160"/>
      </w:pPr>
      <w:r>
        <w:rPr>
          <w:rFonts w:ascii="Times New Roman" w:cs="Times New Roman" w:eastAsia="Times New Roman" w:hAnsi="Times New Roman"/>
          <w:i/>
          <w:iCs/>
          <w:sz w:val="19"/>
          <w:szCs w:val="19"/>
        </w:rPr>
        <w:t xml:space="preserve">Abstract sub-checklist: </w:t>
      </w:r>
      <w:r>
        <w:rPr>
          <w:rFonts w:ascii="Times New Roman" w:cs="Times New Roman" w:eastAsia="Times New Roman" w:hAnsi="Times New Roman"/>
          <w:i/>
          <w:iCs/>
          <w:color w:val="777777"/>
          <w:sz w:val="19"/>
          <w:szCs w:val="19"/>
        </w:rPr>
        <w:t xml:space="preserve">the TRIPOD+AI for Abstracts items (objective, data source, outcome, model type, performance, conclusions/limitations) are covered within the JSLHR structured abstract; note JSLHR permits effect sizes but not other statistics in the abstract, so discrimination is described qualitatively.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879D4885BAE9F841B57ADB33D26FBF9E" ma:contentTypeVersion="10" ma:contentTypeDescription="Opret et nyt dokument." ma:contentTypeScope="" ma:versionID="ea12a6fbdaa80d0c92341453181a267b">
  <xsd:schema xmlns:xsd="http://www.w3.org/2001/XMLSchema" xmlns:xs="http://www.w3.org/2001/XMLSchema" xmlns:p="http://schemas.microsoft.com/office/2006/metadata/properties" xmlns:ns2="c921c6d3-e8a4-441f-a095-ed321e3bfde0" xmlns:ns3="6073ef41-3497-47f8-ab09-6e5f9d18caa7" targetNamespace="http://schemas.microsoft.com/office/2006/metadata/properties" ma:root="true" ma:fieldsID="b700c7040b9aa2f3ab206222f8336b2b" ns2:_="" ns3:_="">
    <xsd:import namespace="c921c6d3-e8a4-441f-a095-ed321e3bfde0"/>
    <xsd:import namespace="6073ef41-3497-47f8-ab09-6e5f9d18ca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21c6d3-e8a4-441f-a095-ed321e3bfde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73ef41-3497-47f8-ab09-6e5f9d18caa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724faa1-2aee-4a59-9b36-d3fb994ed0b1}" ma:internalName="TaxCatchAll" ma:showField="CatchAllData" ma:web="6073ef41-3497-47f8-ab09-6e5f9d18caa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921c6d3-e8a4-441f-a095-ed321e3bfde0">
      <Terms xmlns="http://schemas.microsoft.com/office/infopath/2007/PartnerControls"/>
    </lcf76f155ced4ddcb4097134ff3c332f>
    <TaxCatchAll xmlns="6073ef41-3497-47f8-ab09-6e5f9d18caa7" xsi:nil="true"/>
  </documentManagement>
</p:properties>
</file>

<file path=customXml/itemProps1.xml><?xml version="1.0" encoding="utf-8"?>
<ds:datastoreItem xmlns:ds="http://schemas.openxmlformats.org/officeDocument/2006/customXml" ds:itemID="{48DC5C3F-83B0-48F7-829A-73A4B6714445}"/>
</file>

<file path=customXml/itemProps2.xml><?xml version="1.0" encoding="utf-8"?>
<ds:datastoreItem xmlns:ds="http://schemas.openxmlformats.org/officeDocument/2006/customXml" ds:itemID="{EECF9258-478B-4561-8BE1-276BBB18B976}"/>
</file>

<file path=customXml/itemProps3.xml><?xml version="1.0" encoding="utf-8"?>
<ds:datastoreItem xmlns:ds="http://schemas.openxmlformats.org/officeDocument/2006/customXml" ds:itemID="{BB26642D-1443-4231-8F57-E8EE8357E0FB}"/>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2026-07-05T22:55:17Z</dcterms:created>
  <dcterms:modified xsi:type="dcterms:W3CDTF">2026-07-05T22:55:17Z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0x010100879D4885BAE9F841B57ADB33D26FBF9E</vt:lpwstr>
  </property>
  <property fmtid="{D5CDD505-2E9C-101B-9397-08002B2CF9AE}" pid="4" name="docLang">
    <vt:lpwstr>en</vt:lpwstr>
  </property>
  <property fmtid="{D5CDD505-2E9C-101B-9397-08002B2CF9AE}" pid="5" name="MediaServiceImageTags">
    <vt:lpwstr/>
  </property>
</Properties>
</file>