
<file path=[Content_Types].xml><?xml version="1.0" encoding="utf-8"?>
<Types xmlns="http://schemas.openxmlformats.org/package/2006/content-types">
  <Default Extension="bmp" ContentType="image/bmp"/>
  <Default Extension="gif" ContentType="image/gif"/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TRIPOD+AI reporting checklist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18"/>
          <w:szCs w:val="18"/>
        </w:rPr>
        <w:t xml:space="preserve">Completed checklist for this study, following Collins et al. (2024, BMJ 385:e078378). This is a development study with internal validation only (repeated stratified cross-validation, single dataset); evaluation-only items are marked N/A with justification (grey). Use the official item wording from Collins et al. (2024) in the submitted version; the wording here is abbreviated. Add page/line references in the final column once the manuscript is paginated with continuous line numbers.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6%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pct" w:w="52%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Checklist item (TRIPOD+AI, abbreviated)</w:t>
            </w:r>
          </w:p>
        </w:tc>
        <w:tc>
          <w:tcPr>
            <w:tcW w:type="pct" w:w="34%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Where addressed / status</w:t>
            </w:r>
          </w:p>
        </w:tc>
        <w:tc>
          <w:tcPr>
            <w:tcW w:type="pct" w:w="8%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Page/line</w:t>
            </w:r>
          </w:p>
        </w:tc>
      </w:tr>
      <w:tr>
        <w:tc>
          <w:tcPr>
            <w:gridSpan w:val="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E6F1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Title &amp; Abstract</w:t>
            </w:r>
          </w:p>
        </w:tc>
      </w:tr>
      <w:tr>
        <w:tc>
          <w:tcPr>
            <w:tcW w:type="pct" w:w="6%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pct" w:w="52%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3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Title — identify as developing a multivariable prediction/classification model, target population, outcome</w:t>
            </w:r>
          </w:p>
        </w:tc>
        <w:tc>
          <w:tcPr>
            <w:tcW w:type="pct" w:w="34%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3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Title page</w:t>
            </w:r>
          </w:p>
        </w:tc>
        <w:tc>
          <w:tcPr>
            <w:tcW w:type="pct" w:w="8%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3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6%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pct" w:w="52%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3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Abstract — structured summary per TRIPOD+AI for Abstracts</w:t>
            </w:r>
          </w:p>
        </w:tc>
        <w:tc>
          <w:tcPr>
            <w:tcW w:type="pct" w:w="34%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3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Abstract (effect sizes only per JSLHR; describe discrimination qualitatively)</w:t>
            </w:r>
          </w:p>
        </w:tc>
        <w:tc>
          <w:tcPr>
            <w:tcW w:type="pct" w:w="8%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3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gridSpan w:val="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E6F1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Introduction</w:t>
            </w:r>
          </w:p>
        </w:tc>
      </w:tr>
      <w:tr>
        <w:tc>
          <w:tcPr>
            <w:tcW w:type="pct" w:w="6%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3a</w:t>
            </w:r>
          </w:p>
        </w:tc>
        <w:tc>
          <w:tcPr>
            <w:tcW w:type="pct" w:w="52%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3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Background; state the model is diagnostic; rationale; existing models</w:t>
            </w:r>
          </w:p>
        </w:tc>
        <w:tc>
          <w:tcPr>
            <w:tcW w:type="pct" w:w="34%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3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Introduction (¶1–2; ML positioning: Borovsky, Justice &amp; Ahn, Georgiou)</w:t>
            </w:r>
          </w:p>
        </w:tc>
        <w:tc>
          <w:tcPr>
            <w:tcW w:type="pct" w:w="8%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3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6%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3b</w:t>
            </w:r>
          </w:p>
        </w:tc>
        <w:tc>
          <w:tcPr>
            <w:tcW w:type="pct" w:w="52%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3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Target population, intended use in the care pathway, intended users</w:t>
            </w:r>
          </w:p>
        </w:tc>
        <w:tc>
          <w:tcPr>
            <w:tcW w:type="pct" w:w="34%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3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Introduction / Discussion (screening in assessment-light systems; flag for full assessment)</w:t>
            </w:r>
          </w:p>
        </w:tc>
        <w:tc>
          <w:tcPr>
            <w:tcW w:type="pct" w:w="8%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3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6%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3c</w:t>
            </w:r>
          </w:p>
        </w:tc>
        <w:tc>
          <w:tcPr>
            <w:tcW w:type="pct" w:w="52%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3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Known health inequalities between sociodemographic groups</w:t>
            </w:r>
          </w:p>
        </w:tc>
        <w:tc>
          <w:tcPr>
            <w:tcW w:type="pct" w:w="34%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3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Introduction — variability in identification by municipality, school resources, family capacity; girls and multilingual children; Discussion (Limitations) notes multilingual exclusion</w:t>
            </w:r>
          </w:p>
        </w:tc>
        <w:tc>
          <w:tcPr>
            <w:tcW w:type="pct" w:w="8%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3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6%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pct" w:w="52%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3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Objectives; state development vs validation</w:t>
            </w:r>
          </w:p>
        </w:tc>
        <w:tc>
          <w:tcPr>
            <w:tcW w:type="pct" w:w="34%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3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Introduction (objectives: development with internal validation)</w:t>
            </w:r>
          </w:p>
        </w:tc>
        <w:tc>
          <w:tcPr>
            <w:tcW w:type="pct" w:w="8%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3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gridSpan w:val="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E6F1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Methods — Data, participants, outcome, predictors</w:t>
            </w:r>
          </w:p>
        </w:tc>
      </w:tr>
      <w:tr>
        <w:tc>
          <w:tcPr>
            <w:tcW w:type="pct" w:w="6%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5a</w:t>
            </w:r>
          </w:p>
        </w:tc>
        <w:tc>
          <w:tcPr>
            <w:tcW w:type="pct" w:w="52%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3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Data sources and rationale; representativeness</w:t>
            </w:r>
          </w:p>
        </w:tc>
        <w:tc>
          <w:tcPr>
            <w:tcW w:type="pct" w:w="34%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3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Methods: Participants &amp; Setting</w:t>
            </w:r>
          </w:p>
        </w:tc>
        <w:tc>
          <w:tcPr>
            <w:tcW w:type="pct" w:w="8%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3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6%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5b</w:t>
            </w:r>
          </w:p>
        </w:tc>
        <w:tc>
          <w:tcPr>
            <w:tcW w:type="pct" w:w="52%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3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Accrual dates</w:t>
            </w:r>
          </w:p>
        </w:tc>
        <w:tc>
          <w:tcPr>
            <w:tcW w:type="pct" w:w="34%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3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Methods (Dec 2013–June 2014)</w:t>
            </w:r>
          </w:p>
        </w:tc>
        <w:tc>
          <w:tcPr>
            <w:tcW w:type="pct" w:w="8%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3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6%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6a</w:t>
            </w:r>
          </w:p>
        </w:tc>
        <w:tc>
          <w:tcPr>
            <w:tcW w:type="pct" w:w="52%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3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Setting; number/location of centres</w:t>
            </w:r>
          </w:p>
        </w:tc>
        <w:tc>
          <w:tcPr>
            <w:tcW w:type="pct" w:w="34%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3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Methods: Participants &amp; Setting (multi-region recruitment; region confound noted)</w:t>
            </w:r>
          </w:p>
        </w:tc>
        <w:tc>
          <w:tcPr>
            <w:tcW w:type="pct" w:w="8%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3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6%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6b</w:t>
            </w:r>
          </w:p>
        </w:tc>
        <w:tc>
          <w:tcPr>
            <w:tcW w:type="pct" w:w="52%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3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Eligibility criteria</w:t>
            </w:r>
          </w:p>
        </w:tc>
        <w:tc>
          <w:tcPr>
            <w:tcW w:type="pct" w:w="34%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3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Methods: Participants and Setting (referral by municipal PPR SLTs for persistent language difficulties; exclusion criteria listed)</w:t>
            </w:r>
          </w:p>
        </w:tc>
        <w:tc>
          <w:tcPr>
            <w:tcW w:type="pct" w:w="8%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3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6%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6c</w:t>
            </w:r>
          </w:p>
        </w:tc>
        <w:tc>
          <w:tcPr>
            <w:tcW w:type="pct" w:w="52%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3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Treatments received and handling (if relevant)</w:t>
            </w:r>
          </w:p>
        </w:tc>
        <w:tc>
          <w:tcPr>
            <w:tcW w:type="pct" w:w="34%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3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Methods/HI section (HI amplification; unaided BEHL)</w:t>
            </w:r>
          </w:p>
        </w:tc>
        <w:tc>
          <w:tcPr>
            <w:tcW w:type="pct" w:w="8%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3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6%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7</w:t>
            </w:r>
          </w:p>
        </w:tc>
        <w:tc>
          <w:tcPr>
            <w:tcW w:type="pct" w:w="52%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3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Data preparation; quality checks; applied equally across groups</w:t>
            </w:r>
          </w:p>
        </w:tc>
        <w:tc>
          <w:tcPr>
            <w:tcW w:type="pct" w:w="34%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3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Methods: Data Preparation (in-fold imputation/standardization, applied identically)</w:t>
            </w:r>
          </w:p>
        </w:tc>
        <w:tc>
          <w:tcPr>
            <w:tcW w:type="pct" w:w="8%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3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6%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8a</w:t>
            </w:r>
          </w:p>
        </w:tc>
        <w:tc>
          <w:tcPr>
            <w:tcW w:type="pct" w:w="52%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3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Outcome definition; how/when assessed; consistency across groups</w:t>
            </w:r>
          </w:p>
        </w:tc>
        <w:tc>
          <w:tcPr>
            <w:tcW w:type="pct" w:w="34%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3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Methods: Participants and Setting (DLD status assigned by municipal SLTs; reference standard is clinical judgement, not a research protocol — stated as a limitation)</w:t>
            </w:r>
          </w:p>
        </w:tc>
        <w:tc>
          <w:tcPr>
            <w:tcW w:type="pct" w:w="8%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3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6%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8b</w:t>
            </w:r>
          </w:p>
        </w:tc>
        <w:tc>
          <w:tcPr>
            <w:tcW w:type="pct" w:w="52%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3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If subjective outcome, assessor qualifications</w:t>
            </w:r>
          </w:p>
        </w:tc>
        <w:tc>
          <w:tcPr>
            <w:tcW w:type="pct" w:w="34%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3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Methods: Participants and Setting (certified speech-language therapists in municipal PPR services)</w:t>
            </w:r>
          </w:p>
        </w:tc>
        <w:tc>
          <w:tcPr>
            <w:tcW w:type="pct" w:w="8%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3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6%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8c</w:t>
            </w:r>
          </w:p>
        </w:tc>
        <w:tc>
          <w:tcPr>
            <w:tcW w:type="pct" w:w="52%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3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Blinding of outcome assessment</w:t>
            </w:r>
          </w:p>
        </w:tc>
        <w:tc>
          <w:tcPr>
            <w:tcW w:type="pct" w:w="34%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3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Methods: Participants and Setting — group membership known to assessors; blinding of outcome assessment not possible in this design</w:t>
            </w:r>
          </w:p>
        </w:tc>
        <w:tc>
          <w:tcPr>
            <w:tcW w:type="pct" w:w="8%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3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6%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9a</w:t>
            </w:r>
          </w:p>
        </w:tc>
        <w:tc>
          <w:tcPr>
            <w:tcW w:type="pct" w:w="52%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3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Initial predictors and any pre-selection before modelling</w:t>
            </w:r>
          </w:p>
        </w:tc>
        <w:tc>
          <w:tcPr>
            <w:tcW w:type="pct" w:w="34%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3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Methods: Predictors (one-score-per-task; exclusions) + Analytical (selection inside CV)</w:t>
            </w:r>
          </w:p>
        </w:tc>
        <w:tc>
          <w:tcPr>
            <w:tcW w:type="pct" w:w="8%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3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6%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9b</w:t>
            </w:r>
          </w:p>
        </w:tc>
        <w:tc>
          <w:tcPr>
            <w:tcW w:type="pct" w:w="52%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3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Define predictors; how/when measured; blinding</w:t>
            </w:r>
          </w:p>
        </w:tc>
        <w:tc>
          <w:tcPr>
            <w:tcW w:type="pct" w:w="34%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3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Methods: Predictors (assessors not blind to group; all tasks objectively scored, residual influence acknowledged)</w:t>
            </w:r>
          </w:p>
        </w:tc>
        <w:tc>
          <w:tcPr>
            <w:tcW w:type="pct" w:w="8%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3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6%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9c</w:t>
            </w:r>
          </w:p>
        </w:tc>
        <w:tc>
          <w:tcPr>
            <w:tcW w:type="pct" w:w="52%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3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If subjective predictors, assessor qualifications</w:t>
            </w:r>
          </w:p>
        </w:tc>
        <w:tc>
          <w:tcPr>
            <w:tcW w:type="pct" w:w="34%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3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Methods: Participants &amp; Setting (author + trained SLT students)</w:t>
            </w:r>
          </w:p>
        </w:tc>
        <w:tc>
          <w:tcPr>
            <w:tcW w:type="pct" w:w="8%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3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gridSpan w:val="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E6F1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Methods — Sample size, missing data, analysis</w:t>
            </w:r>
          </w:p>
        </w:tc>
      </w:tr>
      <w:tr>
        <w:tc>
          <w:tcPr>
            <w:tcW w:type="pct" w:w="6%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10</w:t>
            </w:r>
          </w:p>
        </w:tc>
        <w:tc>
          <w:tcPr>
            <w:tcW w:type="pct" w:w="52%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3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Sample size and justification of sufficiency</w:t>
            </w:r>
          </w:p>
        </w:tc>
        <w:tc>
          <w:tcPr>
            <w:tcW w:type="pct" w:w="34%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3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Methods: Sample Size (fixed convenience sample; learning curve)</w:t>
            </w:r>
          </w:p>
        </w:tc>
        <w:tc>
          <w:tcPr>
            <w:tcW w:type="pct" w:w="8%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3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6%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11</w:t>
            </w:r>
          </w:p>
        </w:tc>
        <w:tc>
          <w:tcPr>
            <w:tcW w:type="pct" w:w="52%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3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Missing-data handling and reasons for omissions</w:t>
            </w:r>
          </w:p>
        </w:tc>
        <w:tc>
          <w:tcPr>
            <w:tcW w:type="pct" w:w="34%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3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Methods: Data Preparation (median in-fold; structural-missingness timing vars dropped)</w:t>
            </w:r>
          </w:p>
        </w:tc>
        <w:tc>
          <w:tcPr>
            <w:tcW w:type="pct" w:w="8%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3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6%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12a</w:t>
            </w:r>
          </w:p>
        </w:tc>
        <w:tc>
          <w:tcPr>
            <w:tcW w:type="pct" w:w="52%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3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How data were used/partitioned</w:t>
            </w:r>
          </w:p>
        </w:tc>
        <w:tc>
          <w:tcPr>
            <w:tcW w:type="pct" w:w="34%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3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Methods: Analytical (repeated stratified 5-fold CV = internal validation)</w:t>
            </w:r>
          </w:p>
        </w:tc>
        <w:tc>
          <w:tcPr>
            <w:tcW w:type="pct" w:w="8%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3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6%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12b</w:t>
            </w:r>
          </w:p>
        </w:tc>
        <w:tc>
          <w:tcPr>
            <w:tcW w:type="pct" w:w="52%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3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Predictor handling (rescaling/standardization)</w:t>
            </w:r>
          </w:p>
        </w:tc>
        <w:tc>
          <w:tcPr>
            <w:tcW w:type="pct" w:w="34%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3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Methods: Analytical (standardized within folds)</w:t>
            </w:r>
          </w:p>
        </w:tc>
        <w:tc>
          <w:tcPr>
            <w:tcW w:type="pct" w:w="8%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3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6%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12c</w:t>
            </w:r>
          </w:p>
        </w:tc>
        <w:tc>
          <w:tcPr>
            <w:tcW w:type="pct" w:w="52%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3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Model type, rationale, ALL model-building steps incl. tuning, internal-validation method</w:t>
            </w:r>
          </w:p>
        </w:tc>
        <w:tc>
          <w:tcPr>
            <w:tcW w:type="pct" w:w="34%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3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Methods: Analytical (LASSO primary + RF robustness; nested-CV C; selection in-fold)</w:t>
            </w:r>
          </w:p>
        </w:tc>
        <w:tc>
          <w:tcPr>
            <w:tcW w:type="pct" w:w="8%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3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6%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12d</w:t>
            </w:r>
          </w:p>
        </w:tc>
        <w:tc>
          <w:tcPr>
            <w:tcW w:type="pct" w:w="52%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3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Heterogeneity across clusters (centres/regions)</w:t>
            </w:r>
          </w:p>
        </w:tc>
        <w:tc>
          <w:tcPr>
            <w:tcW w:type="pct" w:w="34%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3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Methods/Limitations (multi-region; not modelled — stated as limitation)</w:t>
            </w:r>
          </w:p>
        </w:tc>
        <w:tc>
          <w:tcPr>
            <w:tcW w:type="pct" w:w="8%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3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6%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12e</w:t>
            </w:r>
          </w:p>
        </w:tc>
        <w:tc>
          <w:tcPr>
            <w:tcW w:type="pct" w:w="52%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3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Discrimination, calibration, clinical utility; model comparison</w:t>
            </w:r>
          </w:p>
        </w:tc>
        <w:tc>
          <w:tcPr>
            <w:tcW w:type="pct" w:w="34%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3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Methods + Results (AUC/balanced accuracy; calibration Fig 3; LASSO vs RF)</w:t>
            </w:r>
          </w:p>
        </w:tc>
        <w:tc>
          <w:tcPr>
            <w:tcW w:type="pct" w:w="8%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3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6%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12f</w:t>
            </w:r>
          </w:p>
        </w:tc>
        <w:tc>
          <w:tcPr>
            <w:tcW w:type="pct" w:w="52%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3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Model updating from evaluation</w:t>
            </w:r>
          </w:p>
        </w:tc>
        <w:tc>
          <w:tcPr>
            <w:tcW w:type="pct" w:w="34%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30"/>
              <w:jc w:val="left"/>
            </w:pPr>
            <w:r>
              <w:rPr>
                <w:rFonts w:ascii="Times New Roman" w:cs="Times New Roman" w:eastAsia="Times New Roman" w:hAnsi="Times New Roman"/>
                <w:i/>
                <w:iCs/>
                <w:color w:val="777777"/>
                <w:sz w:val="18"/>
                <w:szCs w:val="18"/>
              </w:rPr>
              <w:t xml:space="preserve">N/A — development study; no external evaluation</w:t>
            </w:r>
          </w:p>
        </w:tc>
        <w:tc>
          <w:tcPr>
            <w:tcW w:type="pct" w:w="8%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3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6%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12g</w:t>
            </w:r>
          </w:p>
        </w:tc>
        <w:tc>
          <w:tcPr>
            <w:tcW w:type="pct" w:w="52%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3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How predictions calculated for evaluation</w:t>
            </w:r>
          </w:p>
        </w:tc>
        <w:tc>
          <w:tcPr>
            <w:tcW w:type="pct" w:w="34%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30"/>
              <w:jc w:val="left"/>
            </w:pPr>
            <w:r>
              <w:rPr>
                <w:rFonts w:ascii="Times New Roman" w:cs="Times New Roman" w:eastAsia="Times New Roman" w:hAnsi="Times New Roman"/>
                <w:i/>
                <w:iCs/>
                <w:color w:val="777777"/>
                <w:sz w:val="18"/>
                <w:szCs w:val="18"/>
              </w:rPr>
              <w:t xml:space="preserve">N/A — no external evaluation dataset</w:t>
            </w:r>
          </w:p>
        </w:tc>
        <w:tc>
          <w:tcPr>
            <w:tcW w:type="pct" w:w="8%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3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gridSpan w:val="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E6F1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Methods — Imbalance, fairness, output, ethics</w:t>
            </w:r>
          </w:p>
        </w:tc>
      </w:tr>
      <w:tr>
        <w:tc>
          <w:tcPr>
            <w:tcW w:type="pct" w:w="6%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13</w:t>
            </w:r>
          </w:p>
        </w:tc>
        <w:tc>
          <w:tcPr>
            <w:tcW w:type="pct" w:w="52%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3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Class-imbalance handling and effect on calibration</w:t>
            </w:r>
          </w:p>
        </w:tc>
        <w:tc>
          <w:tcPr>
            <w:tcW w:type="pct" w:w="34%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3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Methods: Analytical (balanced accuracy + stratified CV; no resampling; calibration noted)</w:t>
            </w:r>
          </w:p>
        </w:tc>
        <w:tc>
          <w:tcPr>
            <w:tcW w:type="pct" w:w="8%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3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6%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14</w:t>
            </w:r>
          </w:p>
        </w:tc>
        <w:tc>
          <w:tcPr>
            <w:tcW w:type="pct" w:w="52%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3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Fairness approaches and rationale</w:t>
            </w:r>
          </w:p>
        </w:tc>
        <w:tc>
          <w:tcPr>
            <w:tcW w:type="pct" w:w="34%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3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Methods: Analytical Methods (exploratory check by sex and age band; formal subgroup estimation not supportable at n = 59 — only six girls in the DLD group); Discussion (Limitations)</w:t>
            </w:r>
          </w:p>
        </w:tc>
        <w:tc>
          <w:tcPr>
            <w:tcW w:type="pct" w:w="8%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3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6%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15</w:t>
            </w:r>
          </w:p>
        </w:tc>
        <w:tc>
          <w:tcPr>
            <w:tcW w:type="pct" w:w="52%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3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Model output (probabilities vs class) and threshold rationale</w:t>
            </w:r>
          </w:p>
        </w:tc>
        <w:tc>
          <w:tcPr>
            <w:tcW w:type="pct" w:w="34%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3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Methods: Analytical (probabilities; 0.5 default threshold; justified)</w:t>
            </w:r>
          </w:p>
        </w:tc>
        <w:tc>
          <w:tcPr>
            <w:tcW w:type="pct" w:w="8%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3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6%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16</w:t>
            </w:r>
          </w:p>
        </w:tc>
        <w:tc>
          <w:tcPr>
            <w:tcW w:type="pct" w:w="52%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3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Differences between development and evaluation data</w:t>
            </w:r>
          </w:p>
        </w:tc>
        <w:tc>
          <w:tcPr>
            <w:tcW w:type="pct" w:w="34%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30"/>
              <w:jc w:val="left"/>
            </w:pPr>
            <w:r>
              <w:rPr>
                <w:rFonts w:ascii="Times New Roman" w:cs="Times New Roman" w:eastAsia="Times New Roman" w:hAnsi="Times New Roman"/>
                <w:i/>
                <w:iCs/>
                <w:color w:val="777777"/>
                <w:sz w:val="18"/>
                <w:szCs w:val="18"/>
              </w:rPr>
              <w:t xml:space="preserve">N/A — single dataset</w:t>
            </w:r>
          </w:p>
        </w:tc>
        <w:tc>
          <w:tcPr>
            <w:tcW w:type="pct" w:w="8%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3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6%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17</w:t>
            </w:r>
          </w:p>
        </w:tc>
        <w:tc>
          <w:tcPr>
            <w:tcW w:type="pct" w:w="52%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3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Ethical approval and consent</w:t>
            </w:r>
          </w:p>
        </w:tc>
        <w:tc>
          <w:tcPr>
            <w:tcW w:type="pct" w:w="34%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3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Methods: Participants and Setting — no ethics-committee approval required under Danish law for non-biomedical research at a humanities faculty; notified to the Danish Data Protection Agency (journal no. 2013-41-2136); written parental informed consent; Declaration of Helsinki</w:t>
            </w:r>
          </w:p>
        </w:tc>
        <w:tc>
          <w:tcPr>
            <w:tcW w:type="pct" w:w="8%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3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gridSpan w:val="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E6F1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Open science &amp; patient involvement</w:t>
            </w:r>
          </w:p>
        </w:tc>
      </w:tr>
      <w:tr>
        <w:tc>
          <w:tcPr>
            <w:tcW w:type="pct" w:w="6%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18a</w:t>
            </w:r>
          </w:p>
        </w:tc>
        <w:tc>
          <w:tcPr>
            <w:tcW w:type="pct" w:w="52%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3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Funding and role of funders</w:t>
            </w:r>
          </w:p>
        </w:tc>
        <w:tc>
          <w:tcPr>
            <w:tcW w:type="pct" w:w="34%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3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Acknowledgments — original data collection funded (funder masked for review); present secondary analysis received no specific grant</w:t>
            </w:r>
          </w:p>
        </w:tc>
        <w:tc>
          <w:tcPr>
            <w:tcW w:type="pct" w:w="8%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3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6%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18b</w:t>
            </w:r>
          </w:p>
        </w:tc>
        <w:tc>
          <w:tcPr>
            <w:tcW w:type="pct" w:w="52%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3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Conflicts of interest</w:t>
            </w:r>
          </w:p>
        </w:tc>
        <w:tc>
          <w:tcPr>
            <w:tcW w:type="pct" w:w="34%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3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Disclosed via the Editorial Manager submission portal per ASHA policy; none declared</w:t>
            </w:r>
          </w:p>
        </w:tc>
        <w:tc>
          <w:tcPr>
            <w:tcW w:type="pct" w:w="8%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3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6%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18c</w:t>
            </w:r>
          </w:p>
        </w:tc>
        <w:tc>
          <w:tcPr>
            <w:tcW w:type="pct" w:w="52%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3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Protocol availability, or state none</w:t>
            </w:r>
          </w:p>
        </w:tc>
        <w:tc>
          <w:tcPr>
            <w:tcW w:type="pct" w:w="34%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3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Methods: Analytical Methods — retrospective secondary analysis; no study protocol was prepared</w:t>
            </w:r>
          </w:p>
        </w:tc>
        <w:tc>
          <w:tcPr>
            <w:tcW w:type="pct" w:w="8%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3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6%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18d</w:t>
            </w:r>
          </w:p>
        </w:tc>
        <w:tc>
          <w:tcPr>
            <w:tcW w:type="pct" w:w="52%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3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Registration, or state not registered</w:t>
            </w:r>
          </w:p>
        </w:tc>
        <w:tc>
          <w:tcPr>
            <w:tcW w:type="pct" w:w="34%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3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Methods: Analytical Methods — analysis was not pre-registered</w:t>
            </w:r>
          </w:p>
        </w:tc>
        <w:tc>
          <w:tcPr>
            <w:tcW w:type="pct" w:w="8%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3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6%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18e</w:t>
            </w:r>
          </w:p>
        </w:tc>
        <w:tc>
          <w:tcPr>
            <w:tcW w:type="pct" w:w="52%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3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Study-data availability</w:t>
            </w:r>
          </w:p>
        </w:tc>
        <w:tc>
          <w:tcPr>
            <w:tcW w:type="pct" w:w="34%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3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Data Availability Statement — data not available; consent obtained at collection does not permit onward sharing, and disclosure is restricted by Danish data protection law. Summary statistics reported in Tables 1 and 3</w:t>
            </w:r>
          </w:p>
        </w:tc>
        <w:tc>
          <w:tcPr>
            <w:tcW w:type="pct" w:w="8%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3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6%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18f</w:t>
            </w:r>
          </w:p>
        </w:tc>
        <w:tc>
          <w:tcPr>
            <w:tcW w:type="pct" w:w="52%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3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Analytical-code availability</w:t>
            </w:r>
          </w:p>
        </w:tc>
        <w:tc>
          <w:tcPr>
            <w:tcW w:type="pct" w:w="34%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3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Data Availability Statement — analysis code, pinned software environment with exact package versions, trained model (LASSO coefficients) and dated run log openly available at the repository DOI</w:t>
            </w:r>
          </w:p>
        </w:tc>
        <w:tc>
          <w:tcPr>
            <w:tcW w:type="pct" w:w="8%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3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6%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19</w:t>
            </w:r>
          </w:p>
        </w:tc>
        <w:tc>
          <w:tcPr>
            <w:tcW w:type="pct" w:w="52%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3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Patient/public involvement, or state none</w:t>
            </w:r>
          </w:p>
        </w:tc>
        <w:tc>
          <w:tcPr>
            <w:tcW w:type="pct" w:w="34%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3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Acknowledgments — children, families and clinicians were not involved in setting the research question, designing the study, or interpreting the results</w:t>
            </w:r>
          </w:p>
        </w:tc>
        <w:tc>
          <w:tcPr>
            <w:tcW w:type="pct" w:w="8%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3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gridSpan w:val="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E6F1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Results</w:t>
            </w:r>
          </w:p>
        </w:tc>
      </w:tr>
      <w:tr>
        <w:tc>
          <w:tcPr>
            <w:tcW w:type="pct" w:w="6%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20a</w:t>
            </w:r>
          </w:p>
        </w:tc>
        <w:tc>
          <w:tcPr>
            <w:tcW w:type="pct" w:w="52%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3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Participant flow; numbers with/without outcome; diagram</w:t>
            </w:r>
          </w:p>
        </w:tc>
        <w:tc>
          <w:tcPr>
            <w:tcW w:type="pct" w:w="34%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3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Results: Sample Characteristics; Supplemental Material S1 (83 assessed, 8 excluded on eligibility grounds with reasons, 75 retained; n = 59 for the primary analysis)</w:t>
            </w:r>
          </w:p>
        </w:tc>
        <w:tc>
          <w:tcPr>
            <w:tcW w:type="pct" w:w="8%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3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6%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20b</w:t>
            </w:r>
          </w:p>
        </w:tc>
        <w:tc>
          <w:tcPr>
            <w:tcW w:type="pct" w:w="52%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3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Characteristics; key predictors; demographics; missing-data amounts; group differences</w:t>
            </w:r>
          </w:p>
        </w:tc>
        <w:tc>
          <w:tcPr>
            <w:tcW w:type="pct" w:w="34%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3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Results: Sample Characteristics + Table 1 (demographics, nonverbal reasoning); Table 3 (predictor distributions by group); Methods: Data Preparation states missing values were no more than 8.5% on any retained measure</w:t>
            </w:r>
          </w:p>
        </w:tc>
        <w:tc>
          <w:tcPr>
            <w:tcW w:type="pct" w:w="8%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3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6%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20c</w:t>
            </w:r>
          </w:p>
        </w:tc>
        <w:tc>
          <w:tcPr>
            <w:tcW w:type="pct" w:w="52%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3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Compare evaluation vs development predictor distributions</w:t>
            </w:r>
          </w:p>
        </w:tc>
        <w:tc>
          <w:tcPr>
            <w:tcW w:type="pct" w:w="34%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30"/>
              <w:jc w:val="left"/>
            </w:pPr>
            <w:r>
              <w:rPr>
                <w:rFonts w:ascii="Times New Roman" w:cs="Times New Roman" w:eastAsia="Times New Roman" w:hAnsi="Times New Roman"/>
                <w:i/>
                <w:iCs/>
                <w:color w:val="777777"/>
                <w:sz w:val="18"/>
                <w:szCs w:val="18"/>
              </w:rPr>
              <w:t xml:space="preserve">N/A — single dataset</w:t>
            </w:r>
          </w:p>
        </w:tc>
        <w:tc>
          <w:tcPr>
            <w:tcW w:type="pct" w:w="8%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3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6%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21</w:t>
            </w:r>
          </w:p>
        </w:tc>
        <w:tc>
          <w:tcPr>
            <w:tcW w:type="pct" w:w="52%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3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Participants and outcome events per analysis</w:t>
            </w:r>
          </w:p>
        </w:tc>
        <w:tc>
          <w:tcPr>
            <w:tcW w:type="pct" w:w="34%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3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Results (n = 59 DLD-vs-control; group sizes as events)</w:t>
            </w:r>
          </w:p>
        </w:tc>
        <w:tc>
          <w:tcPr>
            <w:tcW w:type="pct" w:w="8%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3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6%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22</w:t>
            </w:r>
          </w:p>
        </w:tc>
        <w:tc>
          <w:tcPr>
            <w:tcW w:type="pct" w:w="52%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3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Full model for predictions in new individuals</w:t>
            </w:r>
          </w:p>
        </w:tc>
        <w:tc>
          <w:tcPr>
            <w:tcW w:type="pct" w:w="34%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3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Results/Fig 4 (LASSO coefficients) + trained object in repo</w:t>
            </w:r>
          </w:p>
        </w:tc>
        <w:tc>
          <w:tcPr>
            <w:tcW w:type="pct" w:w="8%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3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6%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23a</w:t>
            </w:r>
          </w:p>
        </w:tc>
        <w:tc>
          <w:tcPr>
            <w:tcW w:type="pct" w:w="52%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3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Performance with confidence/uncertainty intervals; key subgroups; plots</w:t>
            </w:r>
          </w:p>
        </w:tc>
        <w:tc>
          <w:tcPr>
            <w:tcW w:type="pct" w:w="34%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3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Results + Tables 4–5 (percentile intervals; ROC/confusion Fig 2); subgroup limits at n=59</w:t>
            </w:r>
          </w:p>
        </w:tc>
        <w:tc>
          <w:tcPr>
            <w:tcW w:type="pct" w:w="8%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3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6%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23b</w:t>
            </w:r>
          </w:p>
        </w:tc>
        <w:tc>
          <w:tcPr>
            <w:tcW w:type="pct" w:w="52%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3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Heterogeneity in performance across clusters</w:t>
            </w:r>
          </w:p>
        </w:tc>
        <w:tc>
          <w:tcPr>
            <w:tcW w:type="pct" w:w="34%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3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Limitations (multi-region; not formally modelled)</w:t>
            </w:r>
          </w:p>
        </w:tc>
        <w:tc>
          <w:tcPr>
            <w:tcW w:type="pct" w:w="8%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3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6%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24</w:t>
            </w:r>
          </w:p>
        </w:tc>
        <w:tc>
          <w:tcPr>
            <w:tcW w:type="pct" w:w="52%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3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Results of model updating</w:t>
            </w:r>
          </w:p>
        </w:tc>
        <w:tc>
          <w:tcPr>
            <w:tcW w:type="pct" w:w="34%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30"/>
              <w:jc w:val="left"/>
            </w:pPr>
            <w:r>
              <w:rPr>
                <w:rFonts w:ascii="Times New Roman" w:cs="Times New Roman" w:eastAsia="Times New Roman" w:hAnsi="Times New Roman"/>
                <w:i/>
                <w:iCs/>
                <w:color w:val="777777"/>
                <w:sz w:val="18"/>
                <w:szCs w:val="18"/>
              </w:rPr>
              <w:t xml:space="preserve">N/A — no evaluation/updating</w:t>
            </w:r>
          </w:p>
        </w:tc>
        <w:tc>
          <w:tcPr>
            <w:tcW w:type="pct" w:w="8%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3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gridSpan w:val="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E6F1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Discussion</w:t>
            </w:r>
          </w:p>
        </w:tc>
      </w:tr>
      <w:tr>
        <w:tc>
          <w:tcPr>
            <w:tcW w:type="pct" w:w="6%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25</w:t>
            </w:r>
          </w:p>
        </w:tc>
        <w:tc>
          <w:tcPr>
            <w:tcW w:type="pct" w:w="52%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3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Interpretation incl. fairness; vs objectives and prior work</w:t>
            </w:r>
          </w:p>
        </w:tc>
        <w:tc>
          <w:tcPr>
            <w:tcW w:type="pct" w:w="34%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3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Discussion (¶1–5; comparison with prior ML; fairness in Limitations)</w:t>
            </w:r>
          </w:p>
        </w:tc>
        <w:tc>
          <w:tcPr>
            <w:tcW w:type="pct" w:w="8%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3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6%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26</w:t>
            </w:r>
          </w:p>
        </w:tc>
        <w:tc>
          <w:tcPr>
            <w:tcW w:type="pct" w:w="52%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3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Limitations incl. non-representative sample, size, overfitting, missing data</w:t>
            </w:r>
          </w:p>
        </w:tc>
        <w:tc>
          <w:tcPr>
            <w:tcW w:type="pct" w:w="34%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3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Discussion: Limitations (consolidated)</w:t>
            </w:r>
          </w:p>
        </w:tc>
        <w:tc>
          <w:tcPr>
            <w:tcW w:type="pct" w:w="8%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3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6%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27a</w:t>
            </w:r>
          </w:p>
        </w:tc>
        <w:tc>
          <w:tcPr>
            <w:tcW w:type="pct" w:w="52%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3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How poor/unavailable input data are handled at implementation</w:t>
            </w:r>
          </w:p>
        </w:tc>
        <w:tc>
          <w:tcPr>
            <w:tcW w:type="pct" w:w="34%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3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Discussion: Toward scalable screening — the model requires complete predictor scores; a deployed screener should return no result rather than substitute imputed values</w:t>
            </w:r>
          </w:p>
        </w:tc>
        <w:tc>
          <w:tcPr>
            <w:tcW w:type="pct" w:w="8%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3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6%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27b</w:t>
            </w:r>
          </w:p>
        </w:tc>
        <w:tc>
          <w:tcPr>
            <w:tcW w:type="pct" w:w="52%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3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User interaction and expertise required</w:t>
            </w:r>
          </w:p>
        </w:tc>
        <w:tc>
          <w:tcPr>
            <w:tcW w:type="pct" w:w="34%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3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Discussion: Toward scalable screening — intended users are speech-language therapists or trained assessors under supervision, not untrained staff or parents</w:t>
            </w:r>
          </w:p>
        </w:tc>
        <w:tc>
          <w:tcPr>
            <w:tcW w:type="pct" w:w="8%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3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</w:tbl>
    <w:p>
      <w:pPr>
        <w:spacing w:before="160"/>
      </w:pPr>
      <w:r>
        <w:rPr>
          <w:rFonts w:ascii="Times New Roman" w:cs="Times New Roman" w:eastAsia="Times New Roman" w:hAnsi="Times New Roman"/>
          <w:i/>
          <w:iCs/>
          <w:sz w:val="19"/>
          <w:szCs w:val="19"/>
        </w:rPr>
        <w:t xml:space="preserve">Abstract sub-checklist: </w:t>
      </w:r>
      <w:r>
        <w:rPr>
          <w:rFonts w:ascii="Times New Roman" w:cs="Times New Roman" w:eastAsia="Times New Roman" w:hAnsi="Times New Roman"/>
          <w:i/>
          <w:iCs/>
          <w:color w:val="777777"/>
          <w:sz w:val="19"/>
          <w:szCs w:val="19"/>
        </w:rPr>
        <w:t xml:space="preserve">the TRIPOD+AI for Abstracts items (objective, data source, outcome, model type, performance, conclusions/limitations) are covered within the JSLHR structured abstract; note JSLHR permits effect sizes but not other statistics in the abstract, so discrimination is described qualitatively.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footnotes" Target="footnot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styles" Target="styles.xml"/><Relationship Id="rId6" Type="http://schemas.openxmlformats.org/officeDocument/2006/relationships/comments" Target="comments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openxmlformats.org/officeDocument/2006/relationships/endnotes" Target="endnotes.xml"/><Relationship Id="rId9" Type="http://schemas.openxmlformats.org/officeDocument/2006/relationships/customXml" Target="../customXml/item2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879D4885BAE9F841B57ADB33D26FBF9E" ma:contentTypeVersion="10" ma:contentTypeDescription="Opret et nyt dokument." ma:contentTypeScope="" ma:versionID="ea12a6fbdaa80d0c92341453181a267b">
  <xsd:schema xmlns:xsd="http://www.w3.org/2001/XMLSchema" xmlns:xs="http://www.w3.org/2001/XMLSchema" xmlns:p="http://schemas.microsoft.com/office/2006/metadata/properties" xmlns:ns2="c921c6d3-e8a4-441f-a095-ed321e3bfde0" xmlns:ns3="6073ef41-3497-47f8-ab09-6e5f9d18caa7" targetNamespace="http://schemas.microsoft.com/office/2006/metadata/properties" ma:root="true" ma:fieldsID="b700c7040b9aa2f3ab206222f8336b2b" ns2:_="" ns3:_="">
    <xsd:import namespace="c921c6d3-e8a4-441f-a095-ed321e3bfde0"/>
    <xsd:import namespace="6073ef41-3497-47f8-ab09-6e5f9d18caa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21c6d3-e8a4-441f-a095-ed321e3bfde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illedmærker" ma:readOnly="false" ma:fieldId="{5cf76f15-5ced-4ddc-b409-7134ff3c332f}" ma:taxonomyMulti="true" ma:sspId="f9553f63-5966-4a09-978d-72b299aea11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073ef41-3497-47f8-ab09-6e5f9d18caa7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9724faa1-2aee-4a59-9b36-d3fb994ed0b1}" ma:internalName="TaxCatchAll" ma:showField="CatchAllData" ma:web="6073ef41-3497-47f8-ab09-6e5f9d18caa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dhol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921c6d3-e8a4-441f-a095-ed321e3bfde0">
      <Terms xmlns="http://schemas.microsoft.com/office/infopath/2007/PartnerControls"/>
    </lcf76f155ced4ddcb4097134ff3c332f>
    <TaxCatchAll xmlns="6073ef41-3497-47f8-ab09-6e5f9d18caa7" xsi:nil="true"/>
  </documentManagement>
</p:properties>
</file>

<file path=customXml/itemProps1.xml><?xml version="1.0" encoding="utf-8"?>
<ds:datastoreItem xmlns:ds="http://schemas.openxmlformats.org/officeDocument/2006/customXml" ds:itemID="{48DC5C3F-83B0-48F7-829A-73A4B6714445}"/>
</file>

<file path=customXml/itemProps2.xml><?xml version="1.0" encoding="utf-8"?>
<ds:datastoreItem xmlns:ds="http://schemas.openxmlformats.org/officeDocument/2006/customXml" ds:itemID="{EECF9258-478B-4561-8BE1-276BBB18B976}"/>
</file>

<file path=customXml/itemProps3.xml><?xml version="1.0" encoding="utf-8"?>
<ds:datastoreItem xmlns:ds="http://schemas.openxmlformats.org/officeDocument/2006/customXml" ds:itemID="{BB26642D-1443-4231-8F57-E8EE8357E0FB}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2026-07-05T22:55:17Z</dcterms:created>
  <dcterms:modified xsi:type="dcterms:W3CDTF">2026-07-05T22:55:17Z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0x010100879D4885BAE9F841B57ADB33D26FBF9E</vt:lpwstr>
  </property>
  <property fmtid="{D5CDD505-2E9C-101B-9397-08002B2CF9AE}" pid="4" name="docLang">
    <vt:lpwstr>en</vt:lpwstr>
  </property>
  <property fmtid="{D5CDD505-2E9C-101B-9397-08002B2CF9AE}" pid="5" name="MediaServiceImageTags">
    <vt:lpwstr/>
  </property>
</Properties>
</file>