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6.png" ContentType="image/png"/>
  <Override PartName="/word/media/rId5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Mémoire – Partie I</w:t>
      </w:r>
    </w:p>
    <w:p>
      <w:pPr>
        <w:pStyle w:val="Subtitle"/>
      </w:pPr>
      <w:r>
        <w:t xml:space="preserve">Les situations conjugales bisexuelles</w:t>
      </w:r>
    </w:p>
    <w:p>
      <w:pPr>
        <w:pStyle w:val="Author"/>
      </w:pPr>
      <w:r>
        <w:t xml:space="preserve">Elisa Lemoine</w:t>
      </w:r>
    </w:p>
    <w:p>
      <w:pPr>
        <w:pStyle w:val="Date"/>
      </w:pPr>
      <w:r>
        <w:t xml:space="preserve">1 août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7" w:name="Xed8216ba60a7555fbc298aa740731002e3e1429"/>
    <w:p>
      <w:pPr>
        <w:pStyle w:val="Heading1"/>
      </w:pPr>
      <w:r>
        <w:t xml:space="preserve">Partie I : les situations conjugales bisexuelles</w:t>
      </w:r>
    </w:p>
    <w:p>
      <w:pPr>
        <w:pStyle w:val="FirstParagraph"/>
      </w:pPr>
      <w:r>
        <w:t xml:space="preserve">Dans cette première partie nous revenons sur les situations conjugales</w:t>
      </w:r>
      <w:r>
        <w:t xml:space="preserve"> </w:t>
      </w:r>
      <w:r>
        <w:t xml:space="preserve">des personnes bisexuelles. Les deux enquêtes seront mobilisées pour</w:t>
      </w:r>
      <w:r>
        <w:t xml:space="preserve"> </w:t>
      </w:r>
      <w:r>
        <w:t xml:space="preserve">réaliser une analyse descriptive des caractéristiques conjugales des</w:t>
      </w:r>
      <w:r>
        <w:t xml:space="preserve"> </w:t>
      </w:r>
      <w:r>
        <w:t xml:space="preserve">personnes bisexuelles et une analyse comparative par rapport aux</w:t>
      </w:r>
      <w:r>
        <w:t xml:space="preserve"> </w:t>
      </w:r>
      <w:r>
        <w:t xml:space="preserve">personnes homosexuelles et hétérosexuelles. Par situation conjugale nous</w:t>
      </w:r>
      <w:r>
        <w:t xml:space="preserve"> </w:t>
      </w:r>
      <w:r>
        <w:t xml:space="preserve">entendu le fait d’être ou non en couple, le statut matrimonial, le type</w:t>
      </w:r>
      <w:r>
        <w:t xml:space="preserve"> </w:t>
      </w:r>
      <w:r>
        <w:t xml:space="preserve">de couple (de même sexe, de sexe différent), les modalités</w:t>
      </w:r>
      <w:r>
        <w:t xml:space="preserve"> </w:t>
      </w:r>
      <w:r>
        <w:t xml:space="preserve">relationnelles telles que la cohabitation, la durée de la relation, le</w:t>
      </w:r>
      <w:r>
        <w:t xml:space="preserve"> </w:t>
      </w:r>
      <w:r>
        <w:t xml:space="preserve">fait d’avoir des enfants…</w:t>
      </w:r>
    </w:p>
    <w:p>
      <w:pPr>
        <w:pStyle w:val="BodyText"/>
      </w:pPr>
      <w:r>
        <w:t xml:space="preserve">L’enquête Virage n’a pas été pensée pour saisir la variété des</w:t>
      </w:r>
      <w:r>
        <w:t xml:space="preserve"> </w:t>
      </w:r>
      <w:r>
        <w:t xml:space="preserve">expériences relationnelles ou les trajectoires relationnelles,</w:t>
      </w:r>
      <w:r>
        <w:t xml:space="preserve"> </w:t>
      </w:r>
      <w:r>
        <w:t xml:space="preserve">contrairement à Envie</w:t>
      </w:r>
      <w:r>
        <w:t xml:space="preserve"> </w:t>
      </w:r>
      <w:r>
        <w:t xml:space="preserve">(Bergström 2025)</w:t>
      </w:r>
      <w:r>
        <w:t xml:space="preserve">. Avec l’enquête Virage on se</w:t>
      </w:r>
      <w:r>
        <w:t xml:space="preserve"> </w:t>
      </w:r>
      <w:r>
        <w:t xml:space="preserve">concentre sur le pôle le plus stable du spectre relationnel : le couple.</w:t>
      </w:r>
      <w:r>
        <w:t xml:space="preserve"> </w:t>
      </w:r>
      <w:r>
        <w:t xml:space="preserve">Avec des modules dédiés à la situation matrimoniale, à la situation du</w:t>
      </w:r>
      <w:r>
        <w:t xml:space="preserve"> </w:t>
      </w:r>
      <w:r>
        <w:t xml:space="preserve">ou de la (dernièr·e) conjoint·e, au ménage, aux enfants, à la vie de</w:t>
      </w:r>
      <w:r>
        <w:t xml:space="preserve"> </w:t>
      </w:r>
      <w:r>
        <w:t xml:space="preserve">couple puis deux modules centraux sur les violences dans la relation de</w:t>
      </w:r>
      <w:r>
        <w:t xml:space="preserve"> </w:t>
      </w:r>
      <w:r>
        <w:t xml:space="preserve">couple au cours des 12 derniers mois et dans la relation avec</w:t>
      </w:r>
      <w:r>
        <w:t xml:space="preserve"> </w:t>
      </w:r>
      <w:r>
        <w:t xml:space="preserve">ex-partenaire au cours des 12 derniers mois, l’enquête Virage offre</w:t>
      </w:r>
      <w:r>
        <w:t xml:space="preserve"> </w:t>
      </w:r>
      <w:r>
        <w:t xml:space="preserve">suffisamment d’éléments pour dresser un instantané de la situation</w:t>
      </w:r>
      <w:r>
        <w:t xml:space="preserve"> </w:t>
      </w:r>
      <w:r>
        <w:t xml:space="preserve">conjugale des personnes qui se disent bisexuelles au moment de l’enquête</w:t>
      </w:r>
      <w:r>
        <w:t xml:space="preserve"> </w:t>
      </w:r>
      <w:r>
        <w:t xml:space="preserve">et dans les 12 derniers mois.</w:t>
      </w:r>
    </w:p>
    <w:p>
      <w:pPr>
        <w:pStyle w:val="BodyText"/>
      </w:pPr>
      <w:r>
        <w:t xml:space="preserve">Quelques hypothèses pour commencer</w:t>
      </w:r>
    </w:p>
    <w:p>
      <w:pPr>
        <w:pStyle w:val="BodyText"/>
      </w:pPr>
      <w:r>
        <w:t xml:space="preserve">- Hypothèse 1 : l’âge est un déterminant d’accès à la conjugalité et de</w:t>
      </w:r>
      <w:r>
        <w:t xml:space="preserve"> </w:t>
      </w:r>
      <w:r>
        <w:t xml:space="preserve">formes de conjugalité (Bozon, Bergström : voir si j’ai pas déjà cherché</w:t>
      </w:r>
      <w:r>
        <w:t xml:space="preserve"> </w:t>
      </w:r>
      <w:r>
        <w:t xml:space="preserve">les refs qqpart ou dans doc revue litté)</w:t>
      </w:r>
    </w:p>
    <w:p>
      <w:pPr>
        <w:pStyle w:val="BodyText"/>
      </w:pPr>
      <w:r>
        <w:t xml:space="preserve">- Hypothèse 2 : la classe est un déterminant d’accès à la conjugalité</w:t>
      </w:r>
      <w:r>
        <w:t xml:space="preserve"> </w:t>
      </w:r>
      <w:r>
        <w:t xml:space="preserve">et des formes de conjugalité (idem)</w:t>
      </w:r>
    </w:p>
    <w:p>
      <w:pPr>
        <w:pStyle w:val="BodyText"/>
      </w:pPr>
      <w:r>
        <w:t xml:space="preserve">- Hypothèse 3 : le fait d’être bi en couple de même sexe ou de sexe</w:t>
      </w:r>
      <w:r>
        <w:t xml:space="preserve"> </w:t>
      </w:r>
      <w:r>
        <w:t xml:space="preserve">différent influence le type de conjugalité (ref sur conjugalité</w:t>
      </w:r>
      <w:r>
        <w:t xml:space="preserve"> </w:t>
      </w:r>
      <w:r>
        <w:t xml:space="preserve">homosexuelle)</w:t>
      </w:r>
    </w:p>
    <w:p>
      <w:pPr>
        <w:pStyle w:val="BodyText"/>
      </w:pPr>
      <w:r>
        <w:t xml:space="preserve">- Hypothèse 4 : les deux échantillons captent des bisexualités</w:t>
      </w:r>
      <w:r>
        <w:t xml:space="preserve"> </w:t>
      </w:r>
      <w:r>
        <w:t xml:space="preserve">différentes, leur comportement vis-à-vis du couple ne sont toutefois pas</w:t>
      </w:r>
      <w:r>
        <w:t xml:space="preserve"> </w:t>
      </w:r>
      <w:r>
        <w:t xml:space="preserve">réductible à leur structure hétérosexuelle ou homosexuelle de ceux-ci.</w:t>
      </w:r>
      <w:r>
        <w:t xml:space="preserve"> </w:t>
      </w:r>
      <w:r>
        <w:t xml:space="preserve">Nous utiliserons la base en PG pour des observations générales puis</w:t>
      </w:r>
      <w:r>
        <w:t xml:space="preserve"> </w:t>
      </w:r>
      <w:r>
        <w:t xml:space="preserve">creuserons certains aspects, lorsque nécessaire, grâce à la base LGBT.</w:t>
      </w:r>
      <w:r>
        <w:t xml:space="preserve"> </w:t>
      </w:r>
      <w:r>
        <w:t xml:space="preserve">De plus les observations de couples bisexuels de même sexe se feront</w:t>
      </w:r>
      <w:r>
        <w:t xml:space="preserve"> </w:t>
      </w:r>
      <w:r>
        <w:t xml:space="preserve">plutôt sur la base LGBT.</w:t>
      </w:r>
    </w:p>
    <w:p>
      <w:pPr>
        <w:pStyle w:val="BodyText"/>
      </w:pPr>
      <w:r>
        <w:t xml:space="preserve">- Hypothèse 5 : les personnes bisexuelles en couple de sexe différent</w:t>
      </w:r>
      <w:r>
        <w:t xml:space="preserve"> </w:t>
      </w:r>
      <w:r>
        <w:t xml:space="preserve">seront étudiés via PG / les personnes bisexuelles en couple de même sexe</w:t>
      </w:r>
      <w:r>
        <w:t xml:space="preserve"> </w:t>
      </w:r>
      <w:r>
        <w:t xml:space="preserve">seront étudiés via LGBT.</w:t>
      </w:r>
    </w:p>
    <w:bookmarkStart w:id="37" w:name="Xbc5731b361f9659551e4d19e74b3d426cd93c50"/>
    <w:p>
      <w:pPr>
        <w:pStyle w:val="Heading2"/>
      </w:pPr>
      <w:r>
        <w:t xml:space="preserve">I. Des caractéristiques conjugales spécifiques ?</w:t>
      </w:r>
    </w:p>
    <w:bookmarkStart w:id="23" w:name="a.-retour-sur-les-analyses-existantes"/>
    <w:p>
      <w:pPr>
        <w:pStyle w:val="Heading3"/>
      </w:pPr>
      <w:r>
        <w:t xml:space="preserve">A. Retour sur les analyses existantes</w:t>
      </w:r>
    </w:p>
    <w:p>
      <w:pPr>
        <w:pStyle w:val="FirstParagraph"/>
      </w:pPr>
      <w:r>
        <w:t xml:space="preserve">L’article de Mathieu Trachman et Tania Lejbowicz, Lesbiennes, gays,</w:t>
      </w:r>
      <w:r>
        <w:t xml:space="preserve"> </w:t>
      </w:r>
      <w:r>
        <w:t xml:space="preserve">bisexuel·le·s et trans (LGBT) : une catégorie hétérogène, des violences</w:t>
      </w:r>
      <w:r>
        <w:t xml:space="preserve"> </w:t>
      </w:r>
      <w:r>
        <w:t xml:space="preserve">spécifiques</w:t>
      </w:r>
      <w:r>
        <w:t xml:space="preserve"> </w:t>
      </w:r>
      <w:r>
        <w:t xml:space="preserve">(Trachman et Lejbowicz 2020a)</w:t>
      </w:r>
      <w:r>
        <w:t xml:space="preserve">, tente de saisir et définir les populations</w:t>
      </w:r>
      <w:r>
        <w:t xml:space="preserve"> </w:t>
      </w:r>
      <w:r>
        <w:t xml:space="preserve">LGBT dans l’enquête Virage. Nous allons exposer les conclusions de cet</w:t>
      </w:r>
      <w:r>
        <w:t xml:space="preserve"> </w:t>
      </w:r>
      <w:r>
        <w:t xml:space="preserve">article sur lesquelles nous nous appuyons en partie, avant de les</w:t>
      </w:r>
      <w:r>
        <w:t xml:space="preserve"> </w:t>
      </w:r>
      <w:r>
        <w:t xml:space="preserve">discuter et d’en affiner certains aspects. Nous revenons d’abord sur</w:t>
      </w:r>
      <w:r>
        <w:t xml:space="preserve"> </w:t>
      </w:r>
      <w:r>
        <w:t xml:space="preserve">l’âge et la classe, qui comme nous le montrerons plus tard sont des</w:t>
      </w:r>
      <w:r>
        <w:t xml:space="preserve"> </w:t>
      </w:r>
      <w:r>
        <w:t xml:space="preserve">déterminants essentiels de la conjugalité, avant d’exposer les</w:t>
      </w:r>
      <w:r>
        <w:t xml:space="preserve"> </w:t>
      </w:r>
      <w:r>
        <w:t xml:space="preserve">bisexualité captées par les deux échantillons.</w:t>
      </w:r>
    </w:p>
    <w:bookmarkStart w:id="20" w:name="X936505e6ba40825a1cd92feced1647ea6fa3f83"/>
    <w:p>
      <w:pPr>
        <w:pStyle w:val="Heading4"/>
      </w:pPr>
      <w:r>
        <w:t xml:space="preserve">Les âges genrés des identifications minoritaires</w:t>
      </w:r>
    </w:p>
    <w:p>
      <w:pPr>
        <w:pStyle w:val="FirstParagraph"/>
      </w:pPr>
      <w:r>
        <w:t xml:space="preserve">On y apprend tout d’abord que les lesbiennes, gays et bisexuelles y sont</w:t>
      </w:r>
      <w:r>
        <w:t xml:space="preserve"> </w:t>
      </w:r>
      <w:r>
        <w:t xml:space="preserve">plus jeunes que les hétérosexuel·les. Plus de la moitié on moins de 40</w:t>
      </w:r>
      <w:r>
        <w:t xml:space="preserve"> </w:t>
      </w:r>
      <w:r>
        <w:t xml:space="preserve">ans, voire moins de 30 ans dans le cas des bisexuelles. Ce premier</w:t>
      </w:r>
      <w:r>
        <w:t xml:space="preserve"> </w:t>
      </w:r>
      <w:r>
        <w:t xml:space="preserve">constat est à nuancer dans le cas des gays, dont l’intervalle de</w:t>
      </w:r>
      <w:r>
        <w:t xml:space="preserve"> </w:t>
      </w:r>
      <w:r>
        <w:t xml:space="preserve">confiance chevauche celui des hétérosexuels. La jeunesse statistique des</w:t>
      </w:r>
      <w:r>
        <w:t xml:space="preserve"> </w:t>
      </w:r>
      <w:r>
        <w:t xml:space="preserve">minorités sexuelles s’observe plus chez les femmes. Cette jeunesse par</w:t>
      </w:r>
      <w:r>
        <w:t xml:space="preserve"> </w:t>
      </w:r>
      <w:r>
        <w:t xml:space="preserve">rapport aux hétéros est expliquée dans l’article par un effet de</w:t>
      </w:r>
      <w:r>
        <w:t xml:space="preserve"> </w:t>
      </w:r>
      <w:r>
        <w:t xml:space="preserve">génération, qui offre aux plus jeunes un contexte plus favorable pour</w:t>
      </w:r>
      <w:r>
        <w:t xml:space="preserve"> </w:t>
      </w:r>
      <w:r>
        <w:t xml:space="preserve">déclarer une sexualité minoritaire. On peut s’étonner que l’effet</w:t>
      </w:r>
      <w:r>
        <w:t xml:space="preserve"> </w:t>
      </w:r>
      <w:r>
        <w:t xml:space="preserve">générationnel ne touche pas les jeunes bisexuels. La structure d’âge des</w:t>
      </w:r>
      <w:r>
        <w:t xml:space="preserve"> </w:t>
      </w:r>
      <w:r>
        <w:t xml:space="preserve">bisexuel·les s’inverse selon le genre : les femmes bisexuelles sont plus</w:t>
      </w:r>
      <w:r>
        <w:t xml:space="preserve"> </w:t>
      </w:r>
      <w:r>
        <w:t xml:space="preserve">jeunes que les autres femmes et les hommes bisexuels plus âgés que les</w:t>
      </w:r>
      <w:r>
        <w:t xml:space="preserve"> </w:t>
      </w:r>
      <w:r>
        <w:t xml:space="preserve">autres hommes dans Virage PG, plus de la moitié d’entre eux ont plus de</w:t>
      </w:r>
      <w:r>
        <w:t xml:space="preserve"> </w:t>
      </w:r>
      <w:r>
        <w:t xml:space="preserve">50 ans. Ce clivage est moins net dans Virage LGBT où les hommes</w:t>
      </w:r>
      <w:r>
        <w:t xml:space="preserve"> </w:t>
      </w:r>
      <w:r>
        <w:t xml:space="preserve">bisexuels sont surreprésentés à la fois dans la classe d’âge la plus</w:t>
      </w:r>
      <w:r>
        <w:t xml:space="preserve"> </w:t>
      </w:r>
      <w:r>
        <w:t xml:space="preserve">jeune et la plus âgée par rapport aux gays. Il semblerait alors qu’un</w:t>
      </w:r>
      <w:r>
        <w:t xml:space="preserve"> </w:t>
      </w:r>
      <w:r>
        <w:t xml:space="preserve">effet générationnel soit bien à l’oeuvre pour les hommes bisexuels mais</w:t>
      </w:r>
      <w:r>
        <w:t xml:space="preserve"> </w:t>
      </w:r>
      <w:r>
        <w:t xml:space="preserve">pas dans la population générale, seulement dans la frange investie dans</w:t>
      </w:r>
      <w:r>
        <w:t xml:space="preserve"> </w:t>
      </w:r>
      <w:r>
        <w:t xml:space="preserve">les espaces communautaires des populations LGBT.</w:t>
      </w:r>
    </w:p>
    <w:p>
      <w:pPr>
        <w:pStyle w:val="BodyText"/>
      </w:pPr>
      <w:r>
        <w:t xml:space="preserve">Selon Matthieu Trachman et Tania Lejbowicz, la surreprésentation des bis</w:t>
      </w:r>
      <w:r>
        <w:t xml:space="preserve"> </w:t>
      </w:r>
      <w:r>
        <w:t xml:space="preserve">aux âges élevés tient moins à une affirmation tardive qu’à un effet de</w:t>
      </w:r>
      <w:r>
        <w:t xml:space="preserve"> </w:t>
      </w:r>
      <w:r>
        <w:t xml:space="preserve">contexte : « pour la génération des 50-69 ans, s’identifier comme</w:t>
      </w:r>
      <w:r>
        <w:t xml:space="preserve"> </w:t>
      </w:r>
      <w:r>
        <w:t xml:space="preserve">bisexuel a pu être plus accessible que comme gay » (Ibid.) Cet effet de</w:t>
      </w:r>
      <w:r>
        <w:t xml:space="preserve"> </w:t>
      </w:r>
      <w:r>
        <w:t xml:space="preserve">contexte mérite d’être approfondi. En effet, tous contacts, pratiques</w:t>
      </w:r>
      <w:r>
        <w:t xml:space="preserve"> </w:t>
      </w:r>
      <w:r>
        <w:t xml:space="preserve">sexuelles avec un autre homme ou plus largement toute distance aux codes</w:t>
      </w:r>
      <w:r>
        <w:t xml:space="preserve"> </w:t>
      </w:r>
      <w:r>
        <w:t xml:space="preserve">sociaux de la virilité expose au stigmate du pédé</w:t>
      </w:r>
      <w:r>
        <w:t xml:space="preserve"> </w:t>
      </w:r>
      <w:r>
        <w:t xml:space="preserve">(Clair 2012)</w:t>
      </w:r>
      <w:r>
        <w:t xml:space="preserve">. Cela</w:t>
      </w:r>
      <w:r>
        <w:t xml:space="preserve"> </w:t>
      </w:r>
      <w:r>
        <w:t xml:space="preserve">fonctionne comme une sanction, un rappel à l’ordre, qui peut toucher</w:t>
      </w:r>
      <w:r>
        <w:t xml:space="preserve"> </w:t>
      </w:r>
      <w:r>
        <w:t xml:space="preserve">n’importe quel homme. Ainsi l’expression de la bisexualité écarte de</w:t>
      </w:r>
      <w:r>
        <w:t xml:space="preserve"> </w:t>
      </w:r>
      <w:r>
        <w:t xml:space="preserve">fait du groupe hégémonique dans lequel genre, sexe et désir coïncident.</w:t>
      </w:r>
      <w:r>
        <w:t xml:space="preserve"> </w:t>
      </w:r>
      <w:r>
        <w:t xml:space="preserve">De plus, ce groupe des hommes de 50 à 69 ans au moment de l’enquête, né</w:t>
      </w:r>
      <w:r>
        <w:t xml:space="preserve"> </w:t>
      </w:r>
      <w:r>
        <w:t xml:space="preserve">entre les années 1965 et 1985, connaît l’émergence de l’épidémie de</w:t>
      </w:r>
      <w:r>
        <w:t xml:space="preserve"> </w:t>
      </w:r>
      <w:r>
        <w:t xml:space="preserve">VIH/Sida et la délimitation des populations dites à risque auxquelles</w:t>
      </w:r>
      <w:r>
        <w:t xml:space="preserve"> </w:t>
      </w:r>
      <w:r>
        <w:t xml:space="preserve">sont intégrées les communautés homosexuelles</w:t>
      </w:r>
      <w:r>
        <w:t xml:space="preserve">(Girard 2021)</w:t>
      </w:r>
      <w:r>
        <w:t xml:space="preserve">. Les hommes</w:t>
      </w:r>
      <w:r>
        <w:t xml:space="preserve"> </w:t>
      </w:r>
      <w:r>
        <w:t xml:space="preserve">bisexuels sont accusés d’être un pont dans la transmission du virus à la</w:t>
      </w:r>
      <w:r>
        <w:t xml:space="preserve"> </w:t>
      </w:r>
      <w:r>
        <w:t xml:space="preserve">population hétérosexuelle</w:t>
      </w:r>
      <w:r>
        <w:t xml:space="preserve"> </w:t>
      </w:r>
      <w:r>
        <w:t xml:space="preserve">(P. C. R. Rust 2002)</w:t>
      </w:r>
      <w:r>
        <w:t xml:space="preserve"> </w:t>
      </w:r>
      <w:r>
        <w:t xml:space="preserve">.</w:t>
      </w:r>
      <w:r>
        <w:t xml:space="preserve"> </w:t>
      </w:r>
      <w:r>
        <w:t xml:space="preserve">Ces éléments, ainsi que l’absence de communauté ou d’espaces bisexuels</w:t>
      </w:r>
      <w:r>
        <w:t xml:space="preserve"> </w:t>
      </w:r>
      <w:r>
        <w:t xml:space="preserve">au moment de l’enquête en France nuancent l’idée qu’une identification</w:t>
      </w:r>
      <w:r>
        <w:t xml:space="preserve"> </w:t>
      </w:r>
      <w:r>
        <w:t xml:space="preserve">bisexuelle est plus accessible à ces hommes que l’identification gay. On</w:t>
      </w:r>
      <w:r>
        <w:t xml:space="preserve"> </w:t>
      </w:r>
      <w:r>
        <w:t xml:space="preserve">pourrait supposer que le stigmate du pédé et la pression conjugale</w:t>
      </w:r>
      <w:r>
        <w:t xml:space="preserve"> </w:t>
      </w:r>
      <w:r>
        <w:t xml:space="preserve">hétérosexuelle jouent plus fort aux âges les plus jeunes, contraignant</w:t>
      </w:r>
      <w:r>
        <w:t xml:space="preserve"> </w:t>
      </w:r>
      <w:r>
        <w:t xml:space="preserve">les hommes bisexuels à se ranger du côté de l’hétérosexualité. Avec</w:t>
      </w:r>
      <w:r>
        <w:t xml:space="preserve"> </w:t>
      </w:r>
      <w:r>
        <w:t xml:space="preserve">l’avancée en âge et des événements biographiques comme des séparations,</w:t>
      </w:r>
      <w:r>
        <w:t xml:space="preserve"> </w:t>
      </w:r>
      <w:r>
        <w:t xml:space="preserve">des divorces ou l’acquisition de l’indépendance financière l’expression</w:t>
      </w:r>
      <w:r>
        <w:t xml:space="preserve"> </w:t>
      </w:r>
      <w:r>
        <w:t xml:space="preserve">de sa bisexualité devient plus accessible que lors de la jeunesse. Il</w:t>
      </w:r>
      <w:r>
        <w:t xml:space="preserve"> </w:t>
      </w:r>
      <w:r>
        <w:t xml:space="preserve">serait intéressant d’observer la proportion d’hommes bisexuels âgés dans</w:t>
      </w:r>
      <w:r>
        <w:t xml:space="preserve"> </w:t>
      </w:r>
      <w:r>
        <w:t xml:space="preserve">les enquêtes plus récentes comme Contexte des Sexualités en France</w:t>
      </w:r>
      <w:r>
        <w:t xml:space="preserve"> </w:t>
      </w:r>
      <w:r>
        <w:t xml:space="preserve">(CSF2023, Inserm) pour prolonger cette analyse. On peut faire</w:t>
      </w:r>
      <w:r>
        <w:t xml:space="preserve"> </w:t>
      </w:r>
      <w:r>
        <w:t xml:space="preserve">l’hypothèse que dans certaines générations masculines et dans certains</w:t>
      </w:r>
      <w:r>
        <w:t xml:space="preserve"> </w:t>
      </w:r>
      <w:r>
        <w:t xml:space="preserve">milieux sociaux, l’identification bisexuelle pouvait être plus facile</w:t>
      </w:r>
      <w:r>
        <w:t xml:space="preserve"> </w:t>
      </w:r>
      <w:r>
        <w:t xml:space="preserve">que l’identification homosexuelle. Les modes de vie gais qui se</w:t>
      </w:r>
      <w:r>
        <w:t xml:space="preserve"> </w:t>
      </w:r>
      <w:r>
        <w:t xml:space="preserve">développent au cours des années soixante et soixante-dix en France [9]</w:t>
      </w:r>
      <w:r>
        <w:t xml:space="preserve"> </w:t>
      </w:r>
      <w:r>
        <w:t xml:space="preserve">ne sont sans doute ni toujours accessibles, ni toujours désirés par</w:t>
      </w:r>
      <w:r>
        <w:t xml:space="preserve"> </w:t>
      </w:r>
      <w:r>
        <w:t xml:space="preserve">l’ensemble des hommes qui ont des rapports sexuels avec des</w:t>
      </w:r>
      <w:r>
        <w:t xml:space="preserve"> </w:t>
      </w:r>
      <w:r>
        <w:t xml:space="preserve">hommes.(Trachman 2018a les personnes qui se disent).</w:t>
      </w:r>
    </w:p>
    <w:p>
      <w:pPr>
        <w:pStyle w:val="BodyText"/>
      </w:pPr>
      <w:r>
        <w:t xml:space="preserve">Coté femmes, l’identification bisexuelle décroît avec l’âge, d’après</w:t>
      </w:r>
      <w:r>
        <w:t xml:space="preserve"> </w:t>
      </w:r>
      <w:r>
        <w:t xml:space="preserve">Mathieu Trachman et Tania Lejbowicz c’est parce qu’elle est socialement</w:t>
      </w:r>
      <w:r>
        <w:t xml:space="preserve"> </w:t>
      </w:r>
      <w:r>
        <w:t xml:space="preserve">conçue comme transitoire, les femmes étant en partie contraintes</w:t>
      </w:r>
      <w:r>
        <w:t xml:space="preserve"> </w:t>
      </w:r>
      <w:r>
        <w:t xml:space="preserve">d’abandonner une identification jugée illégitime. L’enquête Envie,</w:t>
      </w:r>
      <w:r>
        <w:t xml:space="preserve"> </w:t>
      </w:r>
      <w:r>
        <w:t xml:space="preserve">presque 10 ans plus tard, confirme cette adoption plus fréquente des</w:t>
      </w:r>
      <w:r>
        <w:t xml:space="preserve"> </w:t>
      </w:r>
      <w:r>
        <w:t xml:space="preserve">identifications plurisexuelles (dont la bisexualité fait partie) par les</w:t>
      </w:r>
      <w:r>
        <w:t xml:space="preserve"> </w:t>
      </w:r>
      <w:r>
        <w:t xml:space="preserve">jeunes femmes</w:t>
      </w:r>
      <w:r>
        <w:t xml:space="preserve"> </w:t>
      </w:r>
      <w:r>
        <w:t xml:space="preserve">(Lejbowicz et Rault 2025)</w:t>
      </w:r>
      <w:r>
        <w:t xml:space="preserve">. Les effets de génération et de genre se</w:t>
      </w:r>
      <w:r>
        <w:t xml:space="preserve"> </w:t>
      </w:r>
      <w:r>
        <w:t xml:space="preserve">conjuguent pour expliquer une meilleure acceptabilité de la bisexualité</w:t>
      </w:r>
      <w:r>
        <w:t xml:space="preserve"> </w:t>
      </w:r>
      <w:r>
        <w:t xml:space="preserve">chez les jeunes femmes. L’article ne propose pas d’interprétation pour</w:t>
      </w:r>
      <w:r>
        <w:t xml:space="preserve"> </w:t>
      </w:r>
      <w:r>
        <w:t xml:space="preserve">les lesbiennes, elles aussi moins nombreuses dans la catégorie 50 - 69</w:t>
      </w:r>
      <w:r>
        <w:t xml:space="preserve"> </w:t>
      </w:r>
      <w:r>
        <w:t xml:space="preserve">ans. Il semble globalement que les identifications minoritaires sont</w:t>
      </w:r>
      <w:r>
        <w:t xml:space="preserve"> </w:t>
      </w:r>
      <w:r>
        <w:t xml:space="preserve">moins accessibles pour les femmes âgées que pour les hommes âgés et que</w:t>
      </w:r>
      <w:r>
        <w:t xml:space="preserve"> </w:t>
      </w:r>
      <w:r>
        <w:t xml:space="preserve">les jeunes hommes affirment plus souvent des préférences exclusives :</w:t>
      </w:r>
      <w:r>
        <w:t xml:space="preserve"> </w:t>
      </w:r>
      <w:r>
        <w:t xml:space="preserve">reflet de leur plus grande autonomie en matière de sexualité (Ibid) ?</w:t>
      </w:r>
    </w:p>
    <w:p>
      <w:pPr>
        <w:pStyle w:val="BodyText"/>
      </w:pPr>
      <w:r>
        <w:t xml:space="preserve">voir rault et lambert ci dessous</w:t>
      </w:r>
    </w:p>
    <w:p>
      <w:pPr>
        <w:pStyle w:val="BodyText"/>
      </w:pPr>
      <w:r>
        <w:t xml:space="preserve">Quand déclaration identification homo-bi</w:t>
      </w:r>
    </w:p>
    <w:p>
      <w:pPr>
        <w:pStyle w:val="BodyText"/>
      </w:pPr>
      <w:r>
        <w:t xml:space="preserve">bies et lesbiennes moins souvent un premier partenaire du même sexe que</w:t>
      </w:r>
      <w:r>
        <w:t xml:space="preserve"> </w:t>
      </w:r>
      <w:r>
        <w:t xml:space="preserve">gays et bis (Trachman) ;</w:t>
      </w:r>
    </w:p>
    <w:p>
      <w:pPr>
        <w:pStyle w:val="BodyText"/>
      </w:pPr>
      <w:r>
        <w:t xml:space="preserve">hommes plus nombreux à se dire gays que les femmes à se dire lesbiennes</w:t>
      </w:r>
      <w:r>
        <w:t xml:space="preserve"> </w:t>
      </w:r>
      <w:r>
        <w:t xml:space="preserve">;</w:t>
      </w:r>
    </w:p>
    <w:p>
      <w:pPr>
        <w:pStyle w:val="BodyText"/>
      </w:pPr>
      <w:r>
        <w:t xml:space="preserve">femmes plus nombreuses à se dire bie et à déclarer attirance pour même</w:t>
      </w:r>
      <w:r>
        <w:t xml:space="preserve"> </w:t>
      </w:r>
      <w:r>
        <w:t xml:space="preserve">sexe ;</w:t>
      </w:r>
    </w:p>
    <w:p>
      <w:pPr>
        <w:pStyle w:val="BodyText"/>
      </w:pPr>
      <w:r>
        <w:t xml:space="preserve">Interprétation : plus facile de dire un désir ou des pratiques avec</w:t>
      </w:r>
      <w:r>
        <w:t xml:space="preserve"> </w:t>
      </w:r>
      <w:r>
        <w:t xml:space="preserve">personnes des deux sexes pour les femmes (Trachman) ; modèles</w:t>
      </w:r>
      <w:r>
        <w:t xml:space="preserve"> </w:t>
      </w:r>
      <w:r>
        <w:t xml:space="preserve">d’identifications disponibles : manque de référence et déni du</w:t>
      </w:r>
      <w:r>
        <w:t xml:space="preserve"> </w:t>
      </w:r>
      <w:r>
        <w:t xml:space="preserve">lesbianisme (Chetcuti, Girard)</w:t>
      </w:r>
    </w:p>
    <w:p>
      <w:pPr>
        <w:pStyle w:val="BodyText"/>
      </w:pPr>
      <w:r>
        <w:t xml:space="preserve">Alors que la bisexualité masculine fait peser la menace du stigmate du</w:t>
      </w:r>
      <w:r>
        <w:t xml:space="preserve"> </w:t>
      </w:r>
      <w:r>
        <w:t xml:space="preserve">pédé sur les jeunes hommes, déclarer une attirance ou des pratiques</w:t>
      </w:r>
      <w:r>
        <w:t xml:space="preserve"> </w:t>
      </w:r>
      <w:r>
        <w:t xml:space="preserve">entre femmes est mieux accepté tant que cela ne remet pas en cause le</w:t>
      </w:r>
      <w:r>
        <w:t xml:space="preserve"> </w:t>
      </w:r>
      <w:r>
        <w:t xml:space="preserve">désir pour les hommes et la possibilité de futures trajectoires</w:t>
      </w:r>
      <w:r>
        <w:t xml:space="preserve"> </w:t>
      </w:r>
      <w:r>
        <w:t xml:space="preserve">hétérosexuelles</w:t>
      </w:r>
      <w:r>
        <w:t xml:space="preserve"> </w:t>
      </w:r>
      <w:r>
        <w:t xml:space="preserve">(Trachman et Lejbowicz 2018a)</w:t>
      </w:r>
      <w:r>
        <w:t xml:space="preserve">. En effet la faiblesse des parcours</w:t>
      </w:r>
      <w:r>
        <w:t xml:space="preserve"> </w:t>
      </w:r>
      <w:r>
        <w:t xml:space="preserve">lesbiens exclusifs, à la fois dans Virage PG et LGBT comparés aux gays</w:t>
      </w:r>
      <w:r>
        <w:t xml:space="preserve"> </w:t>
      </w:r>
      <w:r>
        <w:t xml:space="preserve">de Virage LGBT illustre le poids de la contrainte à l’hétérosexualité</w:t>
      </w:r>
      <w:r>
        <w:t xml:space="preserve"> </w:t>
      </w:r>
      <w:r>
        <w:t xml:space="preserve">(Rich 1981)</w:t>
      </w:r>
      <w:r>
        <w:t xml:space="preserve"> </w:t>
      </w:r>
      <w:r>
        <w:t xml:space="preserve">plus lourd sur les femmes que les hommes. On peut proposer</w:t>
      </w:r>
      <w:r>
        <w:t xml:space="preserve"> </w:t>
      </w:r>
      <w:r>
        <w:t xml:space="preserve">d’autres interprétations de cet identification plus forte des femmes aux</w:t>
      </w:r>
      <w:r>
        <w:t xml:space="preserve"> </w:t>
      </w:r>
      <w:r>
        <w:t xml:space="preserve">plurisexualités : la fluidité et la souplesse de genre sont plus</w:t>
      </w:r>
      <w:r>
        <w:t xml:space="preserve"> </w:t>
      </w:r>
      <w:r>
        <w:t xml:space="preserve">communes chez les femmes (Trachman, 2025) pouvant entraîner une moindre</w:t>
      </w:r>
      <w:r>
        <w:t xml:space="preserve"> </w:t>
      </w:r>
      <w:r>
        <w:t xml:space="preserve">reconnaissance dans les monosexualités et s’accompagner d’une plus</w:t>
      </w:r>
      <w:r>
        <w:t xml:space="preserve"> </w:t>
      </w:r>
      <w:r>
        <w:t xml:space="preserve">grande fluidité sexuelle.</w:t>
      </w:r>
    </w:p>
    <w:bookmarkEnd w:id="20"/>
    <w:bookmarkStart w:id="21" w:name="Xcae42f6acc7d3b966e9432b3701760fd712b3e2"/>
    <w:p>
      <w:pPr>
        <w:pStyle w:val="Heading4"/>
      </w:pPr>
      <w:r>
        <w:t xml:space="preserve">La difficulté d’approcher la classe sociale</w:t>
      </w:r>
    </w:p>
    <w:p>
      <w:pPr>
        <w:pStyle w:val="FirstParagraph"/>
      </w:pPr>
      <w:r>
        <w:t xml:space="preserve">Dans la suite de l’article les gays sont présentés comme une population</w:t>
      </w:r>
      <w:r>
        <w:t xml:space="preserve"> </w:t>
      </w:r>
      <w:r>
        <w:t xml:space="preserve">plutôt urbaine, plus diplômée et plus présente dans les catégories</w:t>
      </w:r>
      <w:r>
        <w:t xml:space="preserve"> </w:t>
      </w:r>
      <w:r>
        <w:t xml:space="preserve">socioprofessionnelles supérieures, confirmant de précédentes enquêtes</w:t>
      </w:r>
      <w:r>
        <w:t xml:space="preserve"> </w:t>
      </w:r>
      <w:r>
        <w:t xml:space="preserve">(Bajos et Beltzer 2008)</w:t>
      </w:r>
      <w:r>
        <w:t xml:space="preserve">. Ici encore, le constat est à nuancer. Si les gays sont</w:t>
      </w:r>
      <w:r>
        <w:t xml:space="preserve"> </w:t>
      </w:r>
      <w:r>
        <w:t xml:space="preserve">effectivement plus souvent diplômés du 2e niveau que les hétérosexuels</w:t>
      </w:r>
      <w:r>
        <w:t xml:space="preserve"> </w:t>
      </w:r>
      <w:r>
        <w:t xml:space="preserve">et les bisexuels, leur surreprésentation chez les cadres et professions</w:t>
      </w:r>
      <w:r>
        <w:t xml:space="preserve"> </w:t>
      </w:r>
      <w:r>
        <w:t xml:space="preserve">intellectuelles supérieures est significative par rapport aux</w:t>
      </w:r>
      <w:r>
        <w:t xml:space="preserve"> </w:t>
      </w:r>
      <w:r>
        <w:t xml:space="preserve">hétérosexuels mais pas par rapport aux bisexuels. Enfin leur</w:t>
      </w:r>
      <w:r>
        <w:t xml:space="preserve"> </w:t>
      </w:r>
      <w:r>
        <w:t xml:space="preserve">sous-représentation dans la ruralité n’est pas statistiquement</w:t>
      </w:r>
      <w:r>
        <w:t xml:space="preserve"> </w:t>
      </w:r>
      <w:r>
        <w:t xml:space="preserve">significative au regard des intervalles de confiance. Les bisexuels</w:t>
      </w:r>
      <w:r>
        <w:t xml:space="preserve"> </w:t>
      </w:r>
      <w:r>
        <w:t xml:space="preserve">quant à eux, ont des caractéristiques sociales proches des</w:t>
      </w:r>
      <w:r>
        <w:t xml:space="preserve"> </w:t>
      </w:r>
      <w:r>
        <w:t xml:space="preserve">hétérosexuels, la moitié étant ouvriers ou employés. Leur niveau de</w:t>
      </w:r>
      <w:r>
        <w:t xml:space="preserve"> </w:t>
      </w:r>
      <w:r>
        <w:t xml:space="preserve">diplôme se rapproche de celui des hommes hétéros. Ce trait observé dans</w:t>
      </w:r>
      <w:r>
        <w:t xml:space="preserve"> </w:t>
      </w:r>
      <w:r>
        <w:t xml:space="preserve">Virage PG subsiste dans l’enquête LGBT, pourtant biaisée vers les</w:t>
      </w:r>
      <w:r>
        <w:t xml:space="preserve"> </w:t>
      </w:r>
      <w:r>
        <w:t xml:space="preserve">fractions diplômées. Cette deuxième enquête accentue sans distordre,</w:t>
      </w:r>
      <w:r>
        <w:t xml:space="preserve"> </w:t>
      </w:r>
      <w:r>
        <w:t xml:space="preserve">elle conserve un nombre non négligeable d’hommes bis âgés et de classe</w:t>
      </w:r>
      <w:r>
        <w:t xml:space="preserve"> </w:t>
      </w:r>
      <w:r>
        <w:t xml:space="preserve">ouvrière. Les bisexuels résident autant que les hétérosexuels dans les</w:t>
      </w:r>
      <w:r>
        <w:t xml:space="preserve"> </w:t>
      </w:r>
      <w:r>
        <w:t xml:space="preserve">territoires ruraux, résultat à nuancer on l’a vu, les intervalles avec</w:t>
      </w:r>
      <w:r>
        <w:t xml:space="preserve"> </w:t>
      </w:r>
      <w:r>
        <w:t xml:space="preserve">les gays se chevauchent.</w:t>
      </w:r>
    </w:p>
    <w:p>
      <w:pPr>
        <w:pStyle w:val="BodyText"/>
      </w:pPr>
      <w:r>
        <w:t xml:space="preserve">Chez les femmes, les lesbiennes et bisexuelles sont deux fois plus</w:t>
      </w:r>
      <w:r>
        <w:t xml:space="preserve"> </w:t>
      </w:r>
      <w:r>
        <w:t xml:space="preserve">souvent ouvrières que les hétérosexuelles. Comme les gays elles sont</w:t>
      </w:r>
      <w:r>
        <w:t xml:space="preserve"> </w:t>
      </w:r>
      <w:r>
        <w:t xml:space="preserve">plus souvent diplômées du 2e cycle que les hétérosexuel·les et les</w:t>
      </w:r>
      <w:r>
        <w:t xml:space="preserve"> </w:t>
      </w:r>
      <w:r>
        <w:t xml:space="preserve">bisexuels. Les lesbiennes vivent pour plus de moitié dans des</w:t>
      </w:r>
      <w:r>
        <w:t xml:space="preserve"> </w:t>
      </w:r>
      <w:r>
        <w:t xml:space="preserve">agglomérations hors Île-de-France.</w:t>
      </w:r>
    </w:p>
    <w:p>
      <w:pPr>
        <w:pStyle w:val="BodyText"/>
      </w:pPr>
      <w:r>
        <w:t xml:space="preserve">Les catégories socio-professionnelles, le territoire et le statut</w:t>
      </w:r>
      <w:r>
        <w:t xml:space="preserve"> </w:t>
      </w:r>
      <w:r>
        <w:t xml:space="preserve">migratoire sont difficiles à approcher statistiquement dans ces</w:t>
      </w:r>
      <w:r>
        <w:t xml:space="preserve"> </w:t>
      </w:r>
      <w:r>
        <w:t xml:space="preserve">enquêtes. Les intervalles de confiance des territoires d’habitation et</w:t>
      </w:r>
      <w:r>
        <w:t xml:space="preserve"> </w:t>
      </w:r>
      <w:r>
        <w:t xml:space="preserve">catégories socio-professionnelles sont trop larges pour comparer les</w:t>
      </w:r>
      <w:r>
        <w:t xml:space="preserve"> </w:t>
      </w:r>
      <w:r>
        <w:t xml:space="preserve">groupes. Concernant le statut migratoire les p-value sont insuffisantes</w:t>
      </w:r>
      <w:r>
        <w:t xml:space="preserve"> </w:t>
      </w:r>
      <w:r>
        <w:t xml:space="preserve">pour commenter l’effet de l’identification sexuelle sur la variable. Les</w:t>
      </w:r>
      <w:r>
        <w:t xml:space="preserve"> </w:t>
      </w:r>
      <w:r>
        <w:t xml:space="preserve">modalités étant calculés sur de très petits effectifs, les tests</w:t>
      </w:r>
      <w:r>
        <w:t xml:space="preserve"> </w:t>
      </w:r>
      <w:r>
        <w:t xml:space="preserve">statistiques nous invitent à la prudence. Si le lien entre l’âge et</w:t>
      </w:r>
      <w:r>
        <w:t xml:space="preserve"> </w:t>
      </w:r>
      <w:r>
        <w:t xml:space="preserve">l’identification sexuelle est statistiquement pertinent, c’est moins le</w:t>
      </w:r>
      <w:r>
        <w:t xml:space="preserve"> </w:t>
      </w:r>
      <w:r>
        <w:t xml:space="preserve">cas du lien entre territoire d’habitation et identification sexuelle. De</w:t>
      </w:r>
      <w:r>
        <w:t xml:space="preserve"> </w:t>
      </w:r>
      <w:r>
        <w:t xml:space="preserve">plus, dans toutes ces variables et modalités, les intervalles de</w:t>
      </w:r>
      <w:r>
        <w:t xml:space="preserve"> </w:t>
      </w:r>
      <w:r>
        <w:t xml:space="preserve">confiance des minorités sexuelles sont larges, rendant la comparaison</w:t>
      </w:r>
      <w:r>
        <w:t xml:space="preserve"> </w:t>
      </w:r>
      <w:r>
        <w:t xml:space="preserve">entre groupes délicate.</w:t>
      </w:r>
    </w:p>
    <w:p>
      <w:pPr>
        <w:pStyle w:val="BodyText"/>
      </w:pPr>
      <w:r>
        <w:t xml:space="preserve">Pour approfondir certains aspects liés à la classe et à la</w:t>
      </w:r>
      <w:r>
        <w:t xml:space="preserve"> </w:t>
      </w:r>
      <w:r>
        <w:t xml:space="preserve">territorialité, nous allons observer d’autres variables, présentées dans</w:t>
      </w:r>
      <w:r>
        <w:t xml:space="preserve"> </w:t>
      </w:r>
      <w:r>
        <w:t xml:space="preserve">le tableau suivant. La race est difficilement approchable dans cette</w:t>
      </w:r>
      <w:r>
        <w:t xml:space="preserve"> </w:t>
      </w:r>
      <w:r>
        <w:t xml:space="preserve">enquête, les effectifs de personnes immigrées, issues de l’immigration</w:t>
      </w:r>
      <w:r>
        <w:t xml:space="preserve"> </w:t>
      </w:r>
      <w:r>
        <w:t xml:space="preserve">ou des DROM et déclarant appartenir à une minorité sexuelle étant trop</w:t>
      </w:r>
      <w:r>
        <w:t xml:space="preserve"> </w:t>
      </w:r>
      <w:r>
        <w:t xml:space="preserve">faibles. Dans ce tableau nous ne reprenons pas les variables de diplome,</w:t>
      </w:r>
      <w:r>
        <w:t xml:space="preserve"> </w:t>
      </w:r>
      <w:r>
        <w:t xml:space="preserve">csp et territoire d’habitation, discutées précédemment. Nous tentons au</w:t>
      </w:r>
      <w:r>
        <w:t xml:space="preserve"> </w:t>
      </w:r>
      <w:r>
        <w:t xml:space="preserve">contraire d’approfondir certains constats en mobilisant de nouvelles</w:t>
      </w:r>
      <w:r>
        <w:t xml:space="preserve"> </w:t>
      </w:r>
      <w:r>
        <w:t xml:space="preserve">variables.</w:t>
      </w:r>
    </w:p>
    <w:bookmarkEnd w:id="21"/>
    <w:bookmarkStart w:id="22" w:name="deux-échantillons-deux-bisexualités"/>
    <w:p>
      <w:pPr>
        <w:pStyle w:val="Heading4"/>
      </w:pPr>
      <w:r>
        <w:t xml:space="preserve">Deux échantillons, deux bisexualités</w:t>
      </w:r>
    </w:p>
    <w:p>
      <w:pPr>
        <w:pStyle w:val="FirstParagraph"/>
      </w:pPr>
      <w:r>
        <w:t xml:space="preserve">L’enquête Virage LGBT repose sur un échantillon de volontaires,</w:t>
      </w:r>
      <w:r>
        <w:t xml:space="preserve"> </w:t>
      </w:r>
      <w:r>
        <w:t xml:space="preserve">sollicités en tant que LGBT, ce qui résulte en une frange plus mobilisée</w:t>
      </w:r>
      <w:r>
        <w:t xml:space="preserve"> </w:t>
      </w:r>
      <w:r>
        <w:t xml:space="preserve">dans les espaces communautaires. De ce point de vue les répondant-es</w:t>
      </w:r>
      <w:r>
        <w:t xml:space="preserve"> </w:t>
      </w:r>
      <w:r>
        <w:t xml:space="preserve">sont plus jeunes, plus diplômées, urbains et cadres et professions</w:t>
      </w:r>
      <w:r>
        <w:t xml:space="preserve"> </w:t>
      </w:r>
      <w:r>
        <w:t xml:space="preserve">intellectuelles supérieures</w:t>
      </w:r>
      <w:r>
        <w:t xml:space="preserve"> </w:t>
      </w:r>
      <w:r>
        <w:t xml:space="preserve">(Trachman et Lejbowicz 2020b)</w:t>
      </w:r>
      <w:r>
        <w:t xml:space="preserve">. En population générale ont</w:t>
      </w:r>
      <w:r>
        <w:t xml:space="preserve"> </w:t>
      </w:r>
      <w:r>
        <w:t xml:space="preserve">voit une position sociale des hommes bisexuels relativement proche de</w:t>
      </w:r>
      <w:r>
        <w:t xml:space="preserve"> </w:t>
      </w:r>
      <w:r>
        <w:t xml:space="preserve">celle des hétérosexuels. Comparativement à cette enquête en population</w:t>
      </w:r>
      <w:r>
        <w:t xml:space="preserve"> </w:t>
      </w:r>
      <w:r>
        <w:t xml:space="preserve">générale, l’échantillon de convenance de Virage LGBT a tendance à gommer</w:t>
      </w:r>
      <w:r>
        <w:t xml:space="preserve"> </w:t>
      </w:r>
      <w:r>
        <w:t xml:space="preserve">ces dispararités. Ce qui apparait spécifique aux homosexuels en</w:t>
      </w:r>
      <w:r>
        <w:t xml:space="preserve"> </w:t>
      </w:r>
      <w:r>
        <w:t xml:space="preserve">population général (urbanité, position sociale supérieure, jeunesse) est</w:t>
      </w:r>
      <w:r>
        <w:t xml:space="preserve"> </w:t>
      </w:r>
      <w:r>
        <w:t xml:space="preserve">accentué et caractérise aussi les bisexuels dans des proportions proches</w:t>
      </w:r>
      <w:r>
        <w:t xml:space="preserve"> </w:t>
      </w:r>
      <w:r>
        <w:t xml:space="preserve">(Trawalé et al. 2026)</w:t>
      </w:r>
      <w:r>
        <w:t xml:space="preserve"> </w:t>
      </w:r>
      <w:r>
        <w:t xml:space="preserve">. Concernant la conjugalité, les bisexuel·les de Virage</w:t>
      </w:r>
      <w:r>
        <w:t xml:space="preserve"> </w:t>
      </w:r>
      <w:r>
        <w:t xml:space="preserve">LGBT sont plus souvent en couple avec une personne de même sexe. Cette</w:t>
      </w:r>
      <w:r>
        <w:t xml:space="preserve"> </w:t>
      </w:r>
      <w:r>
        <w:t xml:space="preserve">proximité avec l’homosexualité se confirme aussi dans les parcours</w:t>
      </w:r>
      <w:r>
        <w:t xml:space="preserve"> </w:t>
      </w:r>
      <w:r>
        <w:t xml:space="preserve">sexuels : plus nombreux·ses à avoir eu un premier partenaire de même</w:t>
      </w:r>
      <w:r>
        <w:t xml:space="preserve"> </w:t>
      </w:r>
      <w:r>
        <w:t xml:space="preserve">sexe et les hommes des partenaires des deux sexes au cours de la vie.</w:t>
      </w:r>
      <w:r>
        <w:t xml:space="preserve"> </w:t>
      </w:r>
      <w:r>
        <w:t xml:space="preserve">Mathieu Trachman et Tania Lejbowicz concluent ainsi à deux bisexualités</w:t>
      </w:r>
      <w:r>
        <w:t xml:space="preserve"> </w:t>
      </w:r>
      <w:r>
        <w:t xml:space="preserve">différentes du point de vue des parcours conjugaux et sexuels : les</w:t>
      </w:r>
      <w:r>
        <w:t xml:space="preserve"> </w:t>
      </w:r>
      <w:r>
        <w:t xml:space="preserve">bisexuel·les de Virage PG sont polarisé·es vers l’autre sexe tandis que</w:t>
      </w:r>
      <w:r>
        <w:t xml:space="preserve"> </w:t>
      </w:r>
      <w:r>
        <w:t xml:space="preserve">ceux de Virage LGBT sont plus proches de l’homosexualité. Ainsi Virage</w:t>
      </w:r>
      <w:r>
        <w:t xml:space="preserve"> </w:t>
      </w:r>
      <w:r>
        <w:t xml:space="preserve">LGBT accentue certains traits des populations homo-bisexuelles sans pour</w:t>
      </w:r>
      <w:r>
        <w:t xml:space="preserve"> </w:t>
      </w:r>
      <w:r>
        <w:t xml:space="preserve">autant les distordre.</w:t>
      </w:r>
    </w:p>
    <w:p>
      <w:pPr>
        <w:pStyle w:val="BodyText"/>
      </w:pPr>
      <w:r>
        <w:t xml:space="preserve">Notre hypothèse : si l’échantillon en population générale capte une</w:t>
      </w:r>
      <w:r>
        <w:t xml:space="preserve"> </w:t>
      </w:r>
      <w:r>
        <w:t xml:space="preserve">bisexualité tournée vers l’autre sexe, la conjugalité des bisexuel·les</w:t>
      </w:r>
      <w:r>
        <w:t xml:space="preserve"> </w:t>
      </w:r>
      <w:r>
        <w:t xml:space="preserve">ne s’y réduit pas à l’hétérosexualité.</w:t>
      </w:r>
    </w:p>
    <w:p>
      <w:pPr>
        <w:pStyle w:val="BodyText"/>
      </w:pPr>
      <w:r>
        <w:t xml:space="preserve">Pour étayer cette hypothèse nous pouvons évoquer des conclusions déjà</w:t>
      </w:r>
      <w:r>
        <w:t xml:space="preserve"> </w:t>
      </w:r>
      <w:r>
        <w:t xml:space="preserve">formulées sur des trajectoires bisexuelles chez les femmes marquées d’un</w:t>
      </w:r>
      <w:r>
        <w:t xml:space="preserve"> </w:t>
      </w:r>
      <w:r>
        <w:t xml:space="preserve">écart par rapport aux normes de la sexualité féminine (entrée plus</w:t>
      </w:r>
      <w:r>
        <w:t xml:space="preserve"> </w:t>
      </w:r>
      <w:r>
        <w:t xml:space="preserve">précoce dans la sexualité, nombre de partenaires sexuels plus important</w:t>
      </w:r>
      <w:r>
        <w:t xml:space="preserve"> </w:t>
      </w:r>
      <w:r>
        <w:t xml:space="preserve">que les femmes hétérosexuelles) et des trajectoires bisexuelles</w:t>
      </w:r>
      <w:r>
        <w:t xml:space="preserve"> </w:t>
      </w:r>
      <w:r>
        <w:t xml:space="preserve">masculines marquées par le célibat</w:t>
      </w:r>
      <w:r>
        <w:t xml:space="preserve"> </w:t>
      </w:r>
      <w:r>
        <w:t xml:space="preserve">(Trachman et Lejbowicz 2018b)</w:t>
      </w:r>
    </w:p>
    <w:bookmarkEnd w:id="22"/>
    <w:bookmarkEnd w:id="23"/>
    <w:bookmarkStart w:id="36" w:name="Xeb584f4a2e2ab7012f25b1bfe5f928982bbe87f"/>
    <w:p>
      <w:pPr>
        <w:pStyle w:val="Heading3"/>
      </w:pPr>
      <w:r>
        <w:t xml:space="preserve">B. Les caractéristiques sociales et conjugales dans les deux enquêtes</w:t>
      </w:r>
    </w:p>
    <w:p>
      <w:pPr>
        <w:pStyle w:val="FirstParagraph"/>
      </w:pPr>
      <w:r>
        <w:t xml:space="preserve">On fait ici le choix de conserver la variable d’âge, structurante pour</w:t>
      </w:r>
      <w:r>
        <w:t xml:space="preserve"> </w:t>
      </w:r>
      <w:r>
        <w:t xml:space="preserve">les populations bisexuelles dans l’enquête. Pour affiner la classe, nous</w:t>
      </w:r>
      <w:r>
        <w:t xml:space="preserve"> </w:t>
      </w:r>
      <w:r>
        <w:t xml:space="preserve">mobilisons de nouvelles variables : le revenu et la situation financière</w:t>
      </w:r>
      <w:r>
        <w:t xml:space="preserve"> </w:t>
      </w:r>
      <w:r>
        <w:t xml:space="preserve">déclarés. Pour tenter d’amorcer une réflexion sur la territorialité nous</w:t>
      </w:r>
      <w:r>
        <w:t xml:space="preserve"> </w:t>
      </w:r>
      <w:r>
        <w:t xml:space="preserve">mobilisons la taille d’agglomération. Enfin, ce qui nous intéresse ici</w:t>
      </w:r>
      <w:r>
        <w:t xml:space="preserve"> </w:t>
      </w:r>
      <w:r>
        <w:t xml:space="preserve">sont les variables liées à la conjugalité : en couple au moment de</w:t>
      </w:r>
      <w:r>
        <w:t xml:space="preserve"> </w:t>
      </w:r>
      <w:r>
        <w:t xml:space="preserve">l’enquête, dans les 12 derniers mois, les enfants et le type de couple</w:t>
      </w:r>
      <w:r>
        <w:t xml:space="preserve"> </w:t>
      </w:r>
      <w:r>
        <w:t xml:space="preserve">formé.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sociodém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Caractéristiques sociodémographiques et conjugales des répondant·es selon le sexe et l’identification sexuelle. Virage PG (pondéré) et Virage LGBT (non pondéré).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443"/>
              <w:gridCol w:w="1927"/>
              <w:gridCol w:w="1927"/>
              <w:gridCol w:w="1927"/>
              <w:gridCol w:w="1181"/>
              <w:gridCol w:w="1927"/>
              <w:gridCol w:w="1927"/>
              <w:gridCol w:w="1927"/>
              <w:gridCol w:w="1181"/>
              <w:gridCol w:w="1420"/>
              <w:gridCol w:w="1297"/>
              <w:gridCol w:w="1181"/>
              <w:gridCol w:w="1420"/>
              <w:gridCol w:w="1297"/>
              <w:gridCol w:w="1181"/>
            </w:tblGrid>
            <w:tr>
              <w:trPr>
                <w:trHeight w:val="37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Femmes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LGBT — Hommes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</w:tr>
            <w:tr>
              <w:trPr>
                <w:trHeight w:val="540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(135)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(15297)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(180)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(11422)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2362)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654)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2954)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315)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Groupe d'âge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20-29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45%)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(36%, 58%)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(17%, 19%)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(15%, 30%)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(9.2%,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(18%,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43.7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64.5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38.7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30-39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42%)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27%)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(23%, 41%)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(4.6%, 18%)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22%)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40-49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34%)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(18%, 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(10%,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14.3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50-69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(9.5%, 26%)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(9.4%, 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(38%, 40%)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(16%,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(40%, 68%)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(37%, 39%)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Revenu individuel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Moins de 1 000€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(22%, 46%)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48.4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(38%, 59%)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(30%, 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27%)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(16%, 18%)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48.5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De 1 000 à moins de 2 000€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(29%, 53%)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(26%, 46%)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(41%, 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(32%, 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(24%, 54%)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43.5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(42%, 45%)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2 000€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(15%, 35%)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(6.4%, 16%)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16%)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45%)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(17%, 37%)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30%)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49.3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(1.2%, 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(1.8%, 18%)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(2.2%, 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(1.7%, 24%)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(9.7%, 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Situation financière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0.033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 l'aise/Ca va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(34%, 59%)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(37%, 59%)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49.9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(49%, 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63.3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(54%, 71%)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50.7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(37%, 65%)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52.7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(51%, 54%)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63.0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55.2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65.9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C'est juste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34%)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(17%, 37%)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30%)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(17%,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(17%, 46%)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Difficile/Dettes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44%)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(8.6%,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(11%, 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(16%, 18%)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17.6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(0.74%, 19%)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(0.47%, 0.80%)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(0.05%, 2.5%)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(0.82%, 1.4%)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Taille d'agglomération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0.005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Moins de 20 000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(24%, 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(27%, 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51.2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(50%, 52%)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(22%, 38%)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42.7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(29%, 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(53%, 55%)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De 20 000 à 200 000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45%)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(13%,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(18%,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(13%, 26%)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(17%, 44%)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200 000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(16%, 37%)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41%)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44.3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(36%, 53%)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(13%, 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64.6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55.9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(4.4%,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(7.0%, 22%)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(9.1%, 10%)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(4.0%, 14%)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(2.6%, 24%)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(5.2%, 6.4%)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au moment de l'enquête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0.2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Oui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55.3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(42%, 68%)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57.9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(47%, 68%)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71.6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(71%, 73%)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(45%, 63%)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(73%, 75%)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69.9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61.2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57.3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44.1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(32%, 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(32%, 52%)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(27%, 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(37%, 54%)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(57%, 81%)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(24%, 26%)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46.3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(0.08%, 3.8%)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(0.04%, 2.0%)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(0.75%, 1.2%)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(0.09%, 1.7%)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(0.06%, 3.3%)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(0.64%, 1.1%)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au cours des 12 derniers mois (&gt; 4 mois)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0.071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Oui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63.3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(50%, 75%)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63.1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(53%, 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(72%, 74%)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(50%, 67%)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75.8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(75%, 77%)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74.2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68.0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59.9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(25%, 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(26%, 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(33%, 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(57%, 81%)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(23%, 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 des enfants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Oui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(13%, 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(36%, 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(73%, 75%)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(3.1%, 12%)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56%)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66.0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(65%, 67%)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8.6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79.3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(68%, 87%)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(43%, 64%)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(25%, 27%)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93.8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(88%, 97%)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(44%, 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(33%, 35%)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84.5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87.9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73.2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Type de couple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de même sexe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62.9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(49%, 75%)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(2.9%, 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(0.25%, 0.51%)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57.1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(48%, 66%)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(2.7%, 12%)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(0.26%, 0.53%)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38.1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59.0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de sexe différent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(0.05%, 2.7%)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57.5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(47%, 67%)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72.8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(72%, 74%)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(0.54%, 4.9%)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37%)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75.3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(74%, 76%)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28.9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Pas en couple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(25%, 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(28%, 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(26%, 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41.3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(33%, 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(57%, 81%)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(23%, 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40.1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30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NSP/NVPD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(0.01%, 0.22%)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0.1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1.3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Effectifs non-pondérés entre parenthèses.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Test du Chi-deux ajusté de Rao &amp; Scott pour données pondérées.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Test exact de Fisher.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Abbreviation: CI = Confidence Interval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Pourcentages pondérés (Intervalle de confiance à 95 %).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1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Champ : 20-69 ans, France métropolitaine, ménages ordinaires. Pour Virage PG : pourcentages pondérés. Pour Virage LGBT : pourcentages et effectifs non pondérés.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Lecture : 30,9% des femmes homosexuelles dans l'enquête Virage en population générale ont entre 20 et 29 ans, avec un intervalle de confiance à 95% de [20% - 45%].</w:t>
                  </w:r>
                </w:p>
              </w:tc>
            </w:tr>
          </w:tbl>
          <w:bookmarkEnd w:id="24"/>
        </w:tc>
      </w:tr>
    </w:tbl>
    <w:bookmarkStart w:id="25" w:name="X1c2dd5c63bfbca861f8810d3b637a992256f0c1"/>
    <w:p>
      <w:pPr>
        <w:pStyle w:val="Heading4"/>
      </w:pPr>
      <w:r>
        <w:t xml:space="preserve">La position sociale des bisexuel·les : des femmes moins dotées économiquement et des hommes plus présents dans la ruralité ?</w:t>
      </w:r>
    </w:p>
    <w:p>
      <w:pPr>
        <w:pStyle w:val="FirstParagraph"/>
      </w:pPr>
      <w:r>
        <w:t xml:space="preserve">Les femmes bisexuelles déclarent plus souvent un revenu individuel</w:t>
      </w:r>
      <w:r>
        <w:t xml:space="preserve"> </w:t>
      </w:r>
      <w:r>
        <w:t xml:space="preserve">inférieur à 1 000€ que les hétérosexuelles. Elles sont 48,4% dans cette</w:t>
      </w:r>
      <w:r>
        <w:t xml:space="preserve"> </w:t>
      </w:r>
      <w:r>
        <w:t xml:space="preserve">situation contre 31%. L’intervalle de confiance ne permet pas une</w:t>
      </w:r>
      <w:r>
        <w:t xml:space="preserve"> </w:t>
      </w:r>
      <w:r>
        <w:t xml:space="preserve">comparaison avec les lesbiennes. Cet écart se retrouve dans Virage LGBT</w:t>
      </w:r>
      <w:r>
        <w:t xml:space="preserve"> </w:t>
      </w:r>
      <w:r>
        <w:t xml:space="preserve">où près de la moitié des bisexuelles déclarent des revenus inférieurs à</w:t>
      </w:r>
      <w:r>
        <w:t xml:space="preserve"> </w:t>
      </w:r>
      <w:r>
        <w:t xml:space="preserve">1 000€ contre un peu plus d’un quart des lesbiennes. La situation</w:t>
      </w:r>
      <w:r>
        <w:t xml:space="preserve"> </w:t>
      </w:r>
      <w:r>
        <w:t xml:space="preserve">financière déclarée nous permet de ne pas interpréter trop hâtivement ce</w:t>
      </w:r>
      <w:r>
        <w:t xml:space="preserve"> </w:t>
      </w:r>
      <w:r>
        <w:t xml:space="preserve">résultat. Lorsque l’on demande aux individus leur ressenti vis-à-vis de</w:t>
      </w:r>
      <w:r>
        <w:t xml:space="preserve"> </w:t>
      </w:r>
      <w:r>
        <w:t xml:space="preserve">leur situation financière, les bisexuelles déclarent autant que les</w:t>
      </w:r>
      <w:r>
        <w:t xml:space="preserve"> </w:t>
      </w:r>
      <w:r>
        <w:t xml:space="preserve">hétérosexuelles et lesbiennes être à l’aise ou ça va. Dans Virage LGBT</w:t>
      </w:r>
      <w:r>
        <w:t xml:space="preserve"> </w:t>
      </w:r>
      <w:r>
        <w:t xml:space="preserve">55% des bisexuelles déclarent cette situation contre 63% des lesbiennes.</w:t>
      </w:r>
      <w:r>
        <w:t xml:space="preserve"> </w:t>
      </w:r>
      <w:r>
        <w:t xml:space="preserve">L’écart de 8 points de pourcentage est nettement inférieur à l’écart de</w:t>
      </w:r>
      <w:r>
        <w:t xml:space="preserve"> </w:t>
      </w:r>
      <w:r>
        <w:t xml:space="preserve">revenu déclaré. Une piste d’interprétation réside dans la structure</w:t>
      </w:r>
      <w:r>
        <w:t xml:space="preserve"> </w:t>
      </w:r>
      <w:r>
        <w:t xml:space="preserve">d’âge des bisexuelles. Elles sont plus souvent dans la catégorie 20 - 29</w:t>
      </w:r>
      <w:r>
        <w:t xml:space="preserve"> </w:t>
      </w:r>
      <w:r>
        <w:t xml:space="preserve">ans, à la fois dans Virage PG et Virage LGBT et également plus souvent</w:t>
      </w:r>
      <w:r>
        <w:t xml:space="preserve"> </w:t>
      </w:r>
      <w:r>
        <w:t xml:space="preserve">étudiantes.</w:t>
      </w:r>
    </w:p>
    <w:p>
      <w:pPr>
        <w:pStyle w:val="BodyText"/>
      </w:pPr>
      <w:r>
        <w:t xml:space="preserve">Le lien statistique entre identification sexuelle et revenu déclaré /</w:t>
      </w:r>
      <w:r>
        <w:t xml:space="preserve"> </w:t>
      </w:r>
      <w:r>
        <w:t xml:space="preserve">situation financière est moins évident chez les hommes. Les</w:t>
      </w:r>
      <w:r>
        <w:t xml:space="preserve"> </w:t>
      </w:r>
      <w:r>
        <w:rPr>
          <w:i/>
          <w:iCs/>
        </w:rPr>
        <w:t xml:space="preserve">p-value</w:t>
      </w:r>
      <w:r>
        <w:t xml:space="preserve"> </w:t>
      </w:r>
      <w:r>
        <w:t xml:space="preserve">invitent à la prudence. On observe également une plus forte présence des</w:t>
      </w:r>
      <w:r>
        <w:t xml:space="preserve"> </w:t>
      </w:r>
      <w:r>
        <w:t xml:space="preserve">bisexuels dans les moins de 1 000€ par rapport aux hétéros : 29,6%</w:t>
      </w:r>
      <w:r>
        <w:t xml:space="preserve"> </w:t>
      </w:r>
      <w:r>
        <w:t xml:space="preserve">contre 17,3% (p-valeur = 0,13) et par rapport aux gays dans Virage LGBT</w:t>
      </w:r>
      <w:r>
        <w:t xml:space="preserve"> </w:t>
      </w:r>
      <w:r>
        <w:t xml:space="preserve">: 33,7% contre 19,7%. Les gays déclarent plus souvent une aisance</w:t>
      </w:r>
      <w:r>
        <w:t xml:space="preserve"> </w:t>
      </w:r>
      <w:r>
        <w:t xml:space="preserve">financière que les hétéros (p-valeur = 0,4), un résultat cohérent avec</w:t>
      </w:r>
      <w:r>
        <w:t xml:space="preserve"> </w:t>
      </w:r>
      <w:r>
        <w:t xml:space="preserve">la distribution observée dans les csp. La situation des bisexuels peut</w:t>
      </w:r>
      <w:r>
        <w:t xml:space="preserve"> </w:t>
      </w:r>
      <w:r>
        <w:t xml:space="preserve">ici encore être influencée par la structure d’âge, plus nombreux dans la</w:t>
      </w:r>
      <w:r>
        <w:t xml:space="preserve"> </w:t>
      </w:r>
      <w:r>
        <w:t xml:space="preserve">catégorie la plus âgée et plus souvent retraités.</w:t>
      </w:r>
    </w:p>
    <w:p>
      <w:pPr>
        <w:pStyle w:val="BodyText"/>
      </w:pPr>
      <w:r>
        <w:t xml:space="preserve">La taille d’agglomération vient compléter l’analyse du territoire</w:t>
      </w:r>
      <w:r>
        <w:t xml:space="preserve"> </w:t>
      </w:r>
      <w:r>
        <w:t xml:space="preserve">d’habitation. 30,1% des bisexuelles vivent dans une agglomération de 200</w:t>
      </w:r>
      <w:r>
        <w:t xml:space="preserve"> </w:t>
      </w:r>
      <w:r>
        <w:t xml:space="preserve">000 habitants et plus contre 20,2% des hétérosexuelles (p-valeur =</w:t>
      </w:r>
      <w:r>
        <w:t xml:space="preserve"> </w:t>
      </w:r>
      <w:r>
        <w:t xml:space="preserve">0,012). Lesbiennes et bisexuelles vivent moins souvent dans des</w:t>
      </w:r>
      <w:r>
        <w:t xml:space="preserve"> </w:t>
      </w:r>
      <w:r>
        <w:t xml:space="preserve">agglomération de moins de 20 000 habitants que les hétérosexuelles qui</w:t>
      </w:r>
      <w:r>
        <w:t xml:space="preserve"> </w:t>
      </w:r>
      <w:r>
        <w:t xml:space="preserve">sont pour moitié dans cette situation. Chez les hommes ce sont les gays</w:t>
      </w:r>
      <w:r>
        <w:t xml:space="preserve"> </w:t>
      </w:r>
      <w:r>
        <w:t xml:space="preserve">qui se démarquent, vivant nettement plus souvent que les bisexuels et</w:t>
      </w:r>
      <w:r>
        <w:t xml:space="preserve"> </w:t>
      </w:r>
      <w:r>
        <w:t xml:space="preserve">les hétérosexuels dans les agglos de plus de 200 000 habitants et moins</w:t>
      </w:r>
      <w:r>
        <w:t xml:space="preserve"> </w:t>
      </w:r>
      <w:r>
        <w:t xml:space="preserve">souvent que les hétérosexuels dans les agglos de moins de 20 000</w:t>
      </w:r>
      <w:r>
        <w:t xml:space="preserve"> </w:t>
      </w:r>
      <w:r>
        <w:t xml:space="preserve">habitants. Dans Virage LGBT les différences entre hommes bis et gays se</w:t>
      </w:r>
      <w:r>
        <w:t xml:space="preserve"> </w:t>
      </w:r>
      <w:r>
        <w:t xml:space="preserve">réduisent, les gays restent plus urbains mais avec un écart moins net.</w:t>
      </w:r>
      <w:r>
        <w:t xml:space="preserve"> </w:t>
      </w:r>
      <w:r>
        <w:t xml:space="preserve">Ces résultats confirment ceux de Mathieu Trachaman et Tania Lejbowicz et</w:t>
      </w:r>
      <w:r>
        <w:t xml:space="preserve"> </w:t>
      </w:r>
      <w:r>
        <w:t xml:space="preserve">plus généralement d’autres enquêtes. Ils ne doivent toutefois pas donner</w:t>
      </w:r>
      <w:r>
        <w:t xml:space="preserve"> </w:t>
      </w:r>
      <w:r>
        <w:t xml:space="preserve">l’illusion d’une invisibilité des minorités sexuelles hors des centres</w:t>
      </w:r>
      <w:r>
        <w:t xml:space="preserve"> </w:t>
      </w:r>
      <w:r>
        <w:t xml:space="preserve">urbains. L’opposition visibilité / invisibilité et urbain / rural</w:t>
      </w:r>
      <w:r>
        <w:t xml:space="preserve"> </w:t>
      </w:r>
      <w:r>
        <w:t xml:space="preserve">masquant en fait des formes locales de</w:t>
      </w:r>
      <w:r>
        <w:t xml:space="preserve"> </w:t>
      </w:r>
      <w:r>
        <w:t xml:space="preserve">“visibilité de fait”</w:t>
      </w:r>
      <w:r>
        <w:t xml:space="preserve"> </w:t>
      </w:r>
      <w:r>
        <w:t xml:space="preserve">(Giraud 2026)</w:t>
      </w:r>
      <w:r>
        <w:t xml:space="preserve">. L’ancrage territorial des bis est difficile à saisir :</w:t>
      </w:r>
      <w:r>
        <w:t xml:space="preserve"> </w:t>
      </w:r>
      <w:r>
        <w:t xml:space="preserve">les femmes bies semblent proches des homosexuelles tandis que les hommes</w:t>
      </w:r>
      <w:r>
        <w:t xml:space="preserve"> </w:t>
      </w:r>
      <w:r>
        <w:t xml:space="preserve">bis des hétérosexuels. Concernant les hommes, l’enquête ERAS (2023,</w:t>
      </w:r>
      <w:r>
        <w:t xml:space="preserve"> </w:t>
      </w:r>
      <w:r>
        <w:t xml:space="preserve">Santé Publique France) montre une polarisation entre des ruraux peu</w:t>
      </w:r>
      <w:r>
        <w:t xml:space="preserve"> </w:t>
      </w:r>
      <w:r>
        <w:t xml:space="preserve">diplômés, proches des répondants de l’enquête Virage PG et des Parisiens</w:t>
      </w:r>
      <w:r>
        <w:t xml:space="preserve"> </w:t>
      </w:r>
      <w:r>
        <w:t xml:space="preserve">aux caractéristiques inverses, proches des bisexuels de Virage LGBT</w:t>
      </w:r>
      <w:r>
        <w:t xml:space="preserve"> </w:t>
      </w:r>
      <w:r>
        <w:t xml:space="preserve">(Trawalé et al. 2026)</w:t>
      </w:r>
      <w:r>
        <w:t xml:space="preserve">. Plus globalement cette enquête montre des différences</w:t>
      </w:r>
      <w:r>
        <w:t xml:space="preserve"> </w:t>
      </w:r>
      <w:r>
        <w:t xml:space="preserve">entre homo-bisexuels ruraux et résidents de Paris ou de grands centre</w:t>
      </w:r>
      <w:r>
        <w:t xml:space="preserve"> </w:t>
      </w:r>
      <w:r>
        <w:t xml:space="preserve">urbains : moins diplômés, plus souvent bisexuels, moins nombreux à</w:t>
      </w:r>
      <w:r>
        <w:t xml:space="preserve"> </w:t>
      </w:r>
      <w:r>
        <w:t xml:space="preserve">fréquenter les espaces communautaires, moins d’opportunités de</w:t>
      </w:r>
      <w:r>
        <w:t xml:space="preserve"> </w:t>
      </w:r>
      <w:r>
        <w:t xml:space="preserve">rencontres sexuelles et entourage majoritairement hétérosexuel. Une part</w:t>
      </w:r>
      <w:r>
        <w:t xml:space="preserve"> </w:t>
      </w:r>
      <w:r>
        <w:t xml:space="preserve">importante des bisexuels ruraux est en couple avec une femme,</w:t>
      </w:r>
      <w:r>
        <w:t xml:space="preserve"> </w:t>
      </w:r>
      <w:r>
        <w:t xml:space="preserve">configuration bien moins fréquente dans les autres espaces considérés.</w:t>
      </w:r>
    </w:p>
    <w:bookmarkEnd w:id="25"/>
    <w:bookmarkStart w:id="30" w:name="Xf6736cf0e72dbc9b2e99a153dfd22692039147b"/>
    <w:p>
      <w:pPr>
        <w:pStyle w:val="Heading4"/>
      </w:pPr>
      <w:r>
        <w:t xml:space="preserve">Des hommes bis majoritairement célibataires et des femmes bies autant en couple que les lesbiennes et moins que les hétérosexuelles</w:t>
      </w:r>
    </w:p>
    <w:p>
      <w:pPr>
        <w:pStyle w:val="FirstParagraph"/>
      </w:pPr>
      <w:r>
        <w:t xml:space="preserve">Intéressons nous maintenant aux situations conjugales. Au moment de</w:t>
      </w:r>
      <w:r>
        <w:t xml:space="preserve"> </w:t>
      </w:r>
      <w:r>
        <w:t xml:space="preserve">l’enquête les bisexuelles et lesbiennes sont moins souvent en couple que</w:t>
      </w:r>
      <w:r>
        <w:t xml:space="preserve"> </w:t>
      </w:r>
      <w:r>
        <w:t xml:space="preserve">les hétérosexuelles. C’est également le cas des hommes, avec ici une</w:t>
      </w:r>
      <w:r>
        <w:t xml:space="preserve"> </w:t>
      </w:r>
      <w:r>
        <w:t xml:space="preserve">spécificité des hommes bisexuels, seulement 29,4% à être en couple au</w:t>
      </w:r>
      <w:r>
        <w:t xml:space="preserve"> </w:t>
      </w:r>
      <w:r>
        <w:t xml:space="preserve">moment de l’enquête contre 54,4% des gays et 73,7% des hérérosexuels.</w:t>
      </w:r>
      <w:r>
        <w:t xml:space="preserve"> </w:t>
      </w:r>
      <w:r>
        <w:t xml:space="preserve">Dans Virage LGBT les femmes bisexuelles et lesbiennes sont plus souvent</w:t>
      </w:r>
      <w:r>
        <w:t xml:space="preserve"> </w:t>
      </w:r>
      <w:r>
        <w:t xml:space="preserve">en couple : 61,2% et 69,9% contre 57,9% et 55,3% dans Virage PG. Le</w:t>
      </w:r>
      <w:r>
        <w:t xml:space="preserve"> </w:t>
      </w:r>
      <w:r>
        <w:t xml:space="preserve">résultat peut étonner quand on sait qu’elles sont également plus jeunes</w:t>
      </w:r>
      <w:r>
        <w:t xml:space="preserve"> </w:t>
      </w:r>
      <w:r>
        <w:t xml:space="preserve">dans Virage LGBT que PG. Hors la période 20 - 29 ans correspond à la</w:t>
      </w:r>
      <w:r>
        <w:t xml:space="preserve"> </w:t>
      </w:r>
      <w:r>
        <w:t xml:space="preserve">période dite de jeunesse sexuelle, où le célibat est une situation très</w:t>
      </w:r>
      <w:r>
        <w:t xml:space="preserve"> </w:t>
      </w:r>
      <w:r>
        <w:t xml:space="preserve">fréquente, propices à diverses formes de relations amoureuses et</w:t>
      </w:r>
      <w:r>
        <w:t xml:space="preserve"> </w:t>
      </w:r>
      <w:r>
        <w:t xml:space="preserve">sexuelles</w:t>
      </w:r>
      <w:r>
        <w:t xml:space="preserve"> </w:t>
      </w:r>
      <w:r>
        <w:t xml:space="preserve">(Bouchet-Valat 2025)</w:t>
      </w:r>
      <w:r>
        <w:t xml:space="preserve">. De plus les jeunes vivant dans une</w:t>
      </w:r>
      <w:r>
        <w:t xml:space="preserve"> </w:t>
      </w:r>
      <w:r>
        <w:t xml:space="preserve">grande ville (population surreprésentée dans l’échantillon Virage LGBT)</w:t>
      </w:r>
      <w:r>
        <w:t xml:space="preserve"> </w:t>
      </w:r>
      <w:r>
        <w:t xml:space="preserve">sont moins souvent en couple que ceux vivant à proximité de petites</w:t>
      </w:r>
      <w:r>
        <w:t xml:space="preserve"> </w:t>
      </w:r>
      <w:r>
        <w:t xml:space="preserve">villes</w:t>
      </w:r>
      <w:r>
        <w:t xml:space="preserve"> </w:t>
      </w:r>
      <w:r>
        <w:t xml:space="preserve">(Bergström et Maillochon 2025)</w:t>
      </w:r>
      <w:r>
        <w:t xml:space="preserve">. La sociabilité communautaire plus forte dans</w:t>
      </w:r>
      <w:r>
        <w:t xml:space="preserve"> </w:t>
      </w:r>
      <w:r>
        <w:t xml:space="preserve">l’échantillon Virage LGBT, facilitant les rencontres, peut expliquer en</w:t>
      </w:r>
      <w:r>
        <w:t xml:space="preserve"> </w:t>
      </w:r>
      <w:r>
        <w:t xml:space="preserve">partie cette proportion plus forte à être en couple.</w:t>
      </w:r>
    </w:p>
    <w:p>
      <w:pPr>
        <w:pStyle w:val="BodyText"/>
      </w:pPr>
      <w:r>
        <w:t xml:space="preserve">La photographie à un instant t est insuffisante pour dresser un panorama</w:t>
      </w:r>
      <w:r>
        <w:t xml:space="preserve"> </w:t>
      </w:r>
      <w:r>
        <w:t xml:space="preserve">des situations conjugales. Quand on s’intéresse aux 12 derniers mois, la</w:t>
      </w:r>
      <w:r>
        <w:t xml:space="preserve"> </w:t>
      </w:r>
      <w:r>
        <w:t xml:space="preserve">situation des hommes bisexuels se confirme. Le célibat des hommes</w:t>
      </w:r>
      <w:r>
        <w:t xml:space="preserve"> </w:t>
      </w:r>
      <w:r>
        <w:t xml:space="preserve">bisexuels est un célibat relativement long (plus d’un an) ou s’exprime</w:t>
      </w:r>
      <w:r>
        <w:t xml:space="preserve"> </w:t>
      </w:r>
      <w:r>
        <w:t xml:space="preserve">dans des relations courtes (moins de 4 mois). Les femmes sont un peu</w:t>
      </w:r>
      <w:r>
        <w:t xml:space="preserve"> </w:t>
      </w:r>
      <w:r>
        <w:t xml:space="preserve">plus nombreuses à avoir connu un couple d’au moins 4 mois au cours des</w:t>
      </w:r>
      <w:r>
        <w:t xml:space="preserve"> </w:t>
      </w:r>
      <w:r>
        <w:t xml:space="preserve">douzes derniers mois (p valeur = 0,032) qu’au moment de l’enquête. Dans</w:t>
      </w:r>
      <w:r>
        <w:t xml:space="preserve"> </w:t>
      </w:r>
      <w:r>
        <w:t xml:space="preserve">Virage LGBT elles sont encore plus nombreuses à avoir connu cette</w:t>
      </w:r>
      <w:r>
        <w:t xml:space="preserve"> </w:t>
      </w:r>
      <w:r>
        <w:t xml:space="preserve">expérience dans l’année. L’expérience du couple est donc majoritaire</w:t>
      </w:r>
      <w:r>
        <w:t xml:space="preserve"> </w:t>
      </w:r>
      <w:r>
        <w:t xml:space="preserve">chez les femmes, quelque soit l’identification et l’échantillon.</w:t>
      </w:r>
    </w:p>
    <w:p>
      <w:pPr>
        <w:pStyle w:val="BodyText"/>
      </w:pPr>
      <w:r>
        <w:t xml:space="preserve">Les lesbiennes ont moins souvent des enfants que les bisexuelles qui ont</w:t>
      </w:r>
      <w:r>
        <w:t xml:space="preserve"> </w:t>
      </w:r>
      <w:r>
        <w:t xml:space="preserve">elles-mêmes moins souvent des enfants que les hétérosexuelles : 20,7%</w:t>
      </w:r>
      <w:r>
        <w:t xml:space="preserve"> </w:t>
      </w:r>
      <w:r>
        <w:t xml:space="preserve">des lesbiennes, 45,9% des bisexuelles et 73,7% des hétérosexuelles. Idem</w:t>
      </w:r>
      <w:r>
        <w:t xml:space="preserve"> </w:t>
      </w:r>
      <w:r>
        <w:t xml:space="preserve">chez les hommes : seulement 6,2% des gays ont des enfants, 41,8% des</w:t>
      </w:r>
      <w:r>
        <w:t xml:space="preserve"> </w:t>
      </w:r>
      <w:r>
        <w:t xml:space="preserve">bisexuels et 66% des hétérosexuels. L’écart se réduit dans Virage LGBT</w:t>
      </w:r>
      <w:r>
        <w:t xml:space="preserve"> </w:t>
      </w:r>
      <w:r>
        <w:t xml:space="preserve">entre bis et gays avec toutefois une différence de 18 points de</w:t>
      </w:r>
      <w:r>
        <w:t xml:space="preserve"> </w:t>
      </w:r>
      <w:r>
        <w:t xml:space="preserve">pourcentage. Les bi·es sont surtout parents au sein d’unions de sexe</w:t>
      </w:r>
      <w:r>
        <w:t xml:space="preserve"> </w:t>
      </w:r>
      <w:r>
        <w:t xml:space="preserve">différent (passées ou présentes)</w:t>
      </w:r>
      <w:r>
        <w:t xml:space="preserve"> </w:t>
      </w:r>
      <w:r>
        <w:t xml:space="preserve">(Gates 2015)</w:t>
      </w:r>
      <w:r>
        <w:t xml:space="preserve">. La population de Virage</w:t>
      </w:r>
      <w:r>
        <w:t xml:space="preserve"> </w:t>
      </w:r>
      <w:r>
        <w:t xml:space="preserve">LGBT est majoritairement sans enfant.</w:t>
      </w:r>
    </w:p>
    <w:p>
      <w:pPr>
        <w:pStyle w:val="BodyText"/>
      </w:pPr>
      <w:r>
        <w:t xml:space="preserve">Enfin, nous reprenons dans le tableau 1 la variable du type de couple.</w:t>
      </w:r>
      <w:r>
        <w:t xml:space="preserve"> </w:t>
      </w:r>
      <w:r>
        <w:t xml:space="preserve">Les pourcentages y sont différents du tableau 2b de l’article de Mathieu</w:t>
      </w:r>
      <w:r>
        <w:t xml:space="preserve"> </w:t>
      </w:r>
      <w:r>
        <w:t xml:space="preserve">Trachman et Tania Lejbowicz en raison de la variable prise en compte :</w:t>
      </w:r>
      <w:r>
        <w:t xml:space="preserve"> </w:t>
      </w:r>
      <w:r>
        <w:t xml:space="preserve">nous prenons ici les personnes ayant été en couple de plus de 4 mois</w:t>
      </w:r>
      <w:r>
        <w:t xml:space="preserve"> </w:t>
      </w:r>
      <w:r>
        <w:t xml:space="preserve">dans les 12 derniers mois, qui est la variable utilisée pour le reste du</w:t>
      </w:r>
      <w:r>
        <w:t xml:space="preserve"> </w:t>
      </w:r>
      <w:r>
        <w:t xml:space="preserve">questionnaire tandis que l’article prend les personnes en couple au</w:t>
      </w:r>
      <w:r>
        <w:t xml:space="preserve"> </w:t>
      </w:r>
      <w:r>
        <w:t xml:space="preserve">moment de l’enquête. Quelque soit la variable choisie, les couples de</w:t>
      </w:r>
      <w:r>
        <w:t xml:space="preserve"> </w:t>
      </w:r>
      <w:r>
        <w:t xml:space="preserve">même sexe sont minoritaires chez les bisexuel·les de Virage PG :</w:t>
      </w:r>
      <w:r>
        <w:t xml:space="preserve"> </w:t>
      </w:r>
      <w:r>
        <w:t xml:space="preserve">seulement 5,6% des femmes bisexuelles et 5,8% des hommes bisexuels (sur</w:t>
      </w:r>
      <w:r>
        <w:t xml:space="preserve"> </w:t>
      </w:r>
      <w:r>
        <w:t xml:space="preserve">l’ensemble des personnes en couple et pas en couple).</w:t>
      </w:r>
    </w:p>
    <w:p>
      <w:pPr>
        <w:pStyle w:val="BodyText"/>
      </w:pPr>
      <w:r>
        <w:t xml:space="preserve">Ces premiers résultats sont un indice du rapport spécifique des</w:t>
      </w:r>
      <w:r>
        <w:t xml:space="preserve"> </w:t>
      </w:r>
      <w:r>
        <w:t xml:space="preserve">bisexuel·les à la conjugalité : si elle est plus souvent tournée vers</w:t>
      </w:r>
      <w:r>
        <w:t xml:space="preserve"> </w:t>
      </w:r>
      <w:r>
        <w:t xml:space="preserve">l’autre sexe dans la population générale, elle ne s’exprime toutefois</w:t>
      </w:r>
      <w:r>
        <w:t xml:space="preserve"> </w:t>
      </w:r>
      <w:r>
        <w:t xml:space="preserve">pas de la même façon que la conjugalité hétérosexuelle. Les femmes</w:t>
      </w:r>
      <w:r>
        <w:t xml:space="preserve"> </w:t>
      </w:r>
      <w:r>
        <w:t xml:space="preserve">bisexuelles sont aussi souvent célibataires que les lesbiennes et elles</w:t>
      </w:r>
      <w:r>
        <w:t xml:space="preserve"> </w:t>
      </w:r>
      <w:r>
        <w:t xml:space="preserve">ont moins souvent des enfants que les hétérosexuelles. Dans</w:t>
      </w:r>
      <w:r>
        <w:t xml:space="preserve"> </w:t>
      </w:r>
      <w:r>
        <w:t xml:space="preserve">l’échantillon LGBT, où la bisexualité se rapproche de l’homosexualité,</w:t>
      </w:r>
      <w:r>
        <w:t xml:space="preserve"> </w:t>
      </w:r>
      <w:r>
        <w:t xml:space="preserve">les bisexuelles sont légérement plus souvent célibataires que les</w:t>
      </w:r>
      <w:r>
        <w:t xml:space="preserve"> </w:t>
      </w:r>
      <w:r>
        <w:t xml:space="preserve">lesbiennes et elles ont moins souvent des enfants (p-valeur = 0,029). Le</w:t>
      </w:r>
      <w:r>
        <w:t xml:space="preserve"> </w:t>
      </w:r>
      <w:r>
        <w:t xml:space="preserve">rapport des hommes bisexuels au couple réside dans son absence. Nous</w:t>
      </w:r>
      <w:r>
        <w:t xml:space="preserve"> </w:t>
      </w:r>
      <w:r>
        <w:t xml:space="preserve">creuserons d’autres variables de caractérisation de la conjugalité dans</w:t>
      </w:r>
      <w:r>
        <w:t xml:space="preserve"> </w:t>
      </w:r>
      <w:r>
        <w:t xml:space="preserve">la suite de cette partie pour développer notre réponse à cette</w:t>
      </w:r>
      <w:r>
        <w:t xml:space="preserve"> </w:t>
      </w:r>
      <w:r>
        <w:t xml:space="preserve">hypothèse.</w:t>
      </w:r>
    </w:p>
    <w:p>
      <w:pPr>
        <w:pStyle w:val="BodyText"/>
      </w:pPr>
      <w:r>
        <w:t xml:space="preserve">Pour vérifier ces rapports spécifiques des bisexuels au couple il est</w:t>
      </w:r>
      <w:r>
        <w:t xml:space="preserve"> </w:t>
      </w:r>
      <w:r>
        <w:t xml:space="preserve">nécessaire de réfléchir aux autres variables qui ont des conséquences</w:t>
      </w:r>
      <w:r>
        <w:t xml:space="preserve"> </w:t>
      </w:r>
      <w:r>
        <w:t xml:space="preserve">sur la conjugalité. L’identification sexuelle, même quand son lien avec</w:t>
      </w:r>
      <w:r>
        <w:t xml:space="preserve"> </w:t>
      </w:r>
      <w:r>
        <w:t xml:space="preserve">les variables conjugales est statistiquement significatif, n’est pas</w:t>
      </w:r>
      <w:r>
        <w:t xml:space="preserve"> </w:t>
      </w:r>
      <w:r>
        <w:t xml:space="preserve">nécessairement un facteur causal. Puisque nous avons pour l’instant</w:t>
      </w:r>
      <w:r>
        <w:t xml:space="preserve"> </w:t>
      </w:r>
      <w:r>
        <w:t xml:space="preserve">observé le fait d’être en couple, sans entrer dans le détail des formes</w:t>
      </w:r>
      <w:r>
        <w:t xml:space="preserve"> </w:t>
      </w:r>
      <w:r>
        <w:t xml:space="preserve">de couple, nous allons contrôler le fait d’être en couple par l’âge et</w:t>
      </w:r>
      <w:r>
        <w:t xml:space="preserve"> </w:t>
      </w:r>
      <w:r>
        <w:t xml:space="preserve">la classe. On a posé l’hypothèse que ces deux éléments ont une influence</w:t>
      </w:r>
      <w:r>
        <w:t xml:space="preserve"> </w:t>
      </w:r>
      <w:r>
        <w:t xml:space="preserve">forte sur la conjugalité, de plus ce sont des variables que l’on peut</w:t>
      </w:r>
      <w:r>
        <w:t xml:space="preserve"> </w:t>
      </w:r>
      <w:r>
        <w:t xml:space="preserve">observer dans nos échantillons contrairement à d’autres (race par</w:t>
      </w:r>
      <w:r>
        <w:t xml:space="preserve"> </w:t>
      </w:r>
      <w:r>
        <w:t xml:space="preserve">exemple).</w:t>
      </w:r>
    </w:p>
    <w:p>
      <w:pPr>
        <w:pStyle w:val="BodyText"/>
      </w:pPr>
      <w:r>
        <w:t xml:space="preserve">On choisit la variable</w:t>
      </w:r>
      <w:r>
        <w:t xml:space="preserve"> </w:t>
      </w:r>
      <w:r>
        <w:t xml:space="preserve">“en couple supérieur à 4 mois dans les 12</w:t>
      </w:r>
      <w:r>
        <w:t xml:space="preserve"> </w:t>
      </w:r>
      <w:r>
        <w:t xml:space="preserve">derniers mois”</w:t>
      </w:r>
      <w:r>
        <w:t xml:space="preserve"> </w:t>
      </w:r>
      <w:r>
        <w:t xml:space="preserve">car c’est celle qui est utilisée dans la suite du</w:t>
      </w:r>
      <w:r>
        <w:t xml:space="preserve"> </w:t>
      </w:r>
      <w:r>
        <w:t xml:space="preserve">questionnaire. Cela comporte évidemment des limites : à expliciter.</w:t>
      </w:r>
    </w:p>
    <w:p>
      <w:pPr>
        <w:pStyle w:val="BodyText"/>
      </w:pPr>
      <w:r>
        <w:t xml:space="preserve">On s’intéresse au fait d’être en couple, on veut voir comment les autres</w:t>
      </w:r>
      <w:r>
        <w:t xml:space="preserve"> </w:t>
      </w:r>
      <w:r>
        <w:t xml:space="preserve">variables influencent le fait d’être en couple. On va commencer par</w:t>
      </w:r>
      <w:r>
        <w:t xml:space="preserve"> </w:t>
      </w:r>
      <w:r>
        <w:t xml:space="preserve">faire une analyse bivariée sur plusieurs variables pour déterminer</w:t>
      </w:r>
      <w:r>
        <w:t xml:space="preserve"> </w:t>
      </w:r>
      <w:r>
        <w:t xml:space="preserve">comment le fait d’être en couple varie, selon ces dernières.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en-coupl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En couple, au moins 4 mois, au cours des 12 derniers mois. Virage PG (pondéré).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Mémoire---Partie-I_files/figure-docx/fig-en-couple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9"/>
        </w:tc>
      </w:tr>
    </w:tbl>
    <w:p>
      <w:pPr>
        <w:pStyle w:val="BodyText"/>
      </w:pPr>
      <w:r>
        <w:t xml:space="preserve">Ces graphiques confirment certains éléments observés dans le tableau 1.</w:t>
      </w:r>
      <w:r>
        <w:t xml:space="preserve"> </w:t>
      </w:r>
      <w:r>
        <w:t xml:space="preserve">Le test du Chi2 ajusté aux données pondérées a été effectué sur chaque</w:t>
      </w:r>
      <w:r>
        <w:t xml:space="preserve"> </w:t>
      </w:r>
      <w:r>
        <w:t xml:space="preserve">variable catégorielle : toutes les variables présentées ici ont un effet</w:t>
      </w:r>
      <w:r>
        <w:t xml:space="preserve"> </w:t>
      </w:r>
      <w:r>
        <w:t xml:space="preserve">significatif en analyse bivariée. On ne connaît toutefois pas la</w:t>
      </w:r>
      <w:r>
        <w:t xml:space="preserve"> </w:t>
      </w:r>
      <w:r>
        <w:t xml:space="preserve">direction, ni l’intensité de l’effet. Tout d’abord les bisexuels sont</w:t>
      </w:r>
      <w:r>
        <w:t xml:space="preserve"> </w:t>
      </w:r>
      <w:r>
        <w:t xml:space="preserve">majoritairement célibataires, à presque 75% loin devant les gays,</w:t>
      </w:r>
      <w:r>
        <w:t xml:space="preserve"> </w:t>
      </w:r>
      <w:r>
        <w:t xml:space="preserve">bisexuelles et lesbiennes, environ 30%, eux-mêmes plus souvent</w:t>
      </w:r>
      <w:r>
        <w:t xml:space="preserve"> </w:t>
      </w:r>
      <w:r>
        <w:t xml:space="preserve">célibataires que les hétérosexuel·les, seulement 25%. Concernant l’âge,</w:t>
      </w:r>
      <w:r>
        <w:t xml:space="preserve"> </w:t>
      </w:r>
      <w:r>
        <w:t xml:space="preserve">dont nous faisons l’hypothèse qu’il influence l’accès à la conjugalité :</w:t>
      </w:r>
      <w:r>
        <w:t xml:space="preserve"> </w:t>
      </w:r>
      <w:r>
        <w:t xml:space="preserve">on observe effectivement que les deux classes d’âge les moins souvent en</w:t>
      </w:r>
      <w:r>
        <w:t xml:space="preserve"> </w:t>
      </w:r>
      <w:r>
        <w:t xml:space="preserve">couple sont celles aux extrêmités. Précisément celles où les bis sont</w:t>
      </w:r>
      <w:r>
        <w:t xml:space="preserve"> </w:t>
      </w:r>
      <w:r>
        <w:t xml:space="preserve">surreprésentés. Les jeunes sont de loin la catégorie la moins en couple.</w:t>
      </w:r>
      <w:r>
        <w:t xml:space="preserve"> </w:t>
      </w:r>
      <w:r>
        <w:t xml:space="preserve">Les plus âgés sont seulement quelques points de pourcentages derrière</w:t>
      </w:r>
      <w:r>
        <w:t xml:space="preserve"> </w:t>
      </w:r>
      <w:r>
        <w:t xml:space="preserve">les 30-39 ans et les 40-49 ans. Ainsi l’âge ne suffit peut-être pas à</w:t>
      </w:r>
      <w:r>
        <w:t xml:space="preserve"> </w:t>
      </w:r>
      <w:r>
        <w:t xml:space="preserve">expliquer le plus grand célibat des hommes bisexuels.</w:t>
      </w:r>
    </w:p>
    <w:p>
      <w:pPr>
        <w:pStyle w:val="BodyText"/>
      </w:pPr>
      <w:r>
        <w:t xml:space="preserve">les deux variables liées au revenu et à la situation financière sont</w:t>
      </w:r>
      <w:r>
        <w:t xml:space="preserve"> </w:t>
      </w:r>
      <w:r>
        <w:t xml:space="preserve">probantes : le fait d’être en couple est corrélé positivement avec le</w:t>
      </w:r>
      <w:r>
        <w:t xml:space="preserve"> </w:t>
      </w:r>
      <w:r>
        <w:t xml:space="preserve">revenu. On observe un écart de 20 points de pourcentage entre les</w:t>
      </w:r>
      <w:r>
        <w:t xml:space="preserve"> </w:t>
      </w:r>
      <w:r>
        <w:t xml:space="preserve">personnes qui déclarent moins de 1 000€ et celles qui déclarent plus de</w:t>
      </w:r>
      <w:r>
        <w:t xml:space="preserve"> </w:t>
      </w:r>
      <w:r>
        <w:t xml:space="preserve">2 000€ de revenu mensuel. Idem pour la situation financière déclarée,</w:t>
      </w:r>
      <w:r>
        <w:t xml:space="preserve"> </w:t>
      </w:r>
      <w:r>
        <w:t xml:space="preserve">plus les personnes sont à l’aise, plus elles sont en couple. Enfin</w:t>
      </w:r>
      <w:r>
        <w:t xml:space="preserve"> </w:t>
      </w:r>
      <w:r>
        <w:t xml:space="preserve">concernant la taille d’agglomération on observe un effet inversement</w:t>
      </w:r>
      <w:r>
        <w:t xml:space="preserve"> </w:t>
      </w:r>
      <w:r>
        <w:t xml:space="preserve">proportionnel à la taille d’agglomération : plus les personnes vivent</w:t>
      </w:r>
      <w:r>
        <w:t xml:space="preserve"> </w:t>
      </w:r>
      <w:r>
        <w:t xml:space="preserve">dans de grandes agglomérations, moins elles sont en couple. Sans</w:t>
      </w:r>
      <w:r>
        <w:t xml:space="preserve"> </w:t>
      </w:r>
      <w:r>
        <w:t xml:space="preserve">surprise, le fait d’avoir des enfants est corrélé à une plus grande</w:t>
      </w:r>
      <w:r>
        <w:t xml:space="preserve"> </w:t>
      </w:r>
      <w:r>
        <w:t xml:space="preserve">probabilité d’être en couple. Le diplôme est la variable la moins</w:t>
      </w:r>
      <w:r>
        <w:t xml:space="preserve"> </w:t>
      </w:r>
      <w:r>
        <w:t xml:space="preserve">correlée, les personnes titulaires d’un dipôme supérieur à bac+3 ayant</w:t>
      </w:r>
      <w:r>
        <w:t xml:space="preserve"> </w:t>
      </w:r>
      <w:r>
        <w:t xml:space="preserve">étant un tout petit plus souvent en couple.</w:t>
      </w:r>
    </w:p>
    <w:p>
      <w:pPr>
        <w:pStyle w:val="BodyText"/>
      </w:pPr>
      <w:r>
        <w:t xml:space="preserve">Cette analyse bivariée confirme une partie de nos hypothèses : l’âge et</w:t>
      </w:r>
      <w:r>
        <w:t xml:space="preserve"> </w:t>
      </w:r>
      <w:r>
        <w:t xml:space="preserve">la classe sont corrélés au fait d’être en couple. De là à dire qu’ils</w:t>
      </w:r>
      <w:r>
        <w:t xml:space="preserve"> </w:t>
      </w:r>
      <w:r>
        <w:t xml:space="preserve">sont des déterminants d’accès à la conjugalié il y a encore un pas. Ici</w:t>
      </w:r>
      <w:r>
        <w:t xml:space="preserve"> </w:t>
      </w:r>
      <w:r>
        <w:t xml:space="preserve">l’analyse est faite à plat.</w:t>
      </w:r>
    </w:p>
    <w:p>
      <w:pPr>
        <w:pStyle w:val="BodyText"/>
      </w:pPr>
      <w:r>
        <w:t xml:space="preserve">La surreprésentation des bisexuels dans la catégorie d’âge la plus âgée</w:t>
      </w:r>
      <w:r>
        <w:t xml:space="preserve"> </w:t>
      </w:r>
      <w:r>
        <w:t xml:space="preserve">explique-t-elle le fait qu’ils sont moins couple ? Idem, la présence des</w:t>
      </w:r>
      <w:r>
        <w:t xml:space="preserve"> </w:t>
      </w:r>
      <w:r>
        <w:t xml:space="preserve">bisexuelles parmi les personnes ayant un faible revenu joue-t-elle sur</w:t>
      </w:r>
      <w:r>
        <w:t xml:space="preserve"> </w:t>
      </w:r>
      <w:r>
        <w:t xml:space="preserve">leur célibat ?</w:t>
      </w:r>
    </w:p>
    <w:p>
      <w:pPr>
        <w:pStyle w:val="BodyText"/>
      </w:pPr>
      <w:r>
        <w:t xml:space="preserve">Difficulté : des effets peuvent se mélanger. Par exemple si on croise</w:t>
      </w:r>
      <w:r>
        <w:t xml:space="preserve"> </w:t>
      </w:r>
      <w:r>
        <w:t xml:space="preserve">diplome et age, les 20 - 29 ans ont plus de chance d’avoir un niveau</w:t>
      </w:r>
      <w:r>
        <w:t xml:space="preserve"> </w:t>
      </w:r>
      <w:r>
        <w:t xml:space="preserve">d’étude supérieur à Bac+3 avec la démocratisation des études</w:t>
      </w:r>
      <w:r>
        <w:t xml:space="preserve"> </w:t>
      </w:r>
      <w:r>
        <w:t xml:space="preserve">supérieures. Hors on voit que le fait d’être en couple diminue chez les</w:t>
      </w:r>
      <w:r>
        <w:t xml:space="preserve"> </w:t>
      </w:r>
      <w:r>
        <w:t xml:space="preserve">plus jeunes et augmente avec le niveau d’étude. Autre exemple : les</w:t>
      </w:r>
      <w:r>
        <w:t xml:space="preserve"> </w:t>
      </w:r>
      <w:r>
        <w:t xml:space="preserve">bisexuelles sont plus présentes dans les 20 - 29 ans, hors les 20 - 29</w:t>
      </w:r>
      <w:r>
        <w:t xml:space="preserve"> </w:t>
      </w:r>
      <w:r>
        <w:t xml:space="preserve">ans sont aussi la catégorie la moins souvent en couple. Est-ce que le</w:t>
      </w:r>
      <w:r>
        <w:t xml:space="preserve"> </w:t>
      </w:r>
      <w:r>
        <w:t xml:space="preserve">fait que les bisexuelles sont moins en couple que les hétérosexuelles</w:t>
      </w:r>
      <w:r>
        <w:t xml:space="preserve"> </w:t>
      </w:r>
      <w:r>
        <w:t xml:space="preserve">est lié à un effet de l’âge ? Un effet de l’identification sexuelle ?</w:t>
      </w:r>
      <w:r>
        <w:t xml:space="preserve"> </w:t>
      </w:r>
      <w:r>
        <w:t xml:space="preserve">C’est dans ce but qu’on fait un modèle mutlivarié de régression</w:t>
      </w:r>
      <w:r>
        <w:t xml:space="preserve"> </w:t>
      </w:r>
      <w:r>
        <w:t xml:space="preserve">logistique : estimer un effet de l’identification sexuelle sur le fait</w:t>
      </w:r>
      <w:r>
        <w:t xml:space="preserve"> </w:t>
      </w:r>
      <w:r>
        <w:t xml:space="preserve">d’être en couple à âge égal.</w:t>
      </w:r>
    </w:p>
    <w:bookmarkEnd w:id="30"/>
    <w:bookmarkStart w:id="35" w:name="X1b1ad4cb4079286d1a1a45cb28ddf9bd5df9bd1"/>
    <w:p>
      <w:pPr>
        <w:pStyle w:val="Heading4"/>
      </w:pPr>
      <w:r>
        <w:t xml:space="preserve">Les déterminants sociaux du fait d’être en couple</w:t>
      </w:r>
    </w:p>
    <w:p>
      <w:pPr>
        <w:pStyle w:val="FirstParagraph"/>
      </w:pPr>
      <w:r>
        <w:t xml:space="preserve">On part du principe que tout fonctionne différement pour les hommes et</w:t>
      </w:r>
      <w:r>
        <w:t xml:space="preserve"> </w:t>
      </w:r>
      <w:r>
        <w:t xml:space="preserve">pour les femmes : l’effet de l’âge sur la mise en couple n’est pas le</w:t>
      </w:r>
      <w:r>
        <w:t xml:space="preserve"> </w:t>
      </w:r>
      <w:r>
        <w:t xml:space="preserve">même, l’impact de la classe sociale non plus et l’effet de l’orientation</w:t>
      </w:r>
      <w:r>
        <w:t xml:space="preserve"> </w:t>
      </w:r>
      <w:r>
        <w:t xml:space="preserve">sexuelle est spécifique à chaque genre, on a commencé à le voir. En</w:t>
      </w:r>
      <w:r>
        <w:t xml:space="preserve"> </w:t>
      </w:r>
      <w:r>
        <w:t xml:space="preserve">conséquence on fait un modèle pour les hommes et un modèle pour les</w:t>
      </w:r>
      <w:r>
        <w:t xml:space="preserve"> </w:t>
      </w:r>
      <w:r>
        <w:t xml:space="preserve">femmes. L’effet de la bisexualité sur la conjugalité est genré</w:t>
      </w:r>
    </w:p>
    <w:p>
      <w:pPr>
        <w:pStyle w:val="BodyText"/>
      </w:pPr>
      <w:r>
        <w:t xml:space="preserve">On considère que l’âge et classe classe sociale peuvent avoir des effets</w:t>
      </w:r>
      <w:r>
        <w:t xml:space="preserve"> </w:t>
      </w:r>
      <w:r>
        <w:t xml:space="preserve">totalement différents sur les hommes et les femmes. La référence de</w:t>
      </w:r>
      <w:r>
        <w:t xml:space="preserve"> </w:t>
      </w:r>
      <w:r>
        <w:t xml:space="preserve">comparaison est double : les femmes bies sont comparées aux femmes</w:t>
      </w:r>
      <w:r>
        <w:t xml:space="preserve"> </w:t>
      </w:r>
      <w:r>
        <w:t xml:space="preserve">hétéros et les hommes bis sont comparés aux hommes hétéros. Puissance</w:t>
      </w:r>
      <w:r>
        <w:t xml:space="preserve"> </w:t>
      </w:r>
      <w:r>
        <w:t xml:space="preserve">statistique réduite : on réduit la taille des échantillons par deux, ce</w:t>
      </w:r>
      <w:r>
        <w:t xml:space="preserve"> </w:t>
      </w:r>
      <w:r>
        <w:t xml:space="preserve">qui peut rendre les variables de contrôle moins significative.</w:t>
      </w:r>
    </w:p>
    <w:p>
      <w:pPr>
        <w:pStyle w:val="BodyText"/>
      </w:pPr>
      <w:r>
        <w:t xml:space="preserve">Le tableau XXX nous montre les résultats des deux modèles concernant</w:t>
      </w:r>
      <w:r>
        <w:t xml:space="preserve"> </w:t>
      </w:r>
      <w:r>
        <w:t xml:space="preserve">l’événement « avoir été en couple de plus de quatre mois dans l’année</w:t>
      </w:r>
      <w:r>
        <w:t xml:space="preserve"> </w:t>
      </w:r>
      <w:r>
        <w:t xml:space="preserve">précédent l’enquête ». La modalité de référence est « ne pas être en</w:t>
      </w:r>
      <w:r>
        <w:t xml:space="preserve"> </w:t>
      </w:r>
      <w:r>
        <w:t xml:space="preserve">couple », on teste donc la probabilité d’être en couple.</w:t>
      </w:r>
    </w:p>
    <w:p>
      <w:pPr>
        <w:pStyle w:val="BodyText"/>
      </w:pPr>
      <w:r>
        <w:t xml:space="preserve">On peut voir que les modèles sont globalement significatifs.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regression-en-coupl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Probabilité d’être en couple plutôt que célibataire (régression logistique). Virage PG (données pondérées).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Mémoire---Partie-I_files/figure-docx/fig-regression-en-couple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4"/>
        </w:tc>
      </w:tr>
    </w:tbl>
    <w:p>
      <w:pPr>
        <w:pStyle w:val="BodyText"/>
      </w:pPr>
      <w:r>
        <w:t xml:space="preserve">Concernant les hommes, on voit un lien existant avec l’identification</w:t>
      </w:r>
      <w:r>
        <w:t xml:space="preserve"> </w:t>
      </w:r>
      <w:r>
        <w:t xml:space="preserve">bisexuelle. Le modèle nous confirme qu’à âge, diplôme, revenu,</w:t>
      </w:r>
      <w:r>
        <w:t xml:space="preserve"> </w:t>
      </w:r>
      <w:r>
        <w:t xml:space="preserve">territoire et statut parental égal, les hommes bisexuels ont moins de</w:t>
      </w:r>
      <w:r>
        <w:t xml:space="preserve"> </w:t>
      </w:r>
      <w:r>
        <w:t xml:space="preserve">chance d’être en couple que les hommes hétérosexuels. Ce résultat</w:t>
      </w:r>
      <w:r>
        <w:t xml:space="preserve"> </w:t>
      </w:r>
      <w:r>
        <w:t xml:space="preserve">confirme un constat observé précédemment, il ne dit rien toutefois des</w:t>
      </w:r>
      <w:r>
        <w:t xml:space="preserve"> </w:t>
      </w:r>
      <w:r>
        <w:t xml:space="preserve">raisons de ce célibat plus fréquent. Il peut exprimer une plus grande</w:t>
      </w:r>
      <w:r>
        <w:t xml:space="preserve"> </w:t>
      </w:r>
      <w:r>
        <w:t xml:space="preserve">difficulté dans l’accès au couple comme une mise à distance du couple.</w:t>
      </w:r>
      <w:r>
        <w:t xml:space="preserve"> </w:t>
      </w:r>
      <w:r>
        <w:t xml:space="preserve">En effet ce résultat peut rendre compte d’une vulnérabilité conjugale</w:t>
      </w:r>
      <w:r>
        <w:t xml:space="preserve"> </w:t>
      </w:r>
      <w:r>
        <w:t xml:space="preserve">spécifique des hommes bisexuels comme d’un rapport à la conjugalité</w:t>
      </w:r>
      <w:r>
        <w:t xml:space="preserve"> </w:t>
      </w:r>
      <w:r>
        <w:t xml:space="preserve">distancié, vu comme un obstacle à la réalisation des désirs</w:t>
      </w:r>
      <w:r>
        <w:t xml:space="preserve"> </w:t>
      </w:r>
      <w:r>
        <w:t xml:space="preserve">(Trachman et Lejbowicz 2018a)</w:t>
      </w:r>
      <w:r>
        <w:t xml:space="preserve">. Nous creuserons la questions du célibat des hommes</w:t>
      </w:r>
      <w:r>
        <w:t xml:space="preserve"> </w:t>
      </w:r>
      <w:r>
        <w:t xml:space="preserve">bisexuels dans la prochaines partie.</w:t>
      </w:r>
    </w:p>
    <w:p>
      <w:pPr>
        <w:pStyle w:val="BodyText"/>
      </w:pPr>
      <w:r>
        <w:t xml:space="preserve">Chez les femmes le lien entre identification sexuelle et fait d’être en</w:t>
      </w:r>
      <w:r>
        <w:t xml:space="preserve"> </w:t>
      </w:r>
      <w:r>
        <w:t xml:space="preserve">couple est moins significatif. Les caractéristiques déterminantes vont</w:t>
      </w:r>
      <w:r>
        <w:t xml:space="preserve"> </w:t>
      </w:r>
      <w:r>
        <w:t xml:space="preserve">plutôt être l’âge : avoir plus de 50 ans est fortement correlé avec le</w:t>
      </w:r>
      <w:r>
        <w:t xml:space="preserve"> </w:t>
      </w:r>
      <w:r>
        <w:t xml:space="preserve">fait de ne pas avoir été en couple l’année passé, contrôlé par les</w:t>
      </w:r>
      <w:r>
        <w:t xml:space="preserve"> </w:t>
      </w:r>
      <w:r>
        <w:t xml:space="preserve">autres variables. C’est également le cas chez les hommes. C’est la</w:t>
      </w:r>
      <w:r>
        <w:t xml:space="preserve"> </w:t>
      </w:r>
      <w:r>
        <w:t xml:space="preserve">modalité 30 - 39 ans qui a été choisie comme modalité de référence du</w:t>
      </w:r>
      <w:r>
        <w:t xml:space="preserve"> </w:t>
      </w:r>
      <w:r>
        <w:t xml:space="preserve">fait de la présence de beaucoup d’étudiant·es dans la première catégorie</w:t>
      </w:r>
      <w:r>
        <w:t xml:space="preserve"> </w:t>
      </w:r>
      <w:r>
        <w:t xml:space="preserve">ainsi que de son effectif moindre. Le fait d’être diplômée d’un niveau</w:t>
      </w:r>
      <w:r>
        <w:t xml:space="preserve"> </w:t>
      </w:r>
      <w:r>
        <w:t xml:space="preserve">supérieur à bac+3 rend légèrement plus probable le fait d’être en couple</w:t>
      </w:r>
      <w:r>
        <w:t xml:space="preserve"> </w:t>
      </w:r>
      <w:r>
        <w:t xml:space="preserve">: alors que pendant une bonne partie du XXe siècle les femmes diplômées</w:t>
      </w:r>
      <w:r>
        <w:t xml:space="preserve"> </w:t>
      </w:r>
      <w:r>
        <w:t xml:space="preserve">du supérieur restaient souvent célibataires, l’allongement des études a</w:t>
      </w:r>
      <w:r>
        <w:t xml:space="preserve"> </w:t>
      </w:r>
      <w:r>
        <w:t xml:space="preserve">généralisé l’expérience du célibat dans la vingtaine et le fait d’être</w:t>
      </w:r>
      <w:r>
        <w:t xml:space="preserve"> </w:t>
      </w:r>
      <w:r>
        <w:t xml:space="preserve">très diplômée de pénalise plus les femmes en amour</w:t>
      </w:r>
      <w:r>
        <w:t xml:space="preserve"> </w:t>
      </w:r>
      <w:r>
        <w:t xml:space="preserve">(Bouchet-Valat 2025)</w:t>
      </w:r>
      <w:r>
        <w:t xml:space="preserve">.</w:t>
      </w:r>
      <w:r>
        <w:t xml:space="preserve"> </w:t>
      </w:r>
      <w:r>
        <w:t xml:space="preserve">Avoir un revenu inférieur à 1 000€ augmente les chances d’être en couple</w:t>
      </w:r>
      <w:r>
        <w:t xml:space="preserve"> </w:t>
      </w:r>
      <w:r>
        <w:t xml:space="preserve">pour les femmes alors que cela fait baisser la probabilité de cet</w:t>
      </w:r>
      <w:r>
        <w:t xml:space="preserve"> </w:t>
      </w:r>
      <w:r>
        <w:t xml:space="preserve">événement pour les hommes. A l’inverse avoir un revenu &gt; 2 000€ est lié</w:t>
      </w:r>
      <w:r>
        <w:t xml:space="preserve"> </w:t>
      </w:r>
      <w:r>
        <w:t xml:space="preserve">au fait d’être en couple chez les hommes. Cette différence illustre la</w:t>
      </w:r>
      <w:r>
        <w:t xml:space="preserve"> </w:t>
      </w:r>
      <w:r>
        <w:t xml:space="preserve">persistance de rôles genrés avec une plus grande importance de</w:t>
      </w:r>
      <w:r>
        <w:t xml:space="preserve"> </w:t>
      </w:r>
      <w:r>
        <w:t xml:space="preserve">l’autonomie financière comme préalable à l’engagement conjugal chez les</w:t>
      </w:r>
      <w:r>
        <w:t xml:space="preserve"> </w:t>
      </w:r>
      <w:r>
        <w:t xml:space="preserve">hommes. Plus la taille d’agglomération de résidence est grande, plus les</w:t>
      </w:r>
      <w:r>
        <w:t xml:space="preserve"> </w:t>
      </w:r>
      <w:r>
        <w:t xml:space="preserve">femmes sont célibataires dans l’année.</w:t>
      </w:r>
    </w:p>
    <w:p>
      <w:pPr>
        <w:pStyle w:val="BodyText"/>
      </w:pPr>
      <w:r>
        <w:t xml:space="preserve">Enfin, avoir un/des enfant(s) est fortement correlé au fait d’être en</w:t>
      </w:r>
      <w:r>
        <w:t xml:space="preserve"> </w:t>
      </w:r>
      <w:r>
        <w:t xml:space="preserve">couple, encore plus pour les hommes que pour les femmes.</w:t>
      </w:r>
    </w:p>
    <w:p>
      <w:pPr>
        <w:pStyle w:val="BodyText"/>
      </w:pPr>
      <w:r>
        <w:t xml:space="preserve">Limite : il n’est pas possible avec ce modèle de tester statistiquement</w:t>
      </w:r>
      <w:r>
        <w:t xml:space="preserve"> </w:t>
      </w:r>
      <w:r>
        <w:t xml:space="preserve">si la différence entre un coefficient chez les hommes et chez les femmes</w:t>
      </w:r>
      <w:r>
        <w:t xml:space="preserve"> </w:t>
      </w:r>
      <w:r>
        <w:t xml:space="preserve">est significative. De plus, l’approche est ici additive, elle part du</w:t>
      </w:r>
      <w:r>
        <w:t xml:space="preserve"> </w:t>
      </w:r>
      <w:r>
        <w:t xml:space="preserve">principe que l’effet de l’âge ne dépend pas de la classe, et</w:t>
      </w:r>
      <w:r>
        <w:t xml:space="preserve"> </w:t>
      </w:r>
      <w:r>
        <w:t xml:space="preserve">inversement. Ce qui est sociologiquement très discutable : les</w:t>
      </w:r>
      <w:r>
        <w:t xml:space="preserve"> </w:t>
      </w:r>
      <w:r>
        <w:t xml:space="preserve">dynamiques de mise en couple et de conjugalité varient fortement selon</w:t>
      </w:r>
      <w:r>
        <w:t xml:space="preserve"> </w:t>
      </w:r>
      <w:r>
        <w:t xml:space="preserve">qu’on est jeune et précaire ou vieux et précaire.</w:t>
      </w:r>
    </w:p>
    <w:bookmarkEnd w:id="35"/>
    <w:bookmarkEnd w:id="36"/>
    <w:bookmarkEnd w:id="37"/>
    <w:bookmarkStart w:id="52" w:name="ii.-le-célibat-des-hommes-bis"/>
    <w:p>
      <w:pPr>
        <w:pStyle w:val="Heading2"/>
      </w:pPr>
      <w:r>
        <w:t xml:space="preserve">II. Le célibat des hommes bis</w:t>
      </w:r>
    </w:p>
    <w:bookmarkStart w:id="43" w:name="X1bef66ea806c5d6c500aa84c863fc9ed690a4e2"/>
    <w:p>
      <w:pPr>
        <w:pStyle w:val="Heading3"/>
      </w:pPr>
      <w:r>
        <w:t xml:space="preserve">A. Les trajectoires des hommes bisexuels dans Virage PG</w:t>
      </w:r>
    </w:p>
    <w:p>
      <w:pPr>
        <w:pStyle w:val="FirstParagraph"/>
      </w:pPr>
      <w:r>
        <w:t xml:space="preserve">Les petits effectifs nous empêchent d’entrer dans le détail statistique</w:t>
      </w:r>
      <w:r>
        <w:t xml:space="preserve"> </w:t>
      </w:r>
      <w:r>
        <w:t xml:space="preserve">de qui sont les hommes bis célibataires. Il serait plus intéressant</w:t>
      </w:r>
      <w:r>
        <w:t xml:space="preserve"> </w:t>
      </w:r>
      <w:r>
        <w:t xml:space="preserve">d’observer des trajectoires, de donner à voir les parcours biographiques</w:t>
      </w:r>
      <w:r>
        <w:t xml:space="preserve"> </w:t>
      </w:r>
      <w:r>
        <w:t xml:space="preserve">: par exemple sont-ils célibataires suite à un divorce et une période</w:t>
      </w:r>
      <w:r>
        <w:t xml:space="preserve"> </w:t>
      </w:r>
      <w:r>
        <w:t xml:space="preserve">longue de mariage avec enfants ? Ou alors sont-ils en célibat de longue</w:t>
      </w:r>
      <w:r>
        <w:t xml:space="preserve"> </w:t>
      </w:r>
      <w:r>
        <w:t xml:space="preserve">durée, sans relation importante ? L’idée serait de faire des différences</w:t>
      </w:r>
      <w:r>
        <w:t xml:space="preserve"> </w:t>
      </w:r>
      <w:r>
        <w:t xml:space="preserve">entre les hommes bisexuels célibataires. L’enquête Virage ne permet pas</w:t>
      </w:r>
      <w:r>
        <w:t xml:space="preserve"> </w:t>
      </w:r>
      <w:r>
        <w:t xml:space="preserve">de faire une analyse de trajectoire au sens séquentiel. Elle ne comporte</w:t>
      </w:r>
      <w:r>
        <w:t xml:space="preserve"> </w:t>
      </w:r>
      <w:r>
        <w:t xml:space="preserve">pas de calendriers des unions, contrairement à létude des relations</w:t>
      </w:r>
      <w:r>
        <w:t xml:space="preserve"> </w:t>
      </w:r>
      <w:r>
        <w:t xml:space="preserve">familiales et intergénérationnelles ou GGS par exemple. Virage n’est pas</w:t>
      </w:r>
      <w:r>
        <w:t xml:space="preserve"> </w:t>
      </w:r>
      <w:r>
        <w:t xml:space="preserve">une enquête biographique avec calendrier des unions, contrairement à</w:t>
      </w:r>
      <w:r>
        <w:t xml:space="preserve"> </w:t>
      </w:r>
      <w:r>
        <w:t xml:space="preserve">Erfi par exemple. Le questionnaire ne demande pas non plus à quand</w:t>
      </w:r>
      <w:r>
        <w:t xml:space="preserve"> </w:t>
      </w:r>
      <w:r>
        <w:t xml:space="preserve">remonte l’identification à la bisexualité. En revanche, le questionnaire</w:t>
      </w:r>
      <w:r>
        <w:t xml:space="preserve"> </w:t>
      </w:r>
      <w:r>
        <w:t xml:space="preserve">documente en détail la relation actuelle et la dernière relation si la</w:t>
      </w:r>
      <w:r>
        <w:t xml:space="preserve"> </w:t>
      </w:r>
      <w:r>
        <w:t xml:space="preserve">personne n’est plus en couple. On ne peut pas reconstruire une vraie</w:t>
      </w:r>
      <w:r>
        <w:t xml:space="preserve"> </w:t>
      </w:r>
      <w:r>
        <w:t xml:space="preserve">séquence biographique mais on peut caractériser l’état de sortie de la</w:t>
      </w:r>
      <w:r>
        <w:t xml:space="preserve"> </w:t>
      </w:r>
      <w:r>
        <w:t xml:space="preserve">dernière relation pour les personnes actuellement célibataires. On peut</w:t>
      </w:r>
      <w:r>
        <w:t xml:space="preserve"> </w:t>
      </w:r>
      <w:r>
        <w:t xml:space="preserve">notamment creuser trois axes : le type de célibat (jamais en couple,</w:t>
      </w:r>
      <w:r>
        <w:t xml:space="preserve"> </w:t>
      </w:r>
      <w:r>
        <w:t xml:space="preserve">célibataire après rupture) ; le statut de la dernière relation (marié,</w:t>
      </w:r>
      <w:r>
        <w:t xml:space="preserve"> </w:t>
      </w:r>
      <w:r>
        <w:t xml:space="preserve">pacs, union libre) et le mode de sortie (séparation, veuvage) ;</w:t>
      </w:r>
      <w:r>
        <w:t xml:space="preserve"> </w:t>
      </w:r>
      <w:r>
        <w:t xml:space="preserve">l’intensité de l’engagement dans le relation (cohabitation, durée,</w:t>
      </w:r>
      <w:r>
        <w:t xml:space="preserve"> </w:t>
      </w:r>
      <w:r>
        <w:t xml:space="preserve">enfants).</w:t>
      </w:r>
    </w:p>
    <w:bookmarkStart w:id="42" w:name="les-célibataires-après-rupture"/>
    <w:p>
      <w:pPr>
        <w:pStyle w:val="Heading4"/>
      </w:pPr>
      <w:r>
        <w:t xml:space="preserve">Les célibataires après rupture</w:t>
      </w:r>
    </w:p>
    <w:p>
      <w:pPr>
        <w:pStyle w:val="FirstParagraph"/>
      </w:pPr>
      <w:r>
        <w:t xml:space="preserve">Pour commencer nous construisons un graphique-portrait (une ligne par</w:t>
      </w:r>
      <w:r>
        <w:t xml:space="preserve"> </w:t>
      </w:r>
      <w:r>
        <w:t xml:space="preserve">répondant) des hommes bisexuels de Virage PG qui sont célibataires après</w:t>
      </w:r>
      <w:r>
        <w:t xml:space="preserve"> </w:t>
      </w:r>
      <w:r>
        <w:t xml:space="preserve">rupture au moment de l’enquête. Les effectifs sont trop faibles pour un</w:t>
      </w:r>
      <w:r>
        <w:t xml:space="preserve"> </w:t>
      </w:r>
      <w:r>
        <w:t xml:space="preserve">tableau croisé avec pourcentages : on privilégie donc une lecture</w:t>
      </w:r>
      <w:r>
        <w:t xml:space="preserve"> </w:t>
      </w:r>
      <w:r>
        <w:t xml:space="preserve">individu par individu.</w:t>
      </w:r>
    </w:p>
    <w:p>
      <w:pPr>
        <w:pStyle w:val="BodyText"/>
      </w:pPr>
      <w:r>
        <w:t xml:space="preserve">Le partage des célibataires jamais-en-couple / célibataires</w:t>
      </w:r>
      <w:r>
        <w:t xml:space="preserve"> </w:t>
      </w:r>
      <w:r>
        <w:t xml:space="preserve">après-rupture est un résultat en lui-même. Un tiers des hommes bi</w:t>
      </w:r>
      <w:r>
        <w:t xml:space="preserve"> </w:t>
      </w:r>
      <w:r>
        <w:t xml:space="preserve">célibataires (21/61) n’ont jamais eu de relation de couple au cours de</w:t>
      </w:r>
      <w:r>
        <w:t xml:space="preserve"> </w:t>
      </w:r>
      <w:r>
        <w:t xml:space="preserve">leur vie. Cette catégorie se distingue de celle des célibataires</w:t>
      </w:r>
      <w:r>
        <w:t xml:space="preserve"> </w:t>
      </w:r>
      <w:r>
        <w:t xml:space="preserve">“post-rupture”</w:t>
      </w:r>
      <w:r>
        <w:t xml:space="preserve"> </w:t>
      </w:r>
      <w:r>
        <w:t xml:space="preserve">(40/61) que nous présentons ici.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elibat-hommes-bi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Trajectoire des hommes bisexuels célibataires après rupture. Virage PG (pondéré).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Mémoire---Partie-I_files/figure-docx/fig-celibat-hommes-bi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41"/>
        </w:tc>
      </w:tr>
    </w:tbl>
    <w:p>
      <w:pPr>
        <w:pStyle w:val="BodyText"/>
      </w:pPr>
      <w:r>
        <w:t xml:space="preserve">Chez les 40 bisexuels qui ont connu au moins une relation et une</w:t>
      </w:r>
      <w:r>
        <w:t xml:space="preserve"> </w:t>
      </w:r>
      <w:r>
        <w:t xml:space="preserve">rupture, le graphique fait apparaître deux populations : un noyau de</w:t>
      </w:r>
      <w:r>
        <w:t xml:space="preserve"> </w:t>
      </w:r>
      <w:r>
        <w:t xml:space="preserve">relations longues (5 ans et plus) ; et une masse de relations plus</w:t>
      </w:r>
      <w:r>
        <w:t xml:space="preserve"> </w:t>
      </w:r>
      <w:r>
        <w:t xml:space="preserve">courtes (moins de 3 ans). Dans les deux cas l’union libre est la forme</w:t>
      </w:r>
      <w:r>
        <w:t xml:space="preserve"> </w:t>
      </w:r>
      <w:r>
        <w:t xml:space="preserve">la plus fréquente bien que le mariage soit plus présent dans les</w:t>
      </w:r>
      <w:r>
        <w:t xml:space="preserve"> </w:t>
      </w:r>
      <w:r>
        <w:t xml:space="preserve">relations de 5 ans et plus. La plupart sont sans enfants. (à commenter :</w:t>
      </w:r>
      <w:r>
        <w:t xml:space="preserve"> </w:t>
      </w:r>
      <w:r>
        <w:t xml:space="preserve">rapport au mariage Maillochon) Ce potentiel non-recours au mariage ne</w:t>
      </w:r>
      <w:r>
        <w:t xml:space="preserve"> </w:t>
      </w:r>
      <w:r>
        <w:t xml:space="preserve">peut être présenté comme un résultat, on l’interrogera dans le cas des</w:t>
      </w:r>
      <w:r>
        <w:t xml:space="preserve"> </w:t>
      </w:r>
      <w:r>
        <w:t xml:space="preserve">femmes bisexuelles, plus souvent en couple. L’observer simplement ici</w:t>
      </w:r>
      <w:r>
        <w:t xml:space="preserve"> </w:t>
      </w:r>
      <w:r>
        <w:t xml:space="preserve">pose la question de ce que signifie le mariage pour les personnes</w:t>
      </w:r>
      <w:r>
        <w:t xml:space="preserve"> </w:t>
      </w:r>
      <w:r>
        <w:t xml:space="preserve">bisexuelles. Majoritairement en couple hétéro dans Virage PG, on peut se</w:t>
      </w:r>
      <w:r>
        <w:t xml:space="preserve"> </w:t>
      </w:r>
      <w:r>
        <w:t xml:space="preserve">demander si elles y ont autant recours que les hétéros. Le mariage à</w:t>
      </w:r>
      <w:r>
        <w:t xml:space="preserve"> </w:t>
      </w:r>
      <w:r>
        <w:t xml:space="preserve">partir des années 1960 ne marque plus la naissance du couple mais sert</w:t>
      </w:r>
      <w:r>
        <w:t xml:space="preserve"> </w:t>
      </w:r>
      <w:r>
        <w:t xml:space="preserve">de reconnaissance d’un couple préexistant. C’est une forme possible</w:t>
      </w:r>
      <w:r>
        <w:t xml:space="preserve"> </w:t>
      </w:r>
      <w:r>
        <w:t xml:space="preserve">d’institutionnalisation, complété par le pacs qui est plus un mode</w:t>
      </w:r>
      <w:r>
        <w:t xml:space="preserve"> </w:t>
      </w:r>
      <w:r>
        <w:t xml:space="preserve">alternatif d’officialisation qu’une étape vers le mariage. C’est bien</w:t>
      </w:r>
      <w:r>
        <w:t xml:space="preserve"> </w:t>
      </w:r>
      <w:r>
        <w:t xml:space="preserve">plutôt la cohabitation qui institue le couple aujourd’hui</w:t>
      </w:r>
      <w:r>
        <w:t xml:space="preserve"> </w:t>
      </w:r>
      <w:r>
        <w:t xml:space="preserve">(Maillochon 2019)</w:t>
      </w:r>
      <w:r>
        <w:t xml:space="preserve">. Malheureusement les variables de cohabitation, durée</w:t>
      </w:r>
      <w:r>
        <w:t xml:space="preserve"> </w:t>
      </w:r>
      <w:r>
        <w:t xml:space="preserve">de relation et sexe du dernier conjoint ne sont filtrées que pour les</w:t>
      </w:r>
      <w:r>
        <w:t xml:space="preserve"> </w:t>
      </w:r>
      <w:r>
        <w:t xml:space="preserve">ruptures ayant eu lieu il y a moins de 8 mois. Ce choix de conception de</w:t>
      </w:r>
      <w:r>
        <w:t xml:space="preserve"> </w:t>
      </w:r>
      <w:r>
        <w:t xml:space="preserve">l’enquête est logique : le module détaillé consacré aux relations ne</w:t>
      </w:r>
      <w:r>
        <w:t xml:space="preserve"> </w:t>
      </w:r>
      <w:r>
        <w:t xml:space="preserve">s’applique qu’aux ruptures récentes survenues au cours de la période de</w:t>
      </w:r>
      <w:r>
        <w:t xml:space="preserve"> </w:t>
      </w:r>
      <w:r>
        <w:t xml:space="preserve">référence de 12 mois utilisée par Virage tout au long de l’enquête.</w:t>
      </w:r>
      <w:r>
        <w:t xml:space="preserve"> </w:t>
      </w:r>
      <w:r>
        <w:t xml:space="preserve">Questionner les individus sur des relations lointaines entraînerait des</w:t>
      </w:r>
      <w:r>
        <w:t xml:space="preserve"> </w:t>
      </w:r>
      <w:r>
        <w:t xml:space="preserve">biais de mémoire. Ainsi les éléments sur la précédente relation ne nous</w:t>
      </w:r>
      <w:r>
        <w:t xml:space="preserve"> </w:t>
      </w:r>
      <w:r>
        <w:t xml:space="preserve">donne que peu d’informations sur le véritable parcours conjugal. Et</w:t>
      </w:r>
      <w:r>
        <w:t xml:space="preserve"> </w:t>
      </w:r>
      <w:r>
        <w:t xml:space="preserve">l’institutionnalisation d’un couple passé, via le pacs ou le mariage,</w:t>
      </w:r>
      <w:r>
        <w:t xml:space="preserve"> </w:t>
      </w:r>
      <w:r>
        <w:t xml:space="preserve">nous dit peu de choses sans d’autres informations sur la relation.</w:t>
      </w:r>
    </w:p>
    <w:bookmarkEnd w:id="42"/>
    <w:bookmarkEnd w:id="43"/>
    <w:bookmarkStart w:id="51" w:name="X1e3d32db3ef84dfab9f145bf494f8f65b21face"/>
    <w:p>
      <w:pPr>
        <w:pStyle w:val="Heading3"/>
      </w:pPr>
      <w:r>
        <w:t xml:space="preserve">B. Un célibat subi lié à une identification bisexuelle « repoussoir » ou un célibat comme mise à distance choisie de la conjugalité ?</w:t>
      </w:r>
    </w:p>
    <w:bookmarkStart w:id="49" w:name="X83b0eea16c45defb3a424d3a6eef252e787ba44"/>
    <w:p>
      <w:pPr>
        <w:pStyle w:val="Heading4"/>
      </w:pPr>
      <w:r>
        <w:t xml:space="preserve">Quelques portraits d’hommes bisexuels célibataires dans l’enquête</w:t>
      </w:r>
    </w:p>
    <w:p>
      <w:pPr>
        <w:pStyle w:val="FirstParagraph"/>
      </w:pPr>
      <w:r>
        <w:t xml:space="preserve">Pour donner à voir les</w:t>
      </w:r>
      <w:r>
        <w:t xml:space="preserve"> </w:t>
      </w:r>
      <w:r>
        <w:t xml:space="preserve">“parcours”</w:t>
      </w:r>
      <w:r>
        <w:t xml:space="preserve"> </w:t>
      </w:r>
      <w:r>
        <w:t xml:space="preserve">je souhaite le compléter par quelques</w:t>
      </w:r>
      <w:r>
        <w:t xml:space="preserve"> </w:t>
      </w:r>
      <w:r>
        <w:t xml:space="preserve">portraits rédigés descriptifs, choisis parmi les cas réels du tableau.</w:t>
      </w:r>
      <w:r>
        <w:t xml:space="preserve"> </w:t>
      </w:r>
      <w:r>
        <w:t xml:space="preserve">Ils n’ont pas vocation à établir une typologie ou des cas-type mais</w:t>
      </w:r>
      <w:r>
        <w:t xml:space="preserve"> </w:t>
      </w:r>
      <w:r>
        <w:t xml:space="preserve">plutôt d’illustrer concrètement ce que nous évoquons avec des tableaux</w:t>
      </w:r>
      <w:r>
        <w:t xml:space="preserve"> </w:t>
      </w:r>
      <w:r>
        <w:t xml:space="preserve">et graphiques, sans sortir du registre descriptif et individuel.</w:t>
      </w:r>
    </w:p>
    <w:bookmarkStart w:id="44" w:name="arthur-id-1429"/>
    <w:p>
      <w:pPr>
        <w:pStyle w:val="Heading5"/>
      </w:pPr>
      <w:r>
        <w:t xml:space="preserve">Arthur (id …1429)</w:t>
      </w:r>
    </w:p>
    <w:p>
      <w:pPr>
        <w:pStyle w:val="FirstParagraph"/>
      </w:pPr>
      <w:r>
        <w:t xml:space="preserve">Arthur, âgé de 26 ans, né en 1989, réside à Reims. Il a grandi avec ses</w:t>
      </w:r>
      <w:r>
        <w:t xml:space="preserve"> </w:t>
      </w:r>
      <w:r>
        <w:t xml:space="preserve">deux parents et sa soeur. Son père était agent de maîtrise et sa mère</w:t>
      </w:r>
      <w:r>
        <w:t xml:space="preserve"> </w:t>
      </w:r>
      <w:r>
        <w:t xml:space="preserve">employée. La religion avait « un peu » d’importance dans son éducation ;</w:t>
      </w:r>
      <w:r>
        <w:t xml:space="preserve"> </w:t>
      </w:r>
      <w:r>
        <w:t xml:space="preserve">lui-même se déclare aujourd’hui sans religion. Il a quitté le domicile</w:t>
      </w:r>
      <w:r>
        <w:t xml:space="preserve"> </w:t>
      </w:r>
      <w:r>
        <w:t xml:space="preserve">parental à 19 ans et occupé son premier emploi de plus de quatre mois à</w:t>
      </w:r>
      <w:r>
        <w:t xml:space="preserve"> </w:t>
      </w:r>
      <w:r>
        <w:t xml:space="preserve">21 ans. Diplômé du supérieur (bac+3 ou plus), il est technicien pour un</w:t>
      </w:r>
      <w:r>
        <w:t xml:space="preserve"> </w:t>
      </w:r>
      <w:r>
        <w:t xml:space="preserve">revenu individuel de 1 300 à 1 600 euros mensuels. Il vit seul et sans</w:t>
      </w:r>
      <w:r>
        <w:t xml:space="preserve"> </w:t>
      </w:r>
      <w:r>
        <w:t xml:space="preserve">enfant.</w:t>
      </w:r>
    </w:p>
    <w:p>
      <w:pPr>
        <w:pStyle w:val="BodyText"/>
      </w:pPr>
      <w:r>
        <w:rPr>
          <w:i/>
          <w:iCs/>
        </w:rPr>
        <w:t xml:space="preserve">Une bisexualité plutôt tournée vers l’autre sexe.</w:t>
      </w:r>
      <w:r>
        <w:t xml:space="preserve"> </w:t>
      </w:r>
      <w:r>
        <w:t xml:space="preserve">Il est attiré</w:t>
      </w:r>
      <w:r>
        <w:t xml:space="preserve"> </w:t>
      </w:r>
      <w:r>
        <w:t xml:space="preserve">surtout par les femmes mais aussi par les hommes, depuis l’âge de 17</w:t>
      </w:r>
      <w:r>
        <w:t xml:space="preserve"> </w:t>
      </w:r>
      <w:r>
        <w:t xml:space="preserve">ans. Son premier rapport sexuel a eu lieu à 17 ans, avec une femme avec</w:t>
      </w:r>
      <w:r>
        <w:t xml:space="preserve"> </w:t>
      </w:r>
      <w:r>
        <w:t xml:space="preserve">qui il a été en couple, son premier rapport avec un homme est survenu la</w:t>
      </w:r>
      <w:r>
        <w:t xml:space="preserve"> </w:t>
      </w:r>
      <w:r>
        <w:t xml:space="preserve">même année. Il compte huit partenaires sur l’ensemble de sa vie (quatre</w:t>
      </w:r>
      <w:r>
        <w:t xml:space="preserve"> </w:t>
      </w:r>
      <w:r>
        <w:t xml:space="preserve">hommes, quatre femmes), mais aucun rapport sexuel au cours des douze</w:t>
      </w:r>
      <w:r>
        <w:t xml:space="preserve"> </w:t>
      </w:r>
      <w:r>
        <w:t xml:space="preserve">derniers mois. Sa deuxième et dernière relation de couple connue était</w:t>
      </w:r>
      <w:r>
        <w:t xml:space="preserve"> </w:t>
      </w:r>
      <w:r>
        <w:t xml:space="preserve">avec une femme, en union libre, s’est terminée par une séparation il y a</w:t>
      </w:r>
      <w:r>
        <w:t xml:space="preserve"> </w:t>
      </w:r>
      <w:r>
        <w:t xml:space="preserve">environ trois ans (vers ses 23 ans).</w:t>
      </w:r>
    </w:p>
    <w:p>
      <w:pPr>
        <w:pStyle w:val="BodyText"/>
      </w:pPr>
      <w:r>
        <w:rPr>
          <w:i/>
          <w:iCs/>
        </w:rPr>
        <w:t xml:space="preserve">Un dévoilement réduit de sa bisexualité</w:t>
      </w:r>
      <w:r>
        <w:t xml:space="preserve">. Son orientation n’est connue</w:t>
      </w:r>
      <w:r>
        <w:t xml:space="preserve"> </w:t>
      </w:r>
      <w:r>
        <w:t xml:space="preserve">ni de son père, ni de sa mère, ni de sa sœur. Elle l’est en revanche de</w:t>
      </w:r>
      <w:r>
        <w:t xml:space="preserve"> </w:t>
      </w:r>
      <w:r>
        <w:t xml:space="preserve">certains de ses amis hétérosexuels et de tous ses collègues proches,</w:t>
      </w:r>
      <w:r>
        <w:t xml:space="preserve"> </w:t>
      </w:r>
      <w:r>
        <w:t xml:space="preserve">mais pas des autres collègues, de son supérieur ni de son médecin</w:t>
      </w:r>
      <w:r>
        <w:t xml:space="preserve"> </w:t>
      </w:r>
      <w:r>
        <w:t xml:space="preserve">traitant. Il a déjà été confronté à une menace de dévoilement non</w:t>
      </w:r>
      <w:r>
        <w:t xml:space="preserve"> </w:t>
      </w:r>
      <w:r>
        <w:t xml:space="preserve">consenti émanant de sa famille, et évite, dans certains lieux, les</w:t>
      </w:r>
      <w:r>
        <w:t xml:space="preserve"> </w:t>
      </w:r>
      <w:r>
        <w:t xml:space="preserve">gestes affectueux en public avec un partenaire, par crainte. Il ne</w:t>
      </w:r>
      <w:r>
        <w:t xml:space="preserve"> </w:t>
      </w:r>
      <w:r>
        <w:t xml:space="preserve">fréquente jamais de lieux gays ou lesbiens.</w:t>
      </w:r>
    </w:p>
    <w:bookmarkEnd w:id="44"/>
    <w:bookmarkStart w:id="45" w:name="patrick-id-3659"/>
    <w:p>
      <w:pPr>
        <w:pStyle w:val="Heading5"/>
      </w:pPr>
      <w:r>
        <w:t xml:space="preserve">Patrick (id …3659)</w:t>
      </w:r>
    </w:p>
    <w:p>
      <w:pPr>
        <w:pStyle w:val="FirstParagraph"/>
      </w:pPr>
      <w:r>
        <w:t xml:space="preserve">Âgé de 60 ans, né en 1955, Patrick vit à Niort. Il est issu d’une</w:t>
      </w:r>
      <w:r>
        <w:t xml:space="preserve"> </w:t>
      </w:r>
      <w:r>
        <w:t xml:space="preserve">famille très nombreuse : quatre frères et sept sœurs, soit douze enfants</w:t>
      </w:r>
      <w:r>
        <w:t xml:space="preserve"> </w:t>
      </w:r>
      <w:r>
        <w:t xml:space="preserve">au total. Ses parents vivaient ensemble lorsqu’il avait 14 ans. Son père</w:t>
      </w:r>
      <w:r>
        <w:t xml:space="preserve"> </w:t>
      </w:r>
      <w:r>
        <w:t xml:space="preserve">occupait une profession intermédiaire administrative ou commerciale ; sa</w:t>
      </w:r>
      <w:r>
        <w:t xml:space="preserve"> </w:t>
      </w:r>
      <w:r>
        <w:t xml:space="preserve">mère était mère au foyer. La religion avait « assez » d’importance dans</w:t>
      </w:r>
      <w:r>
        <w:t xml:space="preserve"> </w:t>
      </w:r>
      <w:r>
        <w:t xml:space="preserve">son éducation ; il se déclare aujourd’hui sans religion. Il a quitté le</w:t>
      </w:r>
      <w:r>
        <w:t xml:space="preserve"> </w:t>
      </w:r>
      <w:r>
        <w:t xml:space="preserve">domicile parental à 24 ans.Titulaire d’un CAP/BEP, il est</w:t>
      </w:r>
      <w:r>
        <w:t xml:space="preserve"> </w:t>
      </w:r>
      <w:r>
        <w:t xml:space="preserve">technico-commercial dans la vente et reste en emploi à 60 ans, pour un</w:t>
      </w:r>
      <w:r>
        <w:t xml:space="preserve"> </w:t>
      </w:r>
      <w:r>
        <w:t xml:space="preserve">revenu mensuel de 1 600 à 2 000 euros. Il vit seul, bien qu’il ait deux</w:t>
      </w:r>
      <w:r>
        <w:t xml:space="preserve"> </w:t>
      </w:r>
      <w:r>
        <w:t xml:space="preserve">enfants, âgés de 30 et 27 ans, qui ne partagent pas son logement. Il est</w:t>
      </w:r>
      <w:r>
        <w:t xml:space="preserve"> </w:t>
      </w:r>
      <w:r>
        <w:t xml:space="preserve">attiré également par les hommes et les femmes, depuis ses 17 ans.</w:t>
      </w:r>
    </w:p>
    <w:p>
      <w:pPr>
        <w:pStyle w:val="BodyText"/>
      </w:pPr>
      <w:r>
        <w:rPr>
          <w:i/>
          <w:iCs/>
        </w:rPr>
        <w:t xml:space="preserve">Un célibat long avec vie relationnelle et sexuelle active après un</w:t>
      </w:r>
      <w:r>
        <w:rPr>
          <w:i/>
          <w:iCs/>
        </w:rPr>
        <w:t xml:space="preserve"> </w:t>
      </w:r>
      <w:r>
        <w:rPr>
          <w:i/>
          <w:iCs/>
        </w:rPr>
        <w:t xml:space="preserve">divorce.</w:t>
      </w:r>
      <w:r>
        <w:t xml:space="preserve"> </w:t>
      </w:r>
      <w:r>
        <w:t xml:space="preserve">Son premier rapport sexuel, à 16 ans, était avec une femme</w:t>
      </w:r>
      <w:r>
        <w:t xml:space="preserve"> </w:t>
      </w:r>
      <w:r>
        <w:t xml:space="preserve">dont il était amoureux avec qui il n’était pas en couple ; son premier</w:t>
      </w:r>
      <w:r>
        <w:t xml:space="preserve"> </w:t>
      </w:r>
      <w:r>
        <w:t xml:space="preserve">rapport avec un homme est survenu à 17 ans. Sa dernière relation de</w:t>
      </w:r>
      <w:r>
        <w:t xml:space="preserve"> </w:t>
      </w:r>
      <w:r>
        <w:t xml:space="preserve">couple était un mariage à l’âge de 25 ans. Il s’est terminé par une</w:t>
      </w:r>
      <w:r>
        <w:t xml:space="preserve"> </w:t>
      </w:r>
      <w:r>
        <w:t xml:space="preserve">séparation il y a vingt-quatre ans (vers ses 36 ans). Il déclare une</w:t>
      </w:r>
      <w:r>
        <w:t xml:space="preserve"> </w:t>
      </w:r>
      <w:r>
        <w:t xml:space="preserve">trentaine de partenaires sur l’ensemble de sa vie (dix hommes, vingt</w:t>
      </w:r>
      <w:r>
        <w:t xml:space="preserve"> </w:t>
      </w:r>
      <w:r>
        <w:t xml:space="preserve">femmes), dont une vingtaine de relations de plus de quatre mois, et des</w:t>
      </w:r>
      <w:r>
        <w:t xml:space="preserve"> </w:t>
      </w:r>
      <w:r>
        <w:t xml:space="preserve">rapports sexuels récents, avec plusieurs nouveaux partenaires au cours</w:t>
      </w:r>
      <w:r>
        <w:t xml:space="preserve"> </w:t>
      </w:r>
      <w:r>
        <w:t xml:space="preserve">des douze derniers mois. Aucune autre relation de couple n’est recensée</w:t>
      </w:r>
      <w:r>
        <w:t xml:space="preserve"> </w:t>
      </w:r>
      <w:r>
        <w:t xml:space="preserve">depuis le divorce</w:t>
      </w:r>
    </w:p>
    <w:p>
      <w:pPr>
        <w:pStyle w:val="BodyText"/>
      </w:pPr>
      <w:r>
        <w:rPr>
          <w:i/>
          <w:iCs/>
        </w:rPr>
        <w:t xml:space="preserve">Un dévoilement sélectif de la bisexualité.</w:t>
      </w:r>
      <w:r>
        <w:t xml:space="preserve"> </w:t>
      </w:r>
      <w:r>
        <w:t xml:space="preserve">Ni son père ni sa mère ne</w:t>
      </w:r>
      <w:r>
        <w:t xml:space="preserve"> </w:t>
      </w:r>
      <w:r>
        <w:t xml:space="preserve">savent qu’il est bisexuel ; certains de ses frères et sœurs le savent,</w:t>
      </w:r>
      <w:r>
        <w:t xml:space="preserve"> </w:t>
      </w:r>
      <w:r>
        <w:t xml:space="preserve">depuis qu’il a 19 ans. Aucun de ses amis hétérosexuels ni de ses</w:t>
      </w:r>
      <w:r>
        <w:t xml:space="preserve"> </w:t>
      </w:r>
      <w:r>
        <w:t xml:space="preserve">collègues proches n’est informé ; seul son médecin traitant l’est. Il</w:t>
      </w:r>
      <w:r>
        <w:t xml:space="preserve"> </w:t>
      </w:r>
      <w:r>
        <w:t xml:space="preserve">n’a jamais été incité à cacher son orientation, jamais menacé d’un</w:t>
      </w:r>
      <w:r>
        <w:t xml:space="preserve"> </w:t>
      </w:r>
      <w:r>
        <w:t xml:space="preserve">dévoilement non consenti, n’évite jamais de gestes affectueux en public</w:t>
      </w:r>
      <w:r>
        <w:t xml:space="preserve"> </w:t>
      </w:r>
      <w:r>
        <w:t xml:space="preserve">et ne fréquente jamais de lieux gays ou lesbiens.</w:t>
      </w:r>
    </w:p>
    <w:bookmarkEnd w:id="45"/>
    <w:bookmarkStart w:id="46" w:name="maxime-id-9144"/>
    <w:p>
      <w:pPr>
        <w:pStyle w:val="Heading5"/>
      </w:pPr>
      <w:r>
        <w:t xml:space="preserve">Maxime (id …9144)</w:t>
      </w:r>
    </w:p>
    <w:p>
      <w:pPr>
        <w:pStyle w:val="FirstParagraph"/>
      </w:pPr>
      <w:r>
        <w:t xml:space="preserve">Maxime est né en 1987, âgé de 28 ans au moment de l’enquête, il vit chez</w:t>
      </w:r>
      <w:r>
        <w:t xml:space="preserve"> </w:t>
      </w:r>
      <w:r>
        <w:t xml:space="preserve">sa mère à Orvault dans les Pays de la Loire. Ses parents sont séparés,</w:t>
      </w:r>
      <w:r>
        <w:t xml:space="preserve"> </w:t>
      </w:r>
      <w:r>
        <w:t xml:space="preserve">il a un frère et n’a jamais quitté le domicile maternel. Son père était</w:t>
      </w:r>
      <w:r>
        <w:t xml:space="preserve"> </w:t>
      </w:r>
      <w:r>
        <w:t xml:space="preserve">ouvrier et sa mère employée. La religion était un peu présente dans son</w:t>
      </w:r>
      <w:r>
        <w:t xml:space="preserve"> </w:t>
      </w:r>
      <w:r>
        <w:t xml:space="preserve">éducation, il n’ y accorde aujourd’hui pas du tout d’importance mais se</w:t>
      </w:r>
      <w:r>
        <w:t xml:space="preserve"> </w:t>
      </w:r>
      <w:r>
        <w:t xml:space="preserve">dit catholique. Il déclare des faits répétés de violence physique Il est</w:t>
      </w:r>
      <w:r>
        <w:t xml:space="preserve"> </w:t>
      </w:r>
      <w:r>
        <w:t xml:space="preserve">titulaire d’un baccalauréat, il a occupé son premier emploi de plus de</w:t>
      </w:r>
      <w:r>
        <w:t xml:space="preserve"> </w:t>
      </w:r>
      <w:r>
        <w:t xml:space="preserve">quatre mois à 22 ans et est aujourd’hui chauffeur pour moins de 700</w:t>
      </w:r>
      <w:r>
        <w:t xml:space="preserve"> </w:t>
      </w:r>
      <w:r>
        <w:t xml:space="preserve">euros de revenu mensuel.</w:t>
      </w:r>
    </w:p>
    <w:p>
      <w:pPr>
        <w:pStyle w:val="BodyText"/>
      </w:pPr>
      <w:r>
        <w:rPr>
          <w:i/>
          <w:iCs/>
        </w:rPr>
        <w:t xml:space="preserve">Des pratiques réparties entre les deux sexes et une relation de couple</w:t>
      </w:r>
      <w:r>
        <w:rPr>
          <w:i/>
          <w:iCs/>
        </w:rPr>
        <w:t xml:space="preserve"> </w:t>
      </w:r>
      <w:r>
        <w:rPr>
          <w:i/>
          <w:iCs/>
        </w:rPr>
        <w:t xml:space="preserve">avec un homme, récemment terminée.</w:t>
      </w:r>
      <w:r>
        <w:t xml:space="preserve"> </w:t>
      </w:r>
      <w:r>
        <w:t xml:space="preserve">Son attirance se porte, depuis ses</w:t>
      </w:r>
      <w:r>
        <w:t xml:space="preserve"> </w:t>
      </w:r>
      <w:r>
        <w:t xml:space="preserve">19 ans, surtout vers le même sexe, mais aussi vers le sexe opposé. Son</w:t>
      </w:r>
      <w:r>
        <w:t xml:space="preserve"> </w:t>
      </w:r>
      <w:r>
        <w:t xml:space="preserve">premier rapport sexuel, à 17 ans, était avec une femme tout juste</w:t>
      </w:r>
      <w:r>
        <w:t xml:space="preserve"> </w:t>
      </w:r>
      <w:r>
        <w:t xml:space="preserve">rencontrée ; son premier rapport avec un homme est survenu à 21 ans. Il</w:t>
      </w:r>
      <w:r>
        <w:t xml:space="preserve"> </w:t>
      </w:r>
      <w:r>
        <w:t xml:space="preserve">compte une vingtaine de partenaires sur l’ensemble de sa vie (dix</w:t>
      </w:r>
      <w:r>
        <w:t xml:space="preserve"> </w:t>
      </w:r>
      <w:r>
        <w:t xml:space="preserve">hommes, dix femmes). Sa dernière et seule relation de couple qui a duré</w:t>
      </w:r>
      <w:r>
        <w:t xml:space="preserve"> </w:t>
      </w:r>
      <w:r>
        <w:t xml:space="preserve">deux ans, avec un homme de trois ans son aîné, s’est terminée par une</w:t>
      </w:r>
      <w:r>
        <w:t xml:space="preserve"> </w:t>
      </w:r>
      <w:r>
        <w:t xml:space="preserve">séparation il y a trois mois. Il a eu des rapports sexuels avec un</w:t>
      </w:r>
      <w:r>
        <w:t xml:space="preserve"> </w:t>
      </w:r>
      <w:r>
        <w:t xml:space="preserve">nouveau partenaire au cours des douze derniers mois.</w:t>
      </w:r>
    </w:p>
    <w:p>
      <w:pPr>
        <w:pStyle w:val="BodyText"/>
      </w:pPr>
      <w:r>
        <w:rPr>
          <w:i/>
          <w:iCs/>
        </w:rPr>
        <w:t xml:space="preserve">Une bisexualité connue</w:t>
      </w:r>
      <w:r>
        <w:t xml:space="preserve">. Sa mère et son frère savent qu’il est</w:t>
      </w:r>
      <w:r>
        <w:t xml:space="preserve"> </w:t>
      </w:r>
      <w:r>
        <w:t xml:space="preserve">bisexuel, depuis qu’il avait 26 ans, on peut supposer au moment de la</w:t>
      </w:r>
      <w:r>
        <w:t xml:space="preserve"> </w:t>
      </w:r>
      <w:r>
        <w:t xml:space="preserve">mise en couple avec son ancien partenaire, le couple rendant plus</w:t>
      </w:r>
      <w:r>
        <w:t xml:space="preserve"> </w:t>
      </w:r>
      <w:r>
        <w:t xml:space="preserve">complexe la dissimulation de l’identification sexuelle. Ils l’ont</w:t>
      </w:r>
      <w:r>
        <w:t xml:space="preserve"> </w:t>
      </w:r>
      <w:r>
        <w:t xml:space="preserve">totalement accepté dès le départ. Tous ses amis hétérosexuels le savent</w:t>
      </w:r>
      <w:r>
        <w:t xml:space="preserve"> </w:t>
      </w:r>
      <w:r>
        <w:t xml:space="preserve">également, ainsi que son médecin traitant ; en revanche, ni ses</w:t>
      </w:r>
      <w:r>
        <w:t xml:space="preserve"> </w:t>
      </w:r>
      <w:r>
        <w:t xml:space="preserve">collègues ni son supérieur ne sont informés. Il n’a jamais été incité à</w:t>
      </w:r>
      <w:r>
        <w:t xml:space="preserve"> </w:t>
      </w:r>
      <w:r>
        <w:t xml:space="preserve">cacher son orientation ni menacé d’un dévoilement non consenti. Il</w:t>
      </w:r>
      <w:r>
        <w:t xml:space="preserve"> </w:t>
      </w:r>
      <w:r>
        <w:t xml:space="preserve">évite, dans certains lieux, les gestes affectueux en public. Il</w:t>
      </w:r>
      <w:r>
        <w:t xml:space="preserve"> </w:t>
      </w:r>
      <w:r>
        <w:t xml:space="preserve">fréquente occasionnellement, des lieux gays et lesbiens.</w:t>
      </w:r>
    </w:p>
    <w:bookmarkEnd w:id="46"/>
    <w:bookmarkStart w:id="47" w:name="portrait-4-id-8986"/>
    <w:p>
      <w:pPr>
        <w:pStyle w:val="Heading5"/>
      </w:pPr>
      <w:r>
        <w:t xml:space="preserve">Portrait 4 (id …8986)</w:t>
      </w:r>
    </w:p>
    <w:p>
      <w:pPr>
        <w:pStyle w:val="FirstParagraph"/>
      </w:pPr>
      <w:r>
        <w:t xml:space="preserve">Âgé de 56 ans, né en 1959, Abdel réside en petite couronne de Paris.</w:t>
      </w:r>
      <w:r>
        <w:t xml:space="preserve"> </w:t>
      </w:r>
      <w:r>
        <w:t xml:space="preserve">Diplômé du supérieur (bac+5), ingénieur de profession, il est au chômage</w:t>
      </w:r>
      <w:r>
        <w:t xml:space="preserve"> </w:t>
      </w:r>
      <w:r>
        <w:t xml:space="preserve">depuis 4 ans, indemnisé entre 700 et 1 000 euros. Immigré, arrivé en</w:t>
      </w:r>
      <w:r>
        <w:t xml:space="preserve"> </w:t>
      </w:r>
      <w:r>
        <w:t xml:space="preserve">France à 30 ans, il est devenu français à 35 ans. Il vit seul et sans</w:t>
      </w:r>
      <w:r>
        <w:t xml:space="preserve"> </w:t>
      </w:r>
      <w:r>
        <w:t xml:space="preserve">enfant. Il a grandi avec ses deux parents, tous deux de nationalité</w:t>
      </w:r>
      <w:r>
        <w:t xml:space="preserve"> </w:t>
      </w:r>
      <w:r>
        <w:t xml:space="preserve">étrangère, aux côtés d’un frère et d’une sœur. Son père était employé,</w:t>
      </w:r>
      <w:r>
        <w:t xml:space="preserve"> </w:t>
      </w:r>
      <w:r>
        <w:t xml:space="preserve">sa mère sans activité professionnelle déclarée. Il a quitté le domicile</w:t>
      </w:r>
      <w:r>
        <w:t xml:space="preserve"> </w:t>
      </w:r>
      <w:r>
        <w:t xml:space="preserve">parental à 30 ans, au moment de son arrivée en France. Il accorde</w:t>
      </w:r>
      <w:r>
        <w:t xml:space="preserve"> </w:t>
      </w:r>
      <w:r>
        <w:t xml:space="preserve">aujourd’hui « un peu » d’importance à la religion qui en avait « assez »</w:t>
      </w:r>
      <w:r>
        <w:t xml:space="preserve"> </w:t>
      </w:r>
      <w:r>
        <w:t xml:space="preserve">dans son éducation.</w:t>
      </w:r>
    </w:p>
    <w:p>
      <w:pPr>
        <w:pStyle w:val="BodyText"/>
      </w:pPr>
      <w:r>
        <w:rPr>
          <w:i/>
          <w:iCs/>
        </w:rPr>
        <w:t xml:space="preserve">Une vie sexuelle à l’écart du couple.</w:t>
      </w:r>
      <w:r>
        <w:t xml:space="preserve"> </w:t>
      </w:r>
      <w:r>
        <w:t xml:space="preserve">Il est attiré également par les</w:t>
      </w:r>
      <w:r>
        <w:t xml:space="preserve"> </w:t>
      </w:r>
      <w:r>
        <w:t xml:space="preserve">hommes et les femmes. Son premier rapport sexuel a eu lieu à 27 ans,</w:t>
      </w:r>
      <w:r>
        <w:t xml:space="preserve"> </w:t>
      </w:r>
      <w:r>
        <w:t xml:space="preserve">avec une femme tout juste rencontrée, un rapport qu’il n’avait pas</w:t>
      </w:r>
      <w:r>
        <w:t xml:space="preserve"> </w:t>
      </w:r>
      <w:r>
        <w:t xml:space="preserve">souhaité mais avait accepté. Son premier rapport avec un homme est</w:t>
      </w:r>
      <w:r>
        <w:t xml:space="preserve"> </w:t>
      </w:r>
      <w:r>
        <w:t xml:space="preserve">survenu plus tard, à 31 ans. Il a eu des rapports sexuels récents, avec</w:t>
      </w:r>
      <w:r>
        <w:t xml:space="preserve"> </w:t>
      </w:r>
      <w:r>
        <w:t xml:space="preserve">plusieurs nouveaux partenaires, au cours des douze derniers mois. Il n’a</w:t>
      </w:r>
      <w:r>
        <w:t xml:space="preserve"> </w:t>
      </w:r>
      <w:r>
        <w:t xml:space="preserve">jamais eu de relation de couple.</w:t>
      </w:r>
    </w:p>
    <w:p>
      <w:pPr>
        <w:pStyle w:val="BodyText"/>
      </w:pPr>
      <w:r>
        <w:rPr>
          <w:i/>
          <w:iCs/>
        </w:rPr>
        <w:t xml:space="preserve">Une bisexualité exposée qui dérange.</w:t>
      </w:r>
      <w:r>
        <w:t xml:space="preserve"> </w:t>
      </w:r>
      <w:r>
        <w:t xml:space="preserve">Son frère et sa soeur savent</w:t>
      </w:r>
      <w:r>
        <w:t xml:space="preserve"> </w:t>
      </w:r>
      <w:r>
        <w:t xml:space="preserve">qu’il est bisexuel, seulement depuis ses 38 ans, ils l’ont totalement</w:t>
      </w:r>
      <w:r>
        <w:t xml:space="preserve"> </w:t>
      </w:r>
      <w:r>
        <w:t xml:space="preserve">accepté. Tous ses amis hétérosexuels le savent également. Il a déjà été</w:t>
      </w:r>
      <w:r>
        <w:t xml:space="preserve"> </w:t>
      </w:r>
      <w:r>
        <w:t xml:space="preserve">incité à cacher son orientation par des amis et des collègues, une</w:t>
      </w:r>
      <w:r>
        <w:t xml:space="preserve"> </w:t>
      </w:r>
      <w:r>
        <w:t xml:space="preserve">situation qu’il juge susceptible de se reproduire, et a déjà subi des</w:t>
      </w:r>
      <w:r>
        <w:t xml:space="preserve"> </w:t>
      </w:r>
      <w:r>
        <w:t xml:space="preserve">menaces de dévoilement non consenti dans au moins deux contextes</w:t>
      </w:r>
      <w:r>
        <w:t xml:space="preserve"> </w:t>
      </w:r>
      <w:r>
        <w:t xml:space="preserve">distincts, dont le cadre professionnel. Il déclare n’éviter jamais les</w:t>
      </w:r>
      <w:r>
        <w:t xml:space="preserve"> </w:t>
      </w:r>
      <w:r>
        <w:t xml:space="preserve">gestes affectueux en public, et ne fréquente jamais de lieux gays ou</w:t>
      </w:r>
      <w:r>
        <w:t xml:space="preserve"> </w:t>
      </w:r>
      <w:r>
        <w:t xml:space="preserve">lesbiens.</w:t>
      </w:r>
    </w:p>
    <w:bookmarkEnd w:id="47"/>
    <w:bookmarkStart w:id="48" w:name="portrait-5-id-7398"/>
    <w:p>
      <w:pPr>
        <w:pStyle w:val="Heading5"/>
      </w:pPr>
      <w:r>
        <w:t xml:space="preserve">Portrait 5 (id …7398)</w:t>
      </w:r>
    </w:p>
    <w:p>
      <w:pPr>
        <w:pStyle w:val="FirstParagraph"/>
      </w:pPr>
      <w:r>
        <w:t xml:space="preserve">Âgé de 52 ans, né en 1963, Sylvain vit dans un village en Occitanie. Il</w:t>
      </w:r>
      <w:r>
        <w:t xml:space="preserve"> </w:t>
      </w:r>
      <w:r>
        <w:t xml:space="preserve">a une soeur, son père était ingénieur et sa mère cadre de la fonction</w:t>
      </w:r>
      <w:r>
        <w:t xml:space="preserve"> </w:t>
      </w:r>
      <w:r>
        <w:t xml:space="preserve">publique. Catholique, il accorde beaucoup d’importance à la religion,</w:t>
      </w:r>
      <w:r>
        <w:t xml:space="preserve"> </w:t>
      </w:r>
      <w:r>
        <w:t xml:space="preserve">une importance qu’il a reçu dans son éducation. Il a quitté le domicile</w:t>
      </w:r>
      <w:r>
        <w:t xml:space="preserve"> </w:t>
      </w:r>
      <w:r>
        <w:t xml:space="preserve">parental à 18 ans. Sans diplôme, aujourd’hui retraité, avec une pension</w:t>
      </w:r>
      <w:r>
        <w:t xml:space="preserve"> </w:t>
      </w:r>
      <w:r>
        <w:t xml:space="preserve">de 3 000 euros, il vit seul et sans enfant.</w:t>
      </w:r>
    </w:p>
    <w:p>
      <w:pPr>
        <w:pStyle w:val="BodyText"/>
      </w:pPr>
      <w:r>
        <w:t xml:space="preserve">Son premier rapport sexuel, précoce, à 14 ans, était avec une femme tout</w:t>
      </w:r>
      <w:r>
        <w:t xml:space="preserve"> </w:t>
      </w:r>
      <w:r>
        <w:t xml:space="preserve">juste rencontrée ; son premier rapport avec un homme est survenu à 20</w:t>
      </w:r>
      <w:r>
        <w:t xml:space="preserve"> </w:t>
      </w:r>
      <w:r>
        <w:t xml:space="preserve">ans. Depuis cette période il dit être attiré surtout par les femmes mais</w:t>
      </w:r>
      <w:r>
        <w:t xml:space="preserve"> </w:t>
      </w:r>
      <w:r>
        <w:t xml:space="preserve">aussi par les hommes. Il compte une dizaine de partenaires sur</w:t>
      </w:r>
      <w:r>
        <w:t xml:space="preserve"> </w:t>
      </w:r>
      <w:r>
        <w:t xml:space="preserve">l’ensemble de sa vie (trois hommes, sept femmes), mais aucun rapport</w:t>
      </w:r>
      <w:r>
        <w:t xml:space="preserve"> </w:t>
      </w:r>
      <w:r>
        <w:t xml:space="preserve">sexuel au cours des douze derniers mois. Il a vécu trente-cinq ans avec</w:t>
      </w:r>
      <w:r>
        <w:t xml:space="preserve"> </w:t>
      </w:r>
      <w:r>
        <w:t xml:space="preserve">une femme, une relation commencée vers ses 17 ans, suivie d’un mariage à</w:t>
      </w:r>
      <w:r>
        <w:t xml:space="preserve"> </w:t>
      </w:r>
      <w:r>
        <w:t xml:space="preserve">25 ans et achevée par le décès de sa partenaire il y a sept mois. La</w:t>
      </w:r>
      <w:r>
        <w:t xml:space="preserve"> </w:t>
      </w:r>
      <w:r>
        <w:t xml:space="preserve">durée de sa relation et la date de son premier rapport avec un homme</w:t>
      </w:r>
      <w:r>
        <w:t xml:space="preserve"> </w:t>
      </w:r>
      <w:r>
        <w:t xml:space="preserve">suggère qu’au moins certaines relations sexuelles ont eu lieu pendant sa</w:t>
      </w:r>
      <w:r>
        <w:t xml:space="preserve"> </w:t>
      </w:r>
      <w:r>
        <w:t xml:space="preserve">relation de couple unique.</w:t>
      </w:r>
    </w:p>
    <w:p>
      <w:pPr>
        <w:pStyle w:val="BodyText"/>
      </w:pPr>
      <w:r>
        <w:t xml:space="preserve">Son père, sa mère et sa sœur savent tous qu’il est bisexuel, depuis ses</w:t>
      </w:r>
      <w:r>
        <w:t xml:space="preserve"> </w:t>
      </w:r>
      <w:r>
        <w:t xml:space="preserve">21 ans, sans que cela pose problème. Certains de ses amis hétérosexuels</w:t>
      </w:r>
      <w:r>
        <w:t xml:space="preserve"> </w:t>
      </w:r>
      <w:r>
        <w:t xml:space="preserve">le savent également, ainsi que son médecin traitant. Il n’a jamais été</w:t>
      </w:r>
      <w:r>
        <w:t xml:space="preserve"> </w:t>
      </w:r>
      <w:r>
        <w:t xml:space="preserve">incité à cacher son orientation ni menacé d’un dévoilement non consenti,</w:t>
      </w:r>
      <w:r>
        <w:t xml:space="preserve"> </w:t>
      </w:r>
      <w:r>
        <w:t xml:space="preserve">et déclare n’éviter jamais les gestes affectueux en public — à nuancer</w:t>
      </w:r>
      <w:r>
        <w:t xml:space="preserve"> </w:t>
      </w:r>
      <w:r>
        <w:t xml:space="preserve">toutefois, la question portant sur un partenaire de même sexe, alors que</w:t>
      </w:r>
      <w:r>
        <w:t xml:space="preserve"> </w:t>
      </w:r>
      <w:r>
        <w:t xml:space="preserve">sa dernière relation, vécue trente-cinq ans durant, était avec une</w:t>
      </w:r>
      <w:r>
        <w:t xml:space="preserve"> </w:t>
      </w:r>
      <w:r>
        <w:t xml:space="preserve">femme. Il ne fréquente jamais de lieux gays ou lesbiens.</w:t>
      </w:r>
    </w:p>
    <w:p>
      <w:pPr>
        <w:pStyle w:val="BodyText"/>
      </w:pPr>
      <w:r>
        <w:t xml:space="preserve">Quelques lignes de force qui ressortent une fois les portraits mis côte</w:t>
      </w:r>
      <w:r>
        <w:t xml:space="preserve"> </w:t>
      </w:r>
      <w:r>
        <w:t xml:space="preserve">à côte, si tu veux les reprendre en synthèse :</w:t>
      </w:r>
    </w:p>
    <w:p>
      <w:pPr>
        <w:pStyle w:val="BodyText"/>
      </w:pPr>
      <w:r>
        <w:t xml:space="preserve">Le dévoilement familial et le</w:t>
      </w:r>
      <w:r>
        <w:t xml:space="preserve"> </w:t>
      </w:r>
      <w:r>
        <w:t xml:space="preserve">“jamais en couple”</w:t>
      </w:r>
      <w:r>
        <w:t xml:space="preserve"> </w:t>
      </w:r>
      <w:r>
        <w:t xml:space="preserve">ne se recoupent pas</w:t>
      </w:r>
      <w:r>
        <w:t xml:space="preserve"> </w:t>
      </w:r>
      <w:r>
        <w:t xml:space="preserve">simplement. Le portrait 4 (jamais en couple) a un dévoilement familial</w:t>
      </w:r>
      <w:r>
        <w:t xml:space="preserve"> </w:t>
      </w:r>
      <w:r>
        <w:t xml:space="preserve">tardif (38 ans) mais large (toute la fratrie, tous les amis) ; le</w:t>
      </w:r>
      <w:r>
        <w:t xml:space="preserve"> </w:t>
      </w:r>
      <w:r>
        <w:t xml:space="preserve">portrait 2 (24 ans de célibat après rupture) a un dévoilement quasi</w:t>
      </w:r>
      <w:r>
        <w:t xml:space="preserve"> </w:t>
      </w:r>
      <w:r>
        <w:t xml:space="preserve">inexistant en famille mais stable et non conflictuel. Le célibat</w:t>
      </w:r>
      <w:r>
        <w:t xml:space="preserve"> </w:t>
      </w:r>
      <w:r>
        <w:t xml:space="preserve">conjugal ne prédit donc pas le rapport à l’entourage. Le rapport à la</w:t>
      </w:r>
      <w:r>
        <w:t xml:space="preserve"> </w:t>
      </w:r>
      <w:r>
        <w:t xml:space="preserve">sexualité pendant le célibat est hétérogène : deux portraits (1 et 5)</w:t>
      </w:r>
      <w:r>
        <w:t xml:space="preserve"> </w:t>
      </w:r>
      <w:r>
        <w:t xml:space="preserve">n’ont eu aucun rapport sexuel dans l’année, deux autres (2 et 4) restent</w:t>
      </w:r>
      <w:r>
        <w:t xml:space="preserve"> </w:t>
      </w:r>
      <w:r>
        <w:t xml:space="preserve">sexuellement actifs avec de nouveaux partenaires malgré l’absence de</w:t>
      </w:r>
      <w:r>
        <w:t xml:space="preserve"> </w:t>
      </w:r>
      <w:r>
        <w:t xml:space="preserve">couple — utile si tu veux nuancer l’équation</w:t>
      </w:r>
      <w:r>
        <w:t xml:space="preserve"> </w:t>
      </w:r>
      <w:r>
        <w:t xml:space="preserve">“célibataire = désengagé</w:t>
      </w:r>
      <w:r>
        <w:t xml:space="preserve"> </w:t>
      </w:r>
      <w:r>
        <w:t xml:space="preserve">sexuellement”</w:t>
      </w:r>
      <w:r>
        <w:t xml:space="preserve">. Le portrait 3 est le seul où l’origine sociale, la</w:t>
      </w:r>
      <w:r>
        <w:t xml:space="preserve"> </w:t>
      </w:r>
      <w:r>
        <w:t xml:space="preserve">trajectoire résidentielle (jamais quitté le foyer maternel) et le</w:t>
      </w:r>
      <w:r>
        <w:t xml:space="preserve"> </w:t>
      </w:r>
      <w:r>
        <w:t xml:space="preserve">célibat s’articulent de façon lisible — les quatre autres montrent des</w:t>
      </w:r>
      <w:r>
        <w:t xml:space="preserve"> </w:t>
      </w:r>
      <w:r>
        <w:t xml:space="preserve">chemins plus disparates.</w:t>
      </w:r>
    </w:p>
    <w:bookmarkEnd w:id="48"/>
    <w:bookmarkEnd w:id="49"/>
    <w:bookmarkStart w:id="50" w:name="X911817ea3b952b451d6c885abd102e0a3060931"/>
    <w:p>
      <w:pPr>
        <w:pStyle w:val="Heading4"/>
      </w:pPr>
      <w:r>
        <w:t xml:space="preserve">Des parcours conjugaux moins linéaires et un célibat qui revêt des formes diverses</w:t>
      </w:r>
    </w:p>
    <w:p>
      <w:pPr>
        <w:pStyle w:val="FirstParagraph"/>
      </w:pPr>
      <w:r>
        <w:t xml:space="preserve">Le premier résultat central de ce travail est que la spécificité des</w:t>
      </w:r>
      <w:r>
        <w:t xml:space="preserve"> </w:t>
      </w:r>
      <w:r>
        <w:t xml:space="preserve">hommes bisexuels vis-à-vis du couple réside dans son absence. Le célibat</w:t>
      </w:r>
      <w:r>
        <w:t xml:space="preserve"> </w:t>
      </w:r>
      <w:r>
        <w:t xml:space="preserve">masculin bisexuel apparaît dans cette enquête à la fois plus massif et</w:t>
      </w:r>
      <w:r>
        <w:t xml:space="preserve"> </w:t>
      </w:r>
      <w:r>
        <w:t xml:space="preserve">plus spécifiquement genré que son équivalent féminin. Ce point avait</w:t>
      </w:r>
      <w:r>
        <w:t xml:space="preserve"> </w:t>
      </w:r>
      <w:r>
        <w:t xml:space="preserve">déjà été soulevé</w:t>
      </w:r>
      <w:r>
        <w:t xml:space="preserve"> </w:t>
      </w:r>
      <w:r>
        <w:t xml:space="preserve">(Trachman et Lejbowicz 2018a)</w:t>
      </w:r>
      <w:r>
        <w:t xml:space="preserve"> </w:t>
      </w:r>
      <w:r>
        <w:t xml:space="preserve">sans toutefois être contrôlé par</w:t>
      </w:r>
      <w:r>
        <w:t xml:space="preserve"> </w:t>
      </w:r>
      <w:r>
        <w:t xml:space="preserve">d’autres variables telles que l’âge ou des déterminants de la classe.</w:t>
      </w:r>
      <w:r>
        <w:t xml:space="preserve"> </w:t>
      </w:r>
      <w:r>
        <w:t xml:space="preserve">Deux lectures proposées sont proposées : d’une part une difficulté</w:t>
      </w:r>
      <w:r>
        <w:t xml:space="preserve"> </w:t>
      </w:r>
      <w:r>
        <w:t xml:space="preserve">accrue à trouver un conjoint, liée à une « vulnérabilité conjugale</w:t>
      </w:r>
      <w:r>
        <w:t xml:space="preserve"> </w:t>
      </w:r>
      <w:r>
        <w:t xml:space="preserve">spécifique des hommes bisexuels » : l’identification bisexuelle</w:t>
      </w:r>
      <w:r>
        <w:t xml:space="preserve"> </w:t>
      </w:r>
      <w:r>
        <w:t xml:space="preserve">fonctionnerait comme un « repoussoir », ces hommes étant « socialement</w:t>
      </w:r>
      <w:r>
        <w:t xml:space="preserve"> </w:t>
      </w:r>
      <w:r>
        <w:t xml:space="preserve">considérés comme des conjoints moins fiables par les femmes comme par</w:t>
      </w:r>
      <w:r>
        <w:t xml:space="preserve"> </w:t>
      </w:r>
      <w:r>
        <w:t xml:space="preserve">les hommes ». D’autre part une mise à distance choisie de la</w:t>
      </w:r>
      <w:r>
        <w:t xml:space="preserve"> </w:t>
      </w:r>
      <w:r>
        <w:t xml:space="preserve">conjugalité, perçue par une partie des hommes bisexuels comme un</w:t>
      </w:r>
      <w:r>
        <w:t xml:space="preserve"> </w:t>
      </w:r>
      <w:r>
        <w:t xml:space="preserve">obstacle à la réalisation de leurs désirs.</w:t>
      </w:r>
    </w:p>
    <w:p>
      <w:pPr>
        <w:pStyle w:val="BodyText"/>
      </w:pPr>
      <w:r>
        <w:t xml:space="preserve">La première hypothèse fait écho à l’idée selon laquelle les personnes</w:t>
      </w:r>
      <w:r>
        <w:t xml:space="preserve"> </w:t>
      </w:r>
      <w:r>
        <w:t xml:space="preserve">bisexuelles seraient structurellement non-monogames, volages, incapables</w:t>
      </w:r>
      <w:r>
        <w:t xml:space="preserve"> </w:t>
      </w:r>
      <w:r>
        <w:t xml:space="preserve">d’engagement de long terme parce qu’elles auraient simultanément besoin</w:t>
      </w:r>
      <w:r>
        <w:t xml:space="preserve"> </w:t>
      </w:r>
      <w:r>
        <w:t xml:space="preserve">de partenaires des deux sexes — stéréotype que la recherche empirique</w:t>
      </w:r>
      <w:r>
        <w:t xml:space="preserve"> </w:t>
      </w:r>
      <w:r>
        <w:t xml:space="preserve">contredit largement</w:t>
      </w:r>
      <w:r>
        <w:t xml:space="preserve"> </w:t>
      </w:r>
      <w:r>
        <w:t xml:space="preserve">(P. C. R. Rust 2002)</w:t>
      </w:r>
      <w:r>
        <w:t xml:space="preserve">.</w:t>
      </w:r>
    </w:p>
    <w:p>
      <w:pPr>
        <w:pStyle w:val="BodyText"/>
      </w:pPr>
      <w:r>
        <w:t xml:space="preserve">Une autre piste d’interprétation se trouve selon moi dans l’âge à part</w:t>
      </w:r>
      <w:r>
        <w:t xml:space="preserve"> </w:t>
      </w:r>
      <w:r>
        <w:t xml:space="preserve">de la population bisexuelle masculine. Bien que l’on ait vu que la</w:t>
      </w:r>
      <w:r>
        <w:t xml:space="preserve"> </w:t>
      </w:r>
      <w:r>
        <w:t xml:space="preserve">probabilité d’être en couple est plus faible pour tous les bis, quelque</w:t>
      </w:r>
      <w:r>
        <w:t xml:space="preserve"> </w:t>
      </w:r>
      <w:r>
        <w:t xml:space="preserve">soit leur âge, cette sur-représentation nous donne une indication sur</w:t>
      </w:r>
      <w:r>
        <w:t xml:space="preserve"> </w:t>
      </w:r>
      <w:r>
        <w:t xml:space="preserve">leurs potentiels parcours de vie. Si la trentaine est le moment où la</w:t>
      </w:r>
      <w:r>
        <w:t xml:space="preserve"> </w:t>
      </w:r>
      <w:r>
        <w:t xml:space="preserve">pression conjugale est la plus forte</w:t>
      </w:r>
      <w:r>
        <w:t xml:space="preserve"> </w:t>
      </w:r>
      <w:r>
        <w:t xml:space="preserve">(Bergström, Courtel, et Vivier 2019)</w:t>
      </w:r>
      <w:r>
        <w:t xml:space="preserve"> </w:t>
      </w:r>
      <w:r>
        <w:t xml:space="preserve">il est tout à fait</w:t>
      </w:r>
      <w:r>
        <w:t xml:space="preserve"> </w:t>
      </w:r>
      <w:r>
        <w:t xml:space="preserve">possible qu’elle entraîne une mise en couple avec une femme. Les</w:t>
      </w:r>
      <w:r>
        <w:t xml:space="preserve"> </w:t>
      </w:r>
      <w:r>
        <w:t xml:space="preserve">pratiques bisexuelles lors de cette période ou ayant eu lieu plus jeunes</w:t>
      </w:r>
      <w:r>
        <w:t xml:space="preserve"> </w:t>
      </w:r>
      <w:r>
        <w:t xml:space="preserve">peuvent être considérées comme de simples expériences, sans conséquence</w:t>
      </w:r>
      <w:r>
        <w:t xml:space="preserve"> </w:t>
      </w:r>
      <w:r>
        <w:t xml:space="preserve">pour l’avenir. On peut supposer qu’une partie des répondants bisexuels</w:t>
      </w:r>
      <w:r>
        <w:t xml:space="preserve"> </w:t>
      </w:r>
      <w:r>
        <w:t xml:space="preserve">ont d’abord connu un mariage hétérosexuel avant de vivre leur</w:t>
      </w:r>
      <w:r>
        <w:t xml:space="preserve"> </w:t>
      </w:r>
      <w:r>
        <w:t xml:space="preserve">bisexualité. Des recherches sur les</w:t>
      </w:r>
      <w:r>
        <w:t xml:space="preserve"> </w:t>
      </w:r>
      <w:r>
        <w:rPr>
          <w:i/>
          <w:iCs/>
        </w:rPr>
        <w:t xml:space="preserve">mixed-orientation mariage</w:t>
      </w:r>
      <w:r>
        <w:t xml:space="preserve"> </w:t>
      </w:r>
      <w:r>
        <w:t xml:space="preserve">dans les</w:t>
      </w:r>
      <w:r>
        <w:t xml:space="preserve"> </w:t>
      </w:r>
      <w:r>
        <w:t xml:space="preserve">années 1980 se sont intéressées à ces mariages impliquant une personne</w:t>
      </w:r>
      <w:r>
        <w:t xml:space="preserve"> </w:t>
      </w:r>
      <w:r>
        <w:t xml:space="preserve">bisexuelle</w:t>
      </w:r>
      <w:r>
        <w:t xml:space="preserve"> </w:t>
      </w:r>
      <w:r>
        <w:t xml:space="preserve">(P. C. R. Rust 2002)</w:t>
      </w:r>
      <w:r>
        <w:t xml:space="preserve">. Passé un certain âge, et surtout un certain âge</w:t>
      </w:r>
      <w:r>
        <w:t xml:space="preserve"> </w:t>
      </w:r>
      <w:r>
        <w:t xml:space="preserve">social lié au fait d’avoir été en couple, peut-être marié et avec des</w:t>
      </w:r>
      <w:r>
        <w:t xml:space="preserve"> </w:t>
      </w:r>
      <w:r>
        <w:t xml:space="preserve">enfants, l’injonction de fonder une famille et de se mettre en ménage se</w:t>
      </w:r>
      <w:r>
        <w:t xml:space="preserve"> </w:t>
      </w:r>
      <w:r>
        <w:t xml:space="preserve">relâche. Les séparations et divorces donnent plus de liberté pour se</w:t>
      </w:r>
      <w:r>
        <w:t xml:space="preserve"> </w:t>
      </w:r>
      <w:r>
        <w:t xml:space="preserve">dire bisexuel après l’avoir occulté une partie de sa vie ou pour la</w:t>
      </w:r>
      <w:r>
        <w:t xml:space="preserve"> </w:t>
      </w:r>
      <w:r>
        <w:t xml:space="preserve">première fois suite à un changement dans la façon d’envisager les</w:t>
      </w:r>
      <w:r>
        <w:t xml:space="preserve"> </w:t>
      </w:r>
      <w:r>
        <w:t xml:space="preserve">relations sexuelles et amoureuses</w:t>
      </w:r>
      <w:r>
        <w:t xml:space="preserve"> </w:t>
      </w:r>
      <w:r>
        <w:t xml:space="preserve">(Dusseau 2017)</w:t>
      </w:r>
      <w:r>
        <w:t xml:space="preserve">. Les parcours d’hommes</w:t>
      </w:r>
      <w:r>
        <w:t xml:space="preserve"> </w:t>
      </w:r>
      <w:r>
        <w:t xml:space="preserve">gays devenus bisexuels ne sont jamais évoqués dans la littérature. Ils</w:t>
      </w:r>
      <w:r>
        <w:t xml:space="preserve"> </w:t>
      </w:r>
      <w:r>
        <w:t xml:space="preserve">existent pourtant et peuvent être liés à un élargissement des</w:t>
      </w:r>
      <w:r>
        <w:t xml:space="preserve"> </w:t>
      </w:r>
      <w:r>
        <w:t xml:space="preserve">sociabilités après une jeunesse tournée vers les lieux communautaires</w:t>
      </w:r>
      <w:r>
        <w:t xml:space="preserve"> </w:t>
      </w:r>
      <w:r>
        <w:t xml:space="preserve">gays, à la transition d’un partenaire ou encore à la volonté de faire</w:t>
      </w:r>
      <w:r>
        <w:t xml:space="preserve"> </w:t>
      </w:r>
      <w:r>
        <w:t xml:space="preserve">concorder les pratiques au cours de la vie avec l’identification</w:t>
      </w:r>
      <w:r>
        <w:t xml:space="preserve"> </w:t>
      </w:r>
      <w:r>
        <w:t xml:space="preserve">sexuelle</w:t>
      </w:r>
      <w:r>
        <w:t xml:space="preserve"> </w:t>
      </w:r>
      <w:r>
        <w:t xml:space="preserve">(P. C. Rust 2000)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Cet objet du célibat des hommes bisexuels est peu travaillé, la</w:t>
      </w:r>
      <w:r>
        <w:t xml:space="preserve"> </w:t>
      </w:r>
      <w:r>
        <w:t xml:space="preserve">littérature française sur le célibat ne traite qu’exceptionnellement de</w:t>
      </w:r>
      <w:r>
        <w:t xml:space="preserve"> </w:t>
      </w:r>
      <w:r>
        <w:t xml:space="preserve">son articulation avec l’orientation sexuelle, souvent faute d’effectifs</w:t>
      </w:r>
      <w:r>
        <w:t xml:space="preserve"> </w:t>
      </w:r>
      <w:r>
        <w:t xml:space="preserve">suffisants dans les enquêtes</w:t>
      </w:r>
      <w:r>
        <w:t xml:space="preserve"> </w:t>
      </w:r>
      <w:r>
        <w:t xml:space="preserve">(Bergström, Courtel, et Vivier 2019)</w:t>
      </w:r>
      <w:r>
        <w:t xml:space="preserve">. Le constat se poursuit</w:t>
      </w:r>
      <w:r>
        <w:t xml:space="preserve"> </w:t>
      </w:r>
      <w:r>
        <w:t xml:space="preserve">dans Virage, dont les effectifs bisexuels, bien que restreints,</w:t>
      </w:r>
      <w:r>
        <w:t xml:space="preserve"> </w:t>
      </w:r>
      <w:r>
        <w:t xml:space="preserve">permettent au moins une approche descriptive.</w:t>
      </w:r>
    </w:p>
    <w:p>
      <w:pPr>
        <w:pStyle w:val="BodyText"/>
      </w:pPr>
      <w:r>
        <w:t xml:space="preserve">Pour célibat et classe sociale : Bergström (célibat qui se poursuite</w:t>
      </w:r>
      <w:r>
        <w:t xml:space="preserve"> </w:t>
      </w:r>
      <w:r>
        <w:t xml:space="preserve">avec âge : hommes populaires et moins diplômés)</w:t>
      </w:r>
      <w:r>
        <w:t xml:space="preserve"> </w:t>
      </w:r>
    </w:p>
    <w:bookmarkEnd w:id="50"/>
    <w:bookmarkEnd w:id="51"/>
    <w:bookmarkEnd w:id="52"/>
    <w:bookmarkStart w:id="96" w:name="Xdf8f04177617fcec97ca36a20b2fa633c9c84ac"/>
    <w:p>
      <w:pPr>
        <w:pStyle w:val="Heading2"/>
      </w:pPr>
      <w:r>
        <w:t xml:space="preserve">III. Les situations conjugales des femmes bisexuelles</w:t>
      </w:r>
    </w:p>
    <w:bookmarkStart w:id="54" w:name="X5bb8fb0bfa9ed0dd00aaaf6adb0a99002ab6991"/>
    <w:p>
      <w:pPr>
        <w:pStyle w:val="Heading3"/>
      </w:pPr>
      <w:r>
        <w:t xml:space="preserve">Une position économique proche des hétéras pour des couples moins institutionnalisés ?</w:t>
      </w:r>
    </w:p>
    <w:p>
      <w:pPr>
        <w:pStyle w:val="FirstParagraph"/>
      </w:pPr>
      <w:r>
        <w:t xml:space="preserve">On a vu dans la partie I. que les femmes bisexuelles sont aussi souvent</w:t>
      </w:r>
      <w:r>
        <w:t xml:space="preserve"> </w:t>
      </w:r>
      <w:r>
        <w:t xml:space="preserve">célibataires que les lesbiennes, mais que lorsqu’elles sont en couple</w:t>
      </w:r>
      <w:r>
        <w:t xml:space="preserve"> </w:t>
      </w:r>
      <w:r>
        <w:t xml:space="preserve">elles le sont très majoritairement avec un homme (51,3 % de l’ensemble</w:t>
      </w:r>
      <w:r>
        <w:t xml:space="preserve"> </w:t>
      </w:r>
      <w:r>
        <w:t xml:space="preserve">des femmes bisexuelles de Virage PG sont en couple avec un homme, soit</w:t>
      </w:r>
      <w:r>
        <w:t xml:space="preserve"> </w:t>
      </w:r>
      <w:r>
        <w:t xml:space="preserve">91,1 % de celles qui sont en couple). On se demande ici ce que recouvre</w:t>
      </w:r>
      <w:r>
        <w:t xml:space="preserve"> </w:t>
      </w:r>
      <w:r>
        <w:t xml:space="preserve">concrètement cette conjugalité : avec qui les femmes bisexuelles</w:t>
      </w:r>
      <w:r>
        <w:t xml:space="preserve"> </w:t>
      </w:r>
      <w:r>
        <w:t xml:space="preserve">font-elles couple (position sociale du/de la conjoint·e), quelle est</w:t>
      </w:r>
      <w:r>
        <w:t xml:space="preserve"> </w:t>
      </w:r>
      <w:r>
        <w:t xml:space="preserve">leur position relative dans ce couple (revenu et patrimoine comparés,</w:t>
      </w:r>
      <w:r>
        <w:t xml:space="preserve"> </w:t>
      </w:r>
      <w:r>
        <w:t xml:space="preserve">revenu du ménage) et dans quelle mesure ce couple est institutionnalisé</w:t>
      </w:r>
      <w:r>
        <w:t xml:space="preserve"> </w:t>
      </w:r>
      <w:r>
        <w:t xml:space="preserve">(mariage/Pacs, cohabitation, durée de la relation, enfants du couple).</w:t>
      </w:r>
    </w:p>
    <w:p>
      <w:pPr>
        <w:pStyle w:val="BodyText"/>
      </w:pPr>
      <w:r>
        <w:t xml:space="preserve">On se limite pour l’instant à Virage PG, où la comparaison Hétéro / Bi /</w:t>
      </w:r>
      <w:r>
        <w:t xml:space="preserve"> </w:t>
      </w:r>
      <w:r>
        <w:t xml:space="preserve">Homo reste possible avec pondération et intervalles de confiance. La</w:t>
      </w:r>
      <w:r>
        <w:t xml:space="preserve"> </w:t>
      </w:r>
      <w:r>
        <w:t xml:space="preserve">comparaison spécifique des couples bi de sexe différent (PG) et bi de</w:t>
      </w:r>
      <w:r>
        <w:t xml:space="preserve"> </w:t>
      </w:r>
      <w:r>
        <w:t xml:space="preserve">même sexe (LGBT) est renvoyée à un second temps (hypothèse 5, partie I).</w:t>
      </w:r>
    </w:p>
    <w:p>
      <w:pPr>
        <w:pStyle w:val="BodyText"/>
      </w:pPr>
      <w:r>
        <w:t xml:space="preserve">Le champ ici est plus large que celui des seules personnes en couple au</w:t>
      </w:r>
      <w:r>
        <w:t xml:space="preserve"> </w:t>
      </w:r>
      <w:r>
        <w:t xml:space="preserve">moment de l’enquête : il inclut aussi les personnes dont la relation</w:t>
      </w:r>
      <w:r>
        <w:t xml:space="preserve"> </w:t>
      </w:r>
      <w:r>
        <w:t xml:space="preserve">qualifiante s’est terminée récemment, ce qui peut faire apparaître</w:t>
      </w:r>
      <w:r>
        <w:t xml:space="preserve"> </w:t>
      </w:r>
      <w:r>
        <w:t xml:space="preserve">quelques cas</w:t>
      </w:r>
      <w:r>
        <w:t xml:space="preserve"> </w:t>
      </w:r>
      <w:r>
        <w:t xml:space="preserve">“Pas en couple”</w:t>
      </w:r>
      <w:r>
        <w:t xml:space="preserve"> </w:t>
      </w:r>
      <w:r>
        <w:t xml:space="preserve">dans la variable de statut conjugal au</w:t>
      </w:r>
      <w:r>
        <w:t xml:space="preserve"> </w:t>
      </w:r>
      <w:r>
        <w:t xml:space="preserve">moment de l’enquête.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conjugalite-femmes-bi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Les couples des femmes selon l’identification sexuelle, parmi les celles en couple dans l’année. Virage PG (pondéré).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6156"/>
              <w:gridCol w:w="1927"/>
              <w:gridCol w:w="1927"/>
              <w:gridCol w:w="1927"/>
              <w:gridCol w:w="1181"/>
            </w:tblGrid>
            <w:tr>
              <w:trPr>
                <w:trHeight w:val="37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Virage PG — Femmes en couple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 </w:t>
                  </w:r>
                </w:p>
              </w:tc>
            </w:tr>
            <w:tr>
              <w:trPr>
                <w:trHeight w:val="540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Homo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65)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Bi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77)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Hétéro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(n = 10196)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p-value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Type de couple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de même sexe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(96%, 100%)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(4.6%, 17%)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(0.34%, 0.70%)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de sexe différent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(0.08%, 4.3%)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91.1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(83%, 95%)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99.5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(99%, 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Revenu comparé à celui (ex)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Revenu supérieur à celui du/de la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32.8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48%)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(8.5%, 26%)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(15%, 17%)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Revenu équivalent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34.1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(5.5%, 22%)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(20%, 22%)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Revenu inférieur à celui du/de la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(43%, 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58.2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(57%, 59%)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sans revenu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(1.1%,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(1.8%, 2.6%)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(2.5%, 33%)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(2.2%, 3.0%)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Patrimoine comparé à celui (ex)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0.013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Ni l'un ni l'autre n'a de patrimoine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(11%, 42%)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41%)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(18%,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Patrimoine commun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35.5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53%)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(22%, 56%)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54.0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(53%, 55%)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Patrimoine plus important que celui du/de la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(7.3%, 30%)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(4.2%,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(5.1%, 6.2%)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Patrimoine équivalent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(3.6%, 24%)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(1.1%, 16%)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(9.9%, 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Patrimoine moins important que celui du/de la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(4.4%, 29%)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(10%, 44%)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(8.7%, 10%)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(0.52%, 22%)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(0.87%, 1.4%)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Revenu du ménage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0.6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Moins de 1 800€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(5.2%, 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(15%, 17%)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De 1 800 à moins de 3 000€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36.1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(22%, 54%)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31.6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37.5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(36%, 39%)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De 3 000 à moins de 4 000€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(11%, 38%)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16.5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(8.5%, 30%)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22.8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(22%, 24%)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4 000€ et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35%)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27.6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(16%, 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Pas de budget commun/NVPD/NSP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(1.7%, 26%)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(3.2%, 4.5%)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Ecart d'âge (ex)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âgé·e (10+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(0.71%, 16%)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(3.5%, 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(7.4%, 8.9%)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âgé·e (5-9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(3.6%, 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11.8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(5.4%, 24%)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(18%,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Du même âge (± 4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(55%, 82%)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66.1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(51%, 79%)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68.8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(68%, 70%)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jeune (5-9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8.5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(3.4%,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(3.5%,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(2.5%, 3.3%)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Conjoint·e plus jeune (10+ ans)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(2.8%, 20%)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(0.52%, 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(0.94%, 1.5%)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Situation de couple actuelle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Pas en couple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(6.0%, 29%)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(4.1%, 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(2.3%, 3.2%)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Marié.e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21.5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36%)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(15%, 40%)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65.1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(64%, 66%)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Pacsé.e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23.7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38%)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(3.3%, 17%)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(5.5%, 6.7%)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Union libre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(27%, 55%)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56.9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(43%, 70%)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25.9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(25%, 27%)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NVPD/NSP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(0.12%, 5.9%)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(0.00%, 0.00%)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0.2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(0.10%, 0.39%)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Cohabitation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cohabitant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76.0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(63%, 86%)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73.1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(59%, 84%)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(89%, 91%)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 couple non cohabitant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(14%, 37%)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26.9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(16%, 41%)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(9.3%, 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Durée relation (ex) conjoint·e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Moins de 1 an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(4.2%, 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(11%, 36%)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(2.2%, 3.0%)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1-4 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45%)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30.9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46%)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12.3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(11%, 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5-9 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33.1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(21%, 48%)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(4.6%, 19%)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13.7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(13%, 15%)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10-19 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(11%, 34%)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(12%, 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24.2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(23%, 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 ans ou plus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6.2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(2.9%, 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18.1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(9.0%, 33%)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47.3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(46%, 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52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Situation parentale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&lt;0.001</w:t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Sans enfant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76.3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(61%, 87%)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45.4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(32%, 60%)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20.3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(19%, 21%)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Enfant(s) dans le couple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19.7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(10%, 35%)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39.2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(26%, 54%)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70.6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(69%, 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530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Enfant(s) d'une précédente union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4.0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(1.3%, 12%)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15.4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(8.3%, 27%)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9.1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(8.5%, 9.8%)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Effectifs non-pondérés entre parenthèses.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Test du Chi-deux ajusté de Rao &amp; Scott pour données pondérées.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Abbreviation: CI = Confidence Interval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4"/>
                      <w:szCs w:val="1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Pourcentages pondérés (Intervalle de confiance à 95 %).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10" w:right="1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Champ : femmes de 20-69 ans en couple, au moins 4 mois, au cours des 12 derniers mois.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4"/>
                      <w:szCs w:val="14"/>
                      <w:color w:val="000000"/>
                    </w:rPr>
                    <w:t xml:space="preserve">Lecture : Parmi les femmes bisexuelles en couple dans l'enquête Virage en population générale, 8,9% sont en couple de même sexe, avec un intervalle de confiance à 95% de [4,6% - 17%].</w:t>
                  </w:r>
                </w:p>
              </w:tc>
            </w:tr>
          </w:tbl>
          <w:bookmarkEnd w:id="53"/>
        </w:tc>
      </w:tr>
    </w:tbl>
    <w:p>
      <w:pPr>
        <w:pStyle w:val="BodyText"/>
      </w:pPr>
      <w:r>
        <w:t xml:space="preserve">ancienne analyse : Des bisexuelles en couple avec des hommes mais proche</w:t>
      </w:r>
      <w:r>
        <w:t xml:space="preserve"> </w:t>
      </w:r>
      <w:r>
        <w:t xml:space="preserve">des lesbiennes dans le style d’union. Les lesbiennes et bisexuelles dans</w:t>
      </w:r>
      <w:r>
        <w:t xml:space="preserve"> </w:t>
      </w:r>
      <w:r>
        <w:t xml:space="preserve">Virage PG sont moins souvent mariées, moins souvent en couple et plus</w:t>
      </w:r>
      <w:r>
        <w:t xml:space="preserve"> </w:t>
      </w:r>
      <w:r>
        <w:t xml:space="preserve">souvent en union libre que les hétérosexuelles. L’écart de mariage des</w:t>
      </w:r>
      <w:r>
        <w:t xml:space="preserve"> </w:t>
      </w:r>
      <w:r>
        <w:t xml:space="preserve">bisexuelles avec les hétérosexuelles subsiste même après contrôle de</w:t>
      </w:r>
      <w:r>
        <w:t xml:space="preserve"> </w:t>
      </w:r>
      <w:r>
        <w:t xml:space="preserve">l’âge (travail sur les régressions en cours). L’écart entre lesbiennes</w:t>
      </w:r>
      <w:r>
        <w:t xml:space="preserve"> </w:t>
      </w:r>
      <w:r>
        <w:t xml:space="preserve">et bisexuelles se creuse dans Virage LGBT, les bisexuelles sont moins</w:t>
      </w:r>
      <w:r>
        <w:t xml:space="preserve"> </w:t>
      </w:r>
      <w:r>
        <w:t xml:space="preserve">souvent mariées et plus souvent célibataires. Cet écart doit encore être</w:t>
      </w:r>
      <w:r>
        <w:t xml:space="preserve"> </w:t>
      </w:r>
      <w:r>
        <w:t xml:space="preserve">contrôlé par l’âge. Ces résultats sont intéressants quand on sait que</w:t>
      </w:r>
      <w:r>
        <w:t xml:space="preserve"> </w:t>
      </w:r>
      <w:r>
        <w:t xml:space="preserve">51,3 % de l’ensemble des femmes bisexuelles dans Virage PG sont en</w:t>
      </w:r>
      <w:r>
        <w:t xml:space="preserve"> </w:t>
      </w:r>
      <w:r>
        <w:t xml:space="preserve">couple avec un homme (90 % de celles en couple). Une piste</w:t>
      </w:r>
      <w:r>
        <w:t xml:space="preserve"> </w:t>
      </w:r>
      <w:r>
        <w:t xml:space="preserve">d’interprétation peut se trouver dans la déstabilisation du « principe</w:t>
      </w:r>
      <w:r>
        <w:t xml:space="preserve"> </w:t>
      </w:r>
      <w:r>
        <w:t xml:space="preserve">hétérosexuel dyadique » (Klesse 2018) qu’implique la bisexualité et donc</w:t>
      </w:r>
      <w:r>
        <w:t xml:space="preserve"> </w:t>
      </w:r>
      <w:r>
        <w:t xml:space="preserve">le potentiel éloignement vis-à-vis de l’institution du mariage. Aux</w:t>
      </w:r>
      <w:r>
        <w:t xml:space="preserve"> </w:t>
      </w:r>
      <w:r>
        <w:t xml:space="preserve">États-Unis pourtant, les femmes bies sont les plus souvent en couple des</w:t>
      </w:r>
      <w:r>
        <w:t xml:space="preserve"> </w:t>
      </w:r>
      <w:r>
        <w:t xml:space="preserve">LGB et elles invoquent les mêmes raisons de se marier que le reste de la</w:t>
      </w:r>
      <w:r>
        <w:t xml:space="preserve"> </w:t>
      </w:r>
      <w:r>
        <w:t xml:space="preserve">population hétéro et LGBT (Gates 2015).</w:t>
      </w:r>
    </w:p>
    <w:p>
      <w:pPr>
        <w:pStyle w:val="BodyText"/>
      </w:pPr>
      <w:r>
        <w:t xml:space="preserve">[à compléter une fois le tableau généré — pistes de lecture à garder en</w:t>
      </w:r>
      <w:r>
        <w:t xml:space="preserve"> </w:t>
      </w:r>
      <w:r>
        <w:t xml:space="preserve">tête : 1) typecpl x csp_conjoint pour caractériser la position sociale</w:t>
      </w:r>
      <w:r>
        <w:t xml:space="preserve"> </w:t>
      </w:r>
      <w:r>
        <w:t xml:space="preserve">des couples bi de sexe différent vs. de même sexe ; 2) lire</w:t>
      </w:r>
      <w:r>
        <w:t xml:space="preserve"> </w:t>
      </w:r>
      <w:r>
        <w:t xml:space="preserve">revenu_compare et patrimoine_compare ensemble, une différence entre les</w:t>
      </w:r>
      <w:r>
        <w:t xml:space="preserve"> </w:t>
      </w:r>
      <w:r>
        <w:t xml:space="preserve">deux pouvant signaler une asymétrie patrimoniale sans asymétrie de</w:t>
      </w:r>
      <w:r>
        <w:t xml:space="preserve"> </w:t>
      </w:r>
      <w:r>
        <w:t xml:space="preserve">revenu courant, ou l’inverse ; 3) statutcouple et duree_rel ensemble</w:t>
      </w:r>
      <w:r>
        <w:t xml:space="preserve"> </w:t>
      </w:r>
      <w:r>
        <w:t xml:space="preserve">pour l’hypothèse Klesse 2018 sur l’éloignement de l’institution du</w:t>
      </w:r>
      <w:r>
        <w:t xml:space="preserve"> </w:t>
      </w:r>
      <w:r>
        <w:t xml:space="preserve">mariage ; 4) comparer ce tableau à celui du II sur l’accès à la</w:t>
      </w:r>
      <w:r>
        <w:t xml:space="preserve"> </w:t>
      </w:r>
      <w:r>
        <w:t xml:space="preserve">conjugalité pour distinguer ce qui relève de qui accède au couple de ce</w:t>
      </w:r>
      <w:r>
        <w:t xml:space="preserve"> </w:t>
      </w:r>
      <w:r>
        <w:t xml:space="preserve">qui relève de quelle forme prend le couple une fois formé.]</w:t>
      </w:r>
    </w:p>
    <w:p>
      <w:pPr>
        <w:pStyle w:val="BodyText"/>
      </w:pPr>
      <w:r>
        <w:t xml:space="preserve">Avant toute lecture, une réserve s’impose : les groupes homo (n=65) et</w:t>
      </w:r>
      <w:r>
        <w:t xml:space="preserve"> </w:t>
      </w:r>
      <w:r>
        <w:t xml:space="preserve">bi (n=77) sont de petits effectifs, ce qui se traduit par des IC parfois</w:t>
      </w:r>
      <w:r>
        <w:t xml:space="preserve"> </w:t>
      </w:r>
      <w:r>
        <w:t xml:space="preserve">très larges. Seules les lignes où le Chi2 est significatif et où l’IC</w:t>
      </w:r>
      <w:r>
        <w:t xml:space="preserve"> </w:t>
      </w:r>
      <w:r>
        <w:t xml:space="preserve">d’un groupe minoritaire ne recoupe pas celui des hétérosexuelles seront</w:t>
      </w:r>
      <w:r>
        <w:t xml:space="preserve"> </w:t>
      </w:r>
      <w:r>
        <w:t xml:space="preserve">lues comme des différences robustes ; les autres seront mentionnées</w:t>
      </w:r>
      <w:r>
        <w:t xml:space="preserve"> </w:t>
      </w:r>
      <w:r>
        <w:t xml:space="preserve">comme suggestives ou non conclusives, conformément à la logique des deux</w:t>
      </w:r>
      <w:r>
        <w:t xml:space="preserve"> </w:t>
      </w:r>
      <w:r>
        <w:t xml:space="preserve">tests déjà retenue plus haut.</w:t>
      </w:r>
    </w:p>
    <w:p>
      <w:pPr>
        <w:pStyle w:val="BodyText"/>
      </w:pPr>
      <w:r>
        <w:t xml:space="preserve">Position économique dans le couple. Le revenu comparé à celui du·de la</w:t>
      </w:r>
      <w:r>
        <w:t xml:space="preserve"> </w:t>
      </w:r>
      <w:r>
        <w:t xml:space="preserve">conjoint·e distingue nettement les homosexuelles, mais pas les</w:t>
      </w:r>
      <w:r>
        <w:t xml:space="preserve"> </w:t>
      </w:r>
      <w:r>
        <w:t xml:space="preserve">bisexuelles. Les femmes bies déclarent un revenu inférieur à celui de</w:t>
      </w:r>
      <w:r>
        <w:t xml:space="preserve"> </w:t>
      </w:r>
      <w:r>
        <w:t xml:space="preserve">leur conjoint dans une proportion presque identique aux hétérosexuelles</w:t>
      </w:r>
      <w:r>
        <w:t xml:space="preserve"> </w:t>
      </w:r>
      <w:r>
        <w:t xml:space="preserve">(58,1 % [43 %-72 %] contre 58,2 % [57 %-59 %]) et un revenu</w:t>
      </w:r>
      <w:r>
        <w:t xml:space="preserve"> </w:t>
      </w:r>
      <w:r>
        <w:t xml:space="preserve">supérieur dans une proportion elle aussi très proche (15,5 % contre 16,4</w:t>
      </w:r>
      <w:r>
        <w:t xml:space="preserve"> </w:t>
      </w:r>
      <w:r>
        <w:t xml:space="preserve">%). Les homosexuelles s’en distinguent nettement : revenu supérieur à</w:t>
      </w:r>
      <w:r>
        <w:t xml:space="preserve"> </w:t>
      </w:r>
      <w:r>
        <w:t xml:space="preserve">celui de la conjointe dans 32,8 % des cas [20 %-48 %] contre 16,4 %</w:t>
      </w:r>
      <w:r>
        <w:t xml:space="preserve"> </w:t>
      </w:r>
      <w:r>
        <w:t xml:space="preserve">chez les hétérosexuelles (IC disjoints), et revenu inférieur dans</w:t>
      </w:r>
      <w:r>
        <w:t xml:space="preserve"> </w:t>
      </w:r>
      <w:r>
        <w:t xml:space="preserve">seulement 33,2 % des cas [21 %-47 %] contre 58,2 % (IC également</w:t>
      </w:r>
      <w:r>
        <w:t xml:space="preserve"> </w:t>
      </w:r>
      <w:r>
        <w:t xml:space="preserve">disjoints). Autrement dit, la position économique des femmes bies au</w:t>
      </w:r>
      <w:r>
        <w:t xml:space="preserve"> </w:t>
      </w:r>
      <w:r>
        <w:t xml:space="preserve">sein du couple ne se distingue pas statistiquement de celle des</w:t>
      </w:r>
      <w:r>
        <w:t xml:space="preserve"> </w:t>
      </w:r>
      <w:r>
        <w:t xml:space="preserve">hétérosexuelles, alors que celle des homosexuelles s’en écarte nettement</w:t>
      </w:r>
      <w:r>
        <w:t xml:space="preserve"> </w:t>
      </w:r>
      <w:r>
        <w:t xml:space="preserve">vers davantage d’équilibre, voire un revenu supérieur à celui de la</w:t>
      </w:r>
      <w:r>
        <w:t xml:space="preserve"> </w:t>
      </w:r>
      <w:r>
        <w:t xml:space="preserve">partenaire. Ce résultat va dans le sens d’une bisexualité féminine dans</w:t>
      </w:r>
      <w:r>
        <w:t xml:space="preserve"> </w:t>
      </w:r>
      <w:r>
        <w:t xml:space="preserve">PG structurée, du point de vue économique du couple, par les mêmes</w:t>
      </w:r>
      <w:r>
        <w:t xml:space="preserve"> </w:t>
      </w:r>
      <w:r>
        <w:t xml:space="preserve">rapports de genre hétéronormés que la conjugalité hétérosexuelle —</w:t>
      </w:r>
      <w:r>
        <w:t xml:space="preserve"> </w:t>
      </w:r>
      <w:r>
        <w:t xml:space="preserve">cohérent, encore une fois, avec le fait que 9 bies en couple sur 10 le</w:t>
      </w:r>
      <w:r>
        <w:t xml:space="preserve"> </w:t>
      </w:r>
      <w:r>
        <w:t xml:space="preserve">sont avec un homme. Le patrimoine comparé suit une tendance descriptive</w:t>
      </w:r>
      <w:r>
        <w:t xml:space="preserve"> </w:t>
      </w:r>
      <w:r>
        <w:t xml:space="preserve">proche (bies et homos partagent moins souvent un patrimoine commun avec</w:t>
      </w:r>
      <w:r>
        <w:t xml:space="preserve"> </w:t>
      </w:r>
      <w:r>
        <w:t xml:space="preserve">leur conjoint·e que les hétéros : 37,5 % et 35,5 % contre 54,0 %), mais</w:t>
      </w:r>
      <w:r>
        <w:t xml:space="preserve"> </w:t>
      </w:r>
      <w:r>
        <w:t xml:space="preserve">le test omnibus, bien que significatif (p = 0,013), ne se traduit pas</w:t>
      </w:r>
      <w:r>
        <w:t xml:space="preserve"> </w:t>
      </w:r>
      <w:r>
        <w:t xml:space="preserve">ici par des IC disjoints à l’échelle des modalités prises séparément —</w:t>
      </w:r>
      <w:r>
        <w:t xml:space="preserve"> </w:t>
      </w:r>
      <w:r>
        <w:t xml:space="preserve">un cas d’association attestée mais non localisable, à traiter avec</w:t>
      </w:r>
      <w:r>
        <w:t xml:space="preserve"> </w:t>
      </w:r>
      <w:r>
        <w:t xml:space="preserve">prudence.</w:t>
      </w:r>
    </w:p>
    <w:p>
      <w:pPr>
        <w:pStyle w:val="BodyText"/>
      </w:pPr>
      <w:r>
        <w:t xml:space="preserve">Institutionnalisation du couple. C’est sur ce plan que les écarts sont</w:t>
      </w:r>
      <w:r>
        <w:t xml:space="preserve"> </w:t>
      </w:r>
      <w:r>
        <w:t xml:space="preserve">les plus francs et les plus robustes. Les femmes bies (25,3 % [15 %-40</w:t>
      </w:r>
      <w:r>
        <w:t xml:space="preserve"> </w:t>
      </w:r>
      <w:r>
        <w:t xml:space="preserve">%]) et homos (21,5 % [12 %-36 %]) sont beaucoup moins souvent mariées</w:t>
      </w:r>
      <w:r>
        <w:t xml:space="preserve"> </w:t>
      </w:r>
      <w:r>
        <w:t xml:space="preserve">que les hétérosexuelles (65,1 % [64 %-66 %], IC disjoints dans les</w:t>
      </w:r>
      <w:r>
        <w:t xml:space="preserve"> </w:t>
      </w:r>
      <w:r>
        <w:t xml:space="preserve">deux cas), et les bies nettement plus souvent en union libre (56,9 %</w:t>
      </w:r>
      <w:r>
        <w:t xml:space="preserve"> </w:t>
      </w:r>
      <w:r>
        <w:t xml:space="preserve">[43 %-70 %] contre 25,9 % [25 %-27 %], IC disjoints). Le Pacs</w:t>
      </w:r>
      <w:r>
        <w:t xml:space="preserve"> </w:t>
      </w:r>
      <w:r>
        <w:t xml:space="preserve">distingue en revanche surtout les homosexuelles (23,7 % [14 %-38 %]</w:t>
      </w:r>
      <w:r>
        <w:t xml:space="preserve"> </w:t>
      </w:r>
      <w:r>
        <w:t xml:space="preserve">contre 6,1 % [5,5 %-6,7 %] chez les hétéros, IC disjoints), sans que</w:t>
      </w:r>
      <w:r>
        <w:t xml:space="preserve"> </w:t>
      </w:r>
      <w:r>
        <w:t xml:space="preserve">les bies ne s’en démarquent significativement (7,6 % [3,3 %-17 %]). La</w:t>
      </w:r>
      <w:r>
        <w:t xml:space="preserve"> </w:t>
      </w:r>
      <w:r>
        <w:t xml:space="preserve">cohabitation suit la même logique : bies (73,1 % [59 %-84 %]) et homos</w:t>
      </w:r>
      <w:r>
        <w:t xml:space="preserve"> </w:t>
      </w:r>
      <w:r>
        <w:t xml:space="preserve">(76,0 % [63 %-86 %]) cohabitent moins souvent avec leur conjoint·e que</w:t>
      </w:r>
      <w:r>
        <w:t xml:space="preserve"> </w:t>
      </w:r>
      <w:r>
        <w:t xml:space="preserve">les hétérosexuelles (90,0 % [89 %-91 %], IC disjoints dans les deux</w:t>
      </w:r>
      <w:r>
        <w:t xml:space="preserve"> </w:t>
      </w:r>
      <w:r>
        <w:t xml:space="preserve">cas). Enfin la durée de la relation est systématiquement plus courte</w:t>
      </w:r>
      <w:r>
        <w:t xml:space="preserve"> </w:t>
      </w:r>
      <w:r>
        <w:t xml:space="preserve">chez les bies et les homos : à peine 18,1 % et 6,2 % de relations de 20</w:t>
      </w:r>
      <w:r>
        <w:t xml:space="preserve"> </w:t>
      </w:r>
      <w:r>
        <w:t xml:space="preserve">ans ou plus contre 47,3 % chez les hétéros (IC disjoints dans les deux</w:t>
      </w:r>
      <w:r>
        <w:t xml:space="preserve"> </w:t>
      </w:r>
      <w:r>
        <w:t xml:space="preserve">cas), et à l’inverse une claire sur-représentation des relations de</w:t>
      </w:r>
      <w:r>
        <w:t xml:space="preserve"> </w:t>
      </w:r>
      <w:r>
        <w:t xml:space="preserve">moins d’un an.</w:t>
      </w:r>
    </w:p>
    <w:p>
      <w:pPr>
        <w:pStyle w:val="BodyText"/>
      </w:pPr>
      <w:r>
        <w:t xml:space="preserve">Ces résultats confirment, au niveau du couple lui-même et non plus</w:t>
      </w:r>
      <w:r>
        <w:t xml:space="preserve"> </w:t>
      </w:r>
      <w:r>
        <w:t xml:space="preserve">seulement de l’accès à la conjugalité (partie II), l’hypothèse d’un</w:t>
      </w:r>
      <w:r>
        <w:t xml:space="preserve"> </w:t>
      </w:r>
      <w:r>
        <w:t xml:space="preserve">éloignement de l’institution du mariage associé à la bisexualité (Klesse</w:t>
      </w:r>
      <w:r>
        <w:t xml:space="preserve"> </w:t>
      </w:r>
      <w:r>
        <w:t xml:space="preserve">2018, déjà mobilisé plus haut) — mais ici étendu à l’homosexualité</w:t>
      </w:r>
      <w:r>
        <w:t xml:space="preserve"> </w:t>
      </w:r>
      <w:r>
        <w:t xml:space="preserve">féminine, ce qui interroge la piste interprétative initiale : c’est</w:t>
      </w:r>
      <w:r>
        <w:t xml:space="preserve"> </w:t>
      </w:r>
      <w:r>
        <w:t xml:space="preserve">peut-être moins la bisexualité en tant que telle que le fait de ne pas</w:t>
      </w:r>
      <w:r>
        <w:t xml:space="preserve"> </w:t>
      </w:r>
      <w:r>
        <w:t xml:space="preserve">être dans une norme de couple hétérosexuel qui joue ici. /! La durée de</w:t>
      </w:r>
      <w:r>
        <w:t xml:space="preserve"> </w:t>
      </w:r>
      <w:r>
        <w:t xml:space="preserve">relation plus courte peut aussi refléter, au moins en partie, une</w:t>
      </w:r>
      <w:r>
        <w:t xml:space="preserve"> </w:t>
      </w:r>
      <w:r>
        <w:t xml:space="preserve">structure d’âge plus jeune chez les bies et homos (déjà relevée partie</w:t>
      </w:r>
      <w:r>
        <w:t xml:space="preserve"> </w:t>
      </w:r>
      <w:r>
        <w:t xml:space="preserve">I) : un contrôle par l’âge serait nécessaire avant de trancher entre</w:t>
      </w:r>
      <w:r>
        <w:t xml:space="preserve"> </w:t>
      </w:r>
      <w:r>
        <w:t xml:space="preserve">effet propre de l’orientation et effet de génération.</w:t>
      </w:r>
    </w:p>
    <w:p>
      <w:pPr>
        <w:pStyle w:val="BodyText"/>
      </w:pPr>
      <w:r>
        <w:t xml:space="preserve">Deux résultats plus fragiles, à mentionner avec prudence. L’écart d’âge</w:t>
      </w:r>
      <w:r>
        <w:t xml:space="preserve"> </w:t>
      </w:r>
      <w:r>
        <w:t xml:space="preserve">avec le·la conjoint·e distingue de justesse bies et homos des</w:t>
      </w:r>
      <w:r>
        <w:t xml:space="preserve"> </w:t>
      </w:r>
      <w:r>
        <w:t xml:space="preserve">hétérosexuelles sur la modalité « conjoint·e plus jeune (5-9 ans) »</w:t>
      </w:r>
      <w:r>
        <w:t xml:space="preserve"> </w:t>
      </w:r>
      <w:r>
        <w:t xml:space="preserve">(bies 9,0 % [3,5 %-21 %], homos 8,5 % [3,4 %-20 %] contre 2,9 %</w:t>
      </w:r>
      <w:r>
        <w:t xml:space="preserve"> </w:t>
      </w:r>
      <w:r>
        <w:t xml:space="preserve">[2,5 %-3,3 %] chez les hétéros, IC tout juste disjoints), et plus</w:t>
      </w:r>
      <w:r>
        <w:t xml:space="preserve"> </w:t>
      </w:r>
      <w:r>
        <w:t xml:space="preserve">nettement pour les homos sur « conjoint·e plus jeune (10 ans ou plus) »</w:t>
      </w:r>
      <w:r>
        <w:t xml:space="preserve"> </w:t>
      </w:r>
      <w:r>
        <w:t xml:space="preserve">(7,9 % [2,8 %-20 %] contre 1,2 % [0,94 %-1,5 %]) : les couples de</w:t>
      </w:r>
      <w:r>
        <w:t xml:space="preserve"> </w:t>
      </w:r>
      <w:r>
        <w:t xml:space="preserve">même sexe semblent s’écarter davantage de la hiérarchie d’âge classique</w:t>
      </w:r>
      <w:r>
        <w:t xml:space="preserve"> </w:t>
      </w:r>
      <w:r>
        <w:t xml:space="preserve">(homme plus âgé) que les couples bies de sexe différent, dont l’IC sur</w:t>
      </w:r>
      <w:r>
        <w:t xml:space="preserve"> </w:t>
      </w:r>
      <w:r>
        <w:t xml:space="preserve">cette dernière modalité recoupe celui des hétéros. Sur les enfants avec</w:t>
      </w:r>
      <w:r>
        <w:t xml:space="preserve"> </w:t>
      </w:r>
      <w:r>
        <w:t xml:space="preserve">le·la (ex-)conjoint·e (p = 0,005), seules les bies se distinguent</w:t>
      </w:r>
      <w:r>
        <w:t xml:space="preserve"> </w:t>
      </w:r>
      <w:r>
        <w:t xml:space="preserve">significativement des hétéros (71,7 % [54 %-85 %] contre 88,5 % [88</w:t>
      </w:r>
      <w:r>
        <w:t xml:space="preserve"> </w:t>
      </w:r>
      <w:r>
        <w:t xml:space="preserve">%-89 %], IC tout juste disjoints) ; l’IC très large des homos (82,9 %</w:t>
      </w:r>
      <w:r>
        <w:t xml:space="preserve"> </w:t>
      </w:r>
      <w:r>
        <w:t xml:space="preserve">[55 %-95 %]) ne permet pas de conclure pour ce groupe.</w:t>
      </w:r>
    </w:p>
    <w:p>
      <w:pPr>
        <w:pStyle w:val="BodyText"/>
      </w:pPr>
      <w:r>
        <w:t xml:space="preserve">À noter enfin, sur le plan méthodologique : la part de « pas en couple »</w:t>
      </w:r>
      <w:r>
        <w:t xml:space="preserve"> </w:t>
      </w:r>
      <w:r>
        <w:t xml:space="preserve">au moment de l’enquête (13,9 % des homos et 10,2 % des bies, contre 2,7</w:t>
      </w:r>
      <w:r>
        <w:t xml:space="preserve"> </w:t>
      </w:r>
      <w:r>
        <w:t xml:space="preserve">% des hétéros, IC disjoints dans les deux cas) au sein d’une population</w:t>
      </w:r>
      <w:r>
        <w:t xml:space="preserve"> </w:t>
      </w:r>
      <w:r>
        <w:t xml:space="preserve">pourtant sélectionnée sur le critère « en couple &gt; 4 mois dans les 12</w:t>
      </w:r>
      <w:r>
        <w:t xml:space="preserve"> </w:t>
      </w:r>
      <w:r>
        <w:t xml:space="preserve">derniers mois » confirme la remarque du cadrage : une partie des</w:t>
      </w:r>
      <w:r>
        <w:t xml:space="preserve"> </w:t>
      </w:r>
      <w:r>
        <w:t xml:space="preserve">catégories FCPL = 03/04 (relations récemment terminées) est</w:t>
      </w:r>
      <w:r>
        <w:t xml:space="preserve"> </w:t>
      </w:r>
      <w:r>
        <w:t xml:space="preserve">mécaniquement captée ici. Le revenu du ménage, enfin, ne se différencie</w:t>
      </w:r>
      <w:r>
        <w:t xml:space="preserve"> </w:t>
      </w:r>
      <w:r>
        <w:t xml:space="preserve">pas significativement selon l’identification (p = 0,079) — à reconfirmer</w:t>
      </w:r>
      <w:r>
        <w:t xml:space="preserve"> </w:t>
      </w:r>
      <w:r>
        <w:t xml:space="preserve">si les seuils de recodage, encore provisoires, sont resserrés.</w:t>
      </w:r>
    </w:p>
    <w:bookmarkEnd w:id="54"/>
    <w:bookmarkStart w:id="95" w:name="Xee52bb62696a3464f43f02e9815206e8ed21f17"/>
    <w:p>
      <w:pPr>
        <w:pStyle w:val="Heading3"/>
      </w:pPr>
      <w:r>
        <w:t xml:space="preserve">Une moindre institutionnalisation du couple chez les femmes bisexuelles ?</w:t>
      </w:r>
    </w:p>
    <w:p>
      <w:pPr>
        <w:pStyle w:val="FirstParagraph"/>
      </w:pPr>
      <w:r>
        <w:t xml:space="preserve">trouver ref pour dire institutionnalisation = mariage. Prendre</w:t>
      </w:r>
      <w:r>
        <w:t xml:space="preserve"> </w:t>
      </w:r>
      <w:r>
        <w:t xml:space="preserve">Maillochon pour redire : cohabitation marque le couple, mariage</w:t>
      </w:r>
      <w:r>
        <w:t xml:space="preserve"> </w:t>
      </w:r>
      <w:r>
        <w:t xml:space="preserve">officialise quelque chose de déjà présent.</w:t>
      </w:r>
    </w:p>
    <w:p>
      <w:pPr>
        <w:pStyle w:val="BodyText"/>
      </w:pPr>
      <w:r>
        <w:t xml:space="preserve">Expliquer choix des variables de contrôle</w:t>
      </w:r>
    </w:p>
    <w:p>
      <w:pPr>
        <w:pStyle w:val="BodyText"/>
      </w:pPr>
      <w:r>
        <w:t xml:space="preserve">On teste l’institutionnalisation du couple chez les femmes bisexuelles.</w:t>
      </w:r>
      <w:r>
        <w:t xml:space="preserve"> </w:t>
      </w:r>
      <w:r>
        <w:t xml:space="preserve">Hypothèses : bien qu’en couple majoritairement avec des hommes elles</w:t>
      </w:r>
      <w:r>
        <w:t xml:space="preserve"> </w:t>
      </w:r>
      <w:r>
        <w:t xml:space="preserve">investissent des formes moins institutionnalisées de conjugalité.</w:t>
      </w:r>
      <w:r>
        <w:t xml:space="preserve"> </w:t>
      </w:r>
      <w:r>
        <w:t xml:space="preserve">Contrôler par l’âge (et la classe?) &gt; vérifier déterminants du mariage,</w:t>
      </w:r>
      <w:r>
        <w:t xml:space="preserve"> </w:t>
      </w:r>
      <w:r>
        <w:t xml:space="preserve">de la cohab, de la durée des relations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X6c3d426a4aa5f6f5677caf8e073109c7169f52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Institutionnalisation du couple chez les femmes bisexuelles en couple dans l’année (régression logistique). Virage PG (pondéré).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Mémoire---Partie-I_files/figure-docx/fig-institutionnalisation-couple-femmes-bi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58"/>
        </w:tc>
      </w:tr>
    </w:tbl>
    <w:p>
      <w:pPr>
        <w:pStyle w:val="BodyText"/>
      </w:pPr>
      <w:r>
        <w:t xml:space="preserve">Les points à gauche de 0 : probabilité plus faible que l’événement se</w:t>
      </w:r>
      <w:r>
        <w:t xml:space="preserve"> </w:t>
      </w:r>
      <w:r>
        <w:t xml:space="preserve">produise que les hétéros. Les points à droite : proba plus élevé</w:t>
      </w:r>
      <w:r>
        <w:t xml:space="preserve"> </w:t>
      </w:r>
      <w:r>
        <w:t xml:space="preserve">L’intervalle de confiance : trait horizontal qui chevauche 0 : l’effet</w:t>
      </w:r>
      <w:r>
        <w:t xml:space="preserve"> </w:t>
      </w:r>
      <w:r>
        <w:t xml:space="preserve">n’est pas significatif à 5% ; s’il ne touche pas 0 : effet significatif</w:t>
      </w:r>
    </w:p>
    <w:p>
      <w:pPr>
        <w:pStyle w:val="BodyText"/>
      </w:pPr>
      <w:r>
        <w:t xml:space="preserve">Jamais significatif pour les homo (pas grave, on utilise PG pour</w:t>
      </w:r>
      <w:r>
        <w:t xml:space="preserve"> </w:t>
      </w:r>
      <w:r>
        <w:t xml:space="preserve">comparer les bies aux hétéras) Significatif chez les bies sur le mariage</w:t>
      </w:r>
      <w:r>
        <w:t xml:space="preserve"> </w:t>
      </w:r>
      <w:r>
        <w:t xml:space="preserve">et la durée de relation : elles sont moins mariées et ont des relations</w:t>
      </w:r>
      <w:r>
        <w:t xml:space="preserve"> </w:t>
      </w:r>
      <w:r>
        <w:t xml:space="preserve">moins longues, à âge égal, type de couple égal….</w:t>
      </w:r>
    </w:p>
    <w:p>
      <w:pPr>
        <w:pStyle w:val="BodyText"/>
      </w:pPr>
      <w:r>
        <w:t xml:space="preserve">Modèle 1 — Mariage (réf. Pas mariée) Le lien avec l’identification</w:t>
      </w:r>
      <w:r>
        <w:t xml:space="preserve"> </w:t>
      </w:r>
      <w:r>
        <w:t xml:space="preserve">sexuelle est net : les femmes bi ont une probabilité significativement</w:t>
      </w:r>
      <w:r>
        <w:t xml:space="preserve"> </w:t>
      </w:r>
      <w:r>
        <w:t xml:space="preserve">plus faible d’être mariées que les hétéros (log(OR) = -0,87, IC 95% -1,6</w:t>
      </w:r>
      <w:r>
        <w:t xml:space="preserve"> </w:t>
      </w:r>
      <w:r>
        <w:t xml:space="preserve">à -0,13, p=0,022). Les homo affichent un coefficient de sens comparable</w:t>
      </w:r>
      <w:r>
        <w:t xml:space="preserve"> </w:t>
      </w:r>
      <w:r>
        <w:t xml:space="preserve">(-0,69) mais non significatif (p=0,2), sans doute par manque de</w:t>
      </w:r>
      <w:r>
        <w:t xml:space="preserve"> </w:t>
      </w:r>
      <w:r>
        <w:t xml:space="preserve">puissance (effectif plus restreint). Les autres prédicteurs vont dans le</w:t>
      </w:r>
      <w:r>
        <w:t xml:space="preserve"> </w:t>
      </w:r>
      <w:r>
        <w:t xml:space="preserve">sens attendu : les difficultés financières réduisent la probabilité</w:t>
      </w:r>
      <w:r>
        <w:t xml:space="preserve"> </w:t>
      </w:r>
      <w:r>
        <w:t xml:space="preserve">d’être mariée, avoir des enfants l’augmente fortement.</w:t>
      </w:r>
    </w:p>
    <w:p>
      <w:pPr>
        <w:pStyle w:val="BodyText"/>
      </w:pPr>
      <w:r>
        <w:t xml:space="preserve">Modèle 2 — Cohabitation (réf. En couple non cohabitant) Ici,</w:t>
      </w:r>
      <w:r>
        <w:t xml:space="preserve"> </w:t>
      </w:r>
      <w:r>
        <w:t xml:space="preserve">l’identification sexuelle perd toute significativité (Bi : -0,33, p=0,5</w:t>
      </w:r>
      <w:r>
        <w:t xml:space="preserve"> </w:t>
      </w:r>
      <w:r>
        <w:t xml:space="preserve">; Homo : -0,81, p=0,3). C’est un résultat intéressant en soi : une fois</w:t>
      </w:r>
      <w:r>
        <w:t xml:space="preserve"> </w:t>
      </w:r>
      <w:r>
        <w:t xml:space="preserve">qu’on contrôle par le statut de couple (marié/pacsé/union libre — qui</w:t>
      </w:r>
      <w:r>
        <w:t xml:space="preserve"> </w:t>
      </w:r>
      <w:r>
        <w:t xml:space="preserve">capte l’essentiel de la variance), l’orientation sexuelle n’explique</w:t>
      </w:r>
      <w:r>
        <w:t xml:space="preserve"> </w:t>
      </w:r>
      <w:r>
        <w:t xml:space="preserve">plus grand-chose de la cohabitation. Le vrai moteur de la cohabitation,</w:t>
      </w:r>
      <w:r>
        <w:t xml:space="preserve"> </w:t>
      </w:r>
      <w:r>
        <w:t xml:space="preserve">ce sont le mariage/pacs eux-mêmes (log(OR) autour de 4, logique puisque</w:t>
      </w:r>
      <w:r>
        <w:t xml:space="preserve"> </w:t>
      </w:r>
      <w:r>
        <w:t xml:space="preserve">quasiment personne n’est marié sans cohabiter).</w:t>
      </w:r>
    </w:p>
    <w:p>
      <w:pPr>
        <w:pStyle w:val="BodyText"/>
      </w:pPr>
      <w:r>
        <w:t xml:space="preserve">Modèle 3 — Durée de la relation (&gt;5 ans vs &lt;5 ans) L’effet bi</w:t>
      </w:r>
      <w:r>
        <w:t xml:space="preserve"> </w:t>
      </w:r>
      <w:r>
        <w:t xml:space="preserve">réapparaît fort et significatif (-1,2, IC -1,8 à -0,51, p&lt;0,001) : les</w:t>
      </w:r>
      <w:r>
        <w:t xml:space="preserve"> </w:t>
      </w:r>
      <w:r>
        <w:t xml:space="preserve">femmes bi ont des relations actuelles significativement plus courtes.</w:t>
      </w:r>
      <w:r>
        <w:t xml:space="preserve"> </w:t>
      </w:r>
      <w:r>
        <w:t xml:space="preserve">Homo non significatif à nouveau (-0,67, p=0,3). Là encore, le statut</w:t>
      </w:r>
      <w:r>
        <w:t xml:space="preserve"> </w:t>
      </w:r>
      <w:r>
        <w:t xml:space="preserve">conjugal (marié/pacsé) est très structurant, ce qui est cohérent (les</w:t>
      </w:r>
      <w:r>
        <w:t xml:space="preserve"> </w:t>
      </w:r>
      <w:r>
        <w:t xml:space="preserve">couples mariés ont mécaniquement plus de chances d’être ensemble depuis</w:t>
      </w:r>
      <w:r>
        <w:t xml:space="preserve"> </w:t>
      </w:r>
      <w:r>
        <w:t xml:space="preserve">longtemps).</w:t>
      </w:r>
    </w:p>
    <w:p>
      <w:pPr>
        <w:pStyle w:val="BodyText"/>
      </w:pPr>
      <w:r>
        <w:t xml:space="preserve">Lecture d’ensemble : l’hypothèse se confirme plutôt bien pour les femmes</w:t>
      </w:r>
      <w:r>
        <w:t xml:space="preserve"> </w:t>
      </w:r>
      <w:r>
        <w:t xml:space="preserve">bi : elles se marient moins et ont des relations plus courtes que les</w:t>
      </w:r>
      <w:r>
        <w:t xml:space="preserve"> </w:t>
      </w:r>
      <w:r>
        <w:t xml:space="preserve">hétéros, mais on ne peut pas affirmer qu’elles cohabitent moins souvent quand elles sont en couple — l’écart de</w:t>
      </w:r>
      <w:r>
        <w:t xml:space="preserve"> </w:t>
      </w:r>
      <w:r>
        <w:t xml:space="preserve">“durée”</w:t>
      </w:r>
      <w:r>
        <w:t xml:space="preserve"> </w:t>
      </w:r>
      <w:r>
        <w:t xml:space="preserve">et de</w:t>
      </w:r>
      <w:r>
        <w:t xml:space="preserve"> </w:t>
      </w:r>
      <w:r>
        <w:t xml:space="preserve">“mariage”</w:t>
      </w:r>
      <w:r>
        <w:t xml:space="preserve"> </w:t>
      </w:r>
      <w:r>
        <w:t xml:space="preserve">ne se traduit pas en écart d’engagement résidentiel. Cela va</w:t>
      </w:r>
      <w:r>
        <w:t xml:space="preserve"> </w:t>
      </w:r>
      <w:r>
        <w:t xml:space="preserve">dans le sens d’une conjugalité moins institutionnalisée sans être moins</w:t>
      </w:r>
      <w:r>
        <w:t xml:space="preserve"> </w:t>
      </w:r>
      <w:r>
        <w:t xml:space="preserve">investie au quotidien.</w:t>
      </w:r>
    </w:p>
    <w:bookmarkStart w:id="94" w:name="refs"/>
    <w:bookmarkStart w:id="60" w:name="ref-bajos2008"/>
    <w:p>
      <w:pPr>
        <w:pStyle w:val="Bibliography"/>
      </w:pPr>
      <w:r>
        <w:t xml:space="preserve">Bajos, Nathalie, et Nathalie Beltzer. 2008.</w:t>
      </w:r>
      <w:r>
        <w:t xml:space="preserve"> </w:t>
      </w:r>
      <w:r>
        <w:t xml:space="preserve">« Les sexualités homo-bisexuelles: d’une acceptation de principe aux vulnérabilités sociales et préventives »</w:t>
      </w:r>
      <w:r>
        <w:t xml:space="preserve">. In, 243271. La Découverte.</w:t>
      </w:r>
      <w:r>
        <w:t xml:space="preserve"> </w:t>
      </w:r>
      <w:hyperlink r:id="rId59">
        <w:r>
          <w:rPr>
            <w:rStyle w:val="Hyperlink"/>
          </w:rPr>
          <w:t xml:space="preserve">https://doi.org/10.3917/dec.bajos.2008.01.0243</w:t>
        </w:r>
      </w:hyperlink>
      <w:r>
        <w:t xml:space="preserve">.</w:t>
      </w:r>
    </w:p>
    <w:bookmarkEnd w:id="60"/>
    <w:bookmarkStart w:id="62" w:name="ref-bergström2025"/>
    <w:p>
      <w:pPr>
        <w:pStyle w:val="Bibliography"/>
      </w:pPr>
      <w:r>
        <w:t xml:space="preserve">Bergström, Marie. 2025.</w:t>
      </w:r>
      <w:r>
        <w:t xml:space="preserve"> </w:t>
      </w:r>
      <w:r>
        <w:t xml:space="preserve">« Introduction »</w:t>
      </w:r>
      <w:r>
        <w:t xml:space="preserve">. In, 5‑17. La Découverte.</w:t>
      </w:r>
      <w:r>
        <w:t xml:space="preserve"> </w:t>
      </w:r>
      <w:hyperlink r:id="rId61">
        <w:r>
          <w:rPr>
            <w:rStyle w:val="Hyperlink"/>
          </w:rPr>
          <w:t xml:space="preserve">https://doi.org/10.3917/dec.bergs.2025.01.0005</w:t>
        </w:r>
      </w:hyperlink>
      <w:r>
        <w:t xml:space="preserve">.</w:t>
      </w:r>
    </w:p>
    <w:bookmarkEnd w:id="62"/>
    <w:bookmarkStart w:id="64" w:name="ref-bergström2019"/>
    <w:p>
      <w:pPr>
        <w:pStyle w:val="Bibliography"/>
      </w:pPr>
      <w:r>
        <w:t xml:space="preserve">Bergström, Marie, Françoise Courtel, et Géraldine Vivier. 2019.</w:t>
      </w:r>
      <w:r>
        <w:t xml:space="preserve"> </w:t>
      </w:r>
      <w:r>
        <w:t xml:space="preserve">« La vie hors couple, une vie hors norme ? Expériences du célibat dans la France contemporaine »</w:t>
      </w:r>
      <w:r>
        <w:t xml:space="preserve">.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74 (1): 103‑30.</w:t>
      </w:r>
      <w:r>
        <w:t xml:space="preserve"> </w:t>
      </w:r>
      <w:hyperlink r:id="rId63">
        <w:r>
          <w:rPr>
            <w:rStyle w:val="Hyperlink"/>
          </w:rPr>
          <w:t xml:space="preserve">https://doi.org/10.3917/popu.1901.0103</w:t>
        </w:r>
      </w:hyperlink>
      <w:r>
        <w:t xml:space="preserve">.</w:t>
      </w:r>
    </w:p>
    <w:bookmarkEnd w:id="64"/>
    <w:bookmarkStart w:id="66" w:name="ref-bergström2025a"/>
    <w:p>
      <w:pPr>
        <w:pStyle w:val="Bibliography"/>
      </w:pPr>
      <w:r>
        <w:t xml:space="preserve">Bergström, Marie, et Florence Maillochon. 2025.</w:t>
      </w:r>
      <w:r>
        <w:t xml:space="preserve"> </w:t>
      </w:r>
      <w:r>
        <w:t xml:space="preserve">« Chapitre 7. Panorama relationnel:Diverses manières de nouer des liens »</w:t>
      </w:r>
      <w:r>
        <w:t xml:space="preserve">. In, 119‑34. La Découverte.</w:t>
      </w:r>
      <w:r>
        <w:t xml:space="preserve"> </w:t>
      </w:r>
      <w:hyperlink r:id="rId65">
        <w:r>
          <w:rPr>
            <w:rStyle w:val="Hyperlink"/>
          </w:rPr>
          <w:t xml:space="preserve">https://doi.org/10.3917/dec.bergs.2025.01.0119</w:t>
        </w:r>
      </w:hyperlink>
      <w:r>
        <w:t xml:space="preserve">.</w:t>
      </w:r>
    </w:p>
    <w:bookmarkEnd w:id="66"/>
    <w:bookmarkStart w:id="68" w:name="ref-bouchet-valat2025"/>
    <w:p>
      <w:pPr>
        <w:pStyle w:val="Bibliography"/>
      </w:pPr>
      <w:r>
        <w:t xml:space="preserve">Bouchet-Valat, Milan. 2025.</w:t>
      </w:r>
      <w:r>
        <w:t xml:space="preserve"> </w:t>
      </w:r>
      <w:r>
        <w:t xml:space="preserve">« Chapitre 16. Célibat et norme conjugale : exclusions et explorations à l</w:t>
      </w:r>
      <w:r>
        <w:t xml:space="preserve">’</w:t>
      </w:r>
      <w:r>
        <w:t xml:space="preserve">ombre du couple »</w:t>
      </w:r>
      <w:r>
        <w:t xml:space="preserve">. In, 271‑83. La Découverte.</w:t>
      </w:r>
      <w:r>
        <w:t xml:space="preserve"> </w:t>
      </w:r>
      <w:hyperlink r:id="rId67">
        <w:r>
          <w:rPr>
            <w:rStyle w:val="Hyperlink"/>
          </w:rPr>
          <w:t xml:space="preserve">https://doi.org/10.3917/dec.bergs.2025.01.0271</w:t>
        </w:r>
      </w:hyperlink>
      <w:r>
        <w:t xml:space="preserve">.</w:t>
      </w:r>
    </w:p>
    <w:bookmarkEnd w:id="68"/>
    <w:bookmarkStart w:id="70" w:name="ref-clair2012"/>
    <w:p>
      <w:pPr>
        <w:pStyle w:val="Bibliography"/>
      </w:pPr>
      <w:r>
        <w:t xml:space="preserve">Clair, Isabelle. 2012.</w:t>
      </w:r>
      <w:r>
        <w:t xml:space="preserve"> </w:t>
      </w:r>
      <w:r>
        <w:t xml:space="preserve">« Le pédé, la pute et l’ordre hétérosexuel »</w:t>
      </w:r>
      <w:r>
        <w:t xml:space="preserve">.</w:t>
      </w:r>
      <w:r>
        <w:t xml:space="preserve"> </w:t>
      </w:r>
      <w:r>
        <w:rPr>
          <w:i/>
          <w:iCs/>
        </w:rPr>
        <w:t xml:space="preserve">Agora débats/jeunesses</w:t>
      </w:r>
      <w:r>
        <w:t xml:space="preserve"> </w:t>
      </w:r>
      <w:r>
        <w:t xml:space="preserve">60 (1): 67‑78.</w:t>
      </w:r>
      <w:r>
        <w:t xml:space="preserve"> </w:t>
      </w:r>
      <w:hyperlink r:id="rId69">
        <w:r>
          <w:rPr>
            <w:rStyle w:val="Hyperlink"/>
          </w:rPr>
          <w:t xml:space="preserve">https://doi.org/10.3917/agora.060.0067</w:t>
        </w:r>
      </w:hyperlink>
      <w:r>
        <w:t xml:space="preserve">.</w:t>
      </w:r>
    </w:p>
    <w:bookmarkEnd w:id="70"/>
    <w:bookmarkStart w:id="72" w:name="ref-dusseau2017"/>
    <w:p>
      <w:pPr>
        <w:pStyle w:val="Bibliography"/>
      </w:pPr>
      <w:r>
        <w:t xml:space="preserve">Dusseau, Félix. 2017.</w:t>
      </w:r>
      <w:r>
        <w:t xml:space="preserve"> </w:t>
      </w:r>
      <w:r>
        <w:t xml:space="preserve">« Les bisexualités : un révélateur social de l</w:t>
      </w:r>
      <w:r>
        <w:t xml:space="preserve">’</w:t>
      </w:r>
      <w:r>
        <w:t xml:space="preserve">Amour »</w:t>
      </w:r>
      <w:r>
        <w:t xml:space="preserve">.</w:t>
      </w:r>
      <w:r>
        <w:t xml:space="preserve"> </w:t>
      </w:r>
      <w:r>
        <w:rPr>
          <w:i/>
          <w:iCs/>
        </w:rPr>
        <w:t xml:space="preserve">Revue des sciences sociales</w:t>
      </w:r>
      <w:r>
        <w:t xml:space="preserve">, nᵒ 58 (décembre): 30‑37.</w:t>
      </w:r>
      <w:r>
        <w:t xml:space="preserve"> </w:t>
      </w:r>
      <w:hyperlink r:id="rId71">
        <w:r>
          <w:rPr>
            <w:rStyle w:val="Hyperlink"/>
          </w:rPr>
          <w:t xml:space="preserve">https://doi.org/10.4000/revss.289</w:t>
        </w:r>
      </w:hyperlink>
      <w:r>
        <w:t xml:space="preserve">.</w:t>
      </w:r>
    </w:p>
    <w:bookmarkEnd w:id="72"/>
    <w:bookmarkStart w:id="74" w:name="ref-gates2015"/>
    <w:p>
      <w:pPr>
        <w:pStyle w:val="Bibliography"/>
      </w:pPr>
      <w:r>
        <w:t xml:space="preserve">Gates, Gary J. 2015.</w:t>
      </w:r>
      <w:r>
        <w:t xml:space="preserve"> </w:t>
      </w:r>
      <w:r>
        <w:t xml:space="preserve">« Marriage and Family: LGBT Individuals and Same-Sex Couples »</w:t>
      </w:r>
      <w:r>
        <w:t xml:space="preserve">.</w:t>
      </w:r>
      <w:r>
        <w:t xml:space="preserve"> </w:t>
      </w:r>
      <w:r>
        <w:rPr>
          <w:i/>
          <w:iCs/>
        </w:rPr>
        <w:t xml:space="preserve">The Future of Children</w:t>
      </w:r>
      <w:r>
        <w:t xml:space="preserve"> </w:t>
      </w:r>
      <w:r>
        <w:t xml:space="preserve">25 (2): 67‑87.</w:t>
      </w:r>
      <w:r>
        <w:t xml:space="preserve"> </w:t>
      </w:r>
      <w:hyperlink r:id="rId73">
        <w:r>
          <w:rPr>
            <w:rStyle w:val="Hyperlink"/>
          </w:rPr>
          <w:t xml:space="preserve">https://escholarship.org/uc/item/2gn0m81f</w:t>
        </w:r>
      </w:hyperlink>
      <w:r>
        <w:t xml:space="preserve">.</w:t>
      </w:r>
    </w:p>
    <w:bookmarkEnd w:id="74"/>
    <w:bookmarkStart w:id="76" w:name="ref-girard2021"/>
    <w:p>
      <w:pPr>
        <w:pStyle w:val="Bibliography"/>
      </w:pPr>
      <w:r>
        <w:t xml:space="preserve">Girard, Gabriel. 2021.</w:t>
      </w:r>
      <w:r>
        <w:t xml:space="preserve"> </w:t>
      </w:r>
      <w:r>
        <w:t xml:space="preserve">« VIH/Sida »</w:t>
      </w:r>
      <w:r>
        <w:t xml:space="preserve">. In, 818829. La Découverte.</w:t>
      </w:r>
      <w:r>
        <w:t xml:space="preserve"> </w:t>
      </w:r>
      <w:hyperlink r:id="rId75">
        <w:r>
          <w:rPr>
            <w:rStyle w:val="Hyperlink"/>
          </w:rPr>
          <w:t xml:space="preserve">https://doi.org/10.3917/dec.renne.2021.01.0818</w:t>
        </w:r>
      </w:hyperlink>
      <w:r>
        <w:t xml:space="preserve">.</w:t>
      </w:r>
    </w:p>
    <w:bookmarkEnd w:id="76"/>
    <w:bookmarkStart w:id="78" w:name="ref-giraud2026"/>
    <w:p>
      <w:pPr>
        <w:pStyle w:val="Bibliography"/>
      </w:pPr>
      <w:r>
        <w:t xml:space="preserve">Giraud, Colin. 2026.</w:t>
      </w:r>
      <w:r>
        <w:t xml:space="preserve"> </w:t>
      </w:r>
      <w:r>
        <w:t xml:space="preserve">« « Tout le village est déjà au courant ! » Discrétion et visibilités homosexuelles hors des métropoles »</w:t>
      </w:r>
      <w:r>
        <w:t xml:space="preserve">.</w:t>
      </w:r>
      <w:r>
        <w:t xml:space="preserve"> </w:t>
      </w:r>
      <w:r>
        <w:rPr>
          <w:i/>
          <w:iCs/>
        </w:rPr>
        <w:t xml:space="preserve">Genre, sexualité &amp; société</w:t>
      </w:r>
      <w:r>
        <w:t xml:space="preserve">, nᵒ 35.</w:t>
      </w:r>
      <w:r>
        <w:t xml:space="preserve"> </w:t>
      </w:r>
      <w:hyperlink r:id="rId77">
        <w:r>
          <w:rPr>
            <w:rStyle w:val="Hyperlink"/>
          </w:rPr>
          <w:t xml:space="preserve">https://doi.org/10.4000/16gtb</w:t>
        </w:r>
      </w:hyperlink>
      <w:r>
        <w:t xml:space="preserve">.</w:t>
      </w:r>
    </w:p>
    <w:bookmarkEnd w:id="78"/>
    <w:bookmarkStart w:id="79" w:name="ref-lejbowicz2025"/>
    <w:p>
      <w:pPr>
        <w:pStyle w:val="Bibliography"/>
      </w:pPr>
      <w:r>
        <w:t xml:space="preserve">Lejbowicz, Tania, et Wilfried Rault. 2025.</w:t>
      </w:r>
      <w:r>
        <w:t xml:space="preserve"> </w:t>
      </w:r>
      <w:r>
        <w:t xml:space="preserve">« Chapitre 3. Minorités sexuelles. Un élargissement des possibles sexuels »</w:t>
      </w:r>
      <w:r>
        <w:t xml:space="preserve">. In. CCSD, La Découverte.</w:t>
      </w:r>
    </w:p>
    <w:bookmarkEnd w:id="79"/>
    <w:bookmarkStart w:id="81" w:name="ref-maillochon2019"/>
    <w:p>
      <w:pPr>
        <w:pStyle w:val="Bibliography"/>
      </w:pPr>
      <w:r>
        <w:t xml:space="preserve">Maillochon, Florence. 2019.</w:t>
      </w:r>
      <w:r>
        <w:t xml:space="preserve"> </w:t>
      </w:r>
      <w:r>
        <w:t xml:space="preserve">« De la tradition à la personnalisation : redéfinition des normes du mariage en France de 1960 à nos jours »</w:t>
      </w:r>
      <w:r>
        <w:t xml:space="preserve">.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74 (1): 41‑72.</w:t>
      </w:r>
      <w:r>
        <w:t xml:space="preserve"> </w:t>
      </w:r>
      <w:hyperlink r:id="rId80">
        <w:r>
          <w:rPr>
            <w:rStyle w:val="Hyperlink"/>
          </w:rPr>
          <w:t xml:space="preserve">https://doi.org/10.3917/popu.1901.0041</w:t>
        </w:r>
      </w:hyperlink>
      <w:r>
        <w:t xml:space="preserve">.</w:t>
      </w:r>
    </w:p>
    <w:bookmarkEnd w:id="81"/>
    <w:bookmarkStart w:id="82" w:name="ref-rich1981"/>
    <w:p>
      <w:pPr>
        <w:pStyle w:val="Bibliography"/>
      </w:pPr>
      <w:r>
        <w:t xml:space="preserve">Rich, Adrienne. 1981.</w:t>
      </w:r>
      <w:r>
        <w:t xml:space="preserve"> </w:t>
      </w:r>
      <w:r>
        <w:t xml:space="preserve">« La contrainte à l’hétérosexualité et l’existence lesbienne »</w:t>
      </w:r>
      <w:r>
        <w:t xml:space="preserve">.</w:t>
      </w:r>
      <w:r>
        <w:t xml:space="preserve"> </w:t>
      </w:r>
      <w:r>
        <w:rPr>
          <w:i/>
          <w:iCs/>
        </w:rPr>
        <w:t xml:space="preserve">Nouvelles questions féministes</w:t>
      </w:r>
      <w:r>
        <w:t xml:space="preserve"> </w:t>
      </w:r>
      <w:r>
        <w:t xml:space="preserve">1 (1): 1543.</w:t>
      </w:r>
    </w:p>
    <w:bookmarkEnd w:id="82"/>
    <w:bookmarkStart w:id="84" w:name="ref-rust2000"/>
    <w:p>
      <w:pPr>
        <w:pStyle w:val="Bibliography"/>
      </w:pPr>
      <w:r>
        <w:t xml:space="preserve">Rust, Paula C. 2000.</w:t>
      </w:r>
      <w:r>
        <w:t xml:space="preserve"> </w:t>
      </w:r>
      <w:r>
        <w:t xml:space="preserve">« Two Many and Not Enough: The Meanings of Bisexual Identities 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Bisexuality</w:t>
      </w:r>
      <w:r>
        <w:t xml:space="preserve"> </w:t>
      </w:r>
      <w:r>
        <w:t xml:space="preserve">1 (1): 31‑68.</w:t>
      </w:r>
      <w:r>
        <w:t xml:space="preserve"> </w:t>
      </w:r>
      <w:hyperlink r:id="rId83">
        <w:r>
          <w:rPr>
            <w:rStyle w:val="Hyperlink"/>
          </w:rPr>
          <w:t xml:space="preserve">https://doi.org/10.1300/J159v01n01_04</w:t>
        </w:r>
      </w:hyperlink>
      <w:r>
        <w:t xml:space="preserve">.</w:t>
      </w:r>
    </w:p>
    <w:bookmarkEnd w:id="84"/>
    <w:bookmarkStart w:id="85" w:name="ref-rust2002"/>
    <w:p>
      <w:pPr>
        <w:pStyle w:val="Bibliography"/>
      </w:pPr>
      <w:r>
        <w:t xml:space="preserve">Rust, Paula C. Rodríguez. 2002.</w:t>
      </w:r>
      <w:r>
        <w:t xml:space="preserve"> </w:t>
      </w:r>
      <w:r>
        <w:t xml:space="preserve">« Bisexuality: the state of the union »</w:t>
      </w:r>
      <w:r>
        <w:t xml:space="preserve">.</w:t>
      </w:r>
      <w:r>
        <w:t xml:space="preserve"> </w:t>
      </w:r>
      <w:r>
        <w:rPr>
          <w:i/>
          <w:iCs/>
        </w:rPr>
        <w:t xml:space="preserve">Annual Review of Sex Research</w:t>
      </w:r>
      <w:r>
        <w:t xml:space="preserve"> </w:t>
      </w:r>
      <w:r>
        <w:t xml:space="preserve">13: 180‑240.</w:t>
      </w:r>
    </w:p>
    <w:bookmarkEnd w:id="85"/>
    <w:bookmarkStart w:id="87" w:name="ref-trachman2018"/>
    <w:p>
      <w:pPr>
        <w:pStyle w:val="Bibliography"/>
      </w:pPr>
      <w:r>
        <w:t xml:space="preserve">Trachman, Mathieu, et Tania Lejbowicz. 2018a.</w:t>
      </w:r>
      <w:r>
        <w:t xml:space="preserve"> </w:t>
      </w:r>
      <w:r>
        <w:t xml:space="preserve">« Les personnes qui se disent bisexuelles en France »</w:t>
      </w:r>
      <w:r>
        <w:t xml:space="preserve">.</w:t>
      </w:r>
      <w:r>
        <w:t xml:space="preserve"> </w:t>
      </w:r>
      <w:r>
        <w:rPr>
          <w:i/>
          <w:iCs/>
        </w:rPr>
        <w:t xml:space="preserve">Population &amp; Sociétés</w:t>
      </w:r>
      <w:r>
        <w:t xml:space="preserve"> </w:t>
      </w:r>
      <w:r>
        <w:t xml:space="preserve">561 (11): 1‑4.</w:t>
      </w:r>
      <w:r>
        <w:t xml:space="preserve"> </w:t>
      </w:r>
      <w:hyperlink r:id="rId86">
        <w:r>
          <w:rPr>
            <w:rStyle w:val="Hyperlink"/>
          </w:rPr>
          <w:t xml:space="preserve">https://doi.org/10.3917/popsoc.561.0001</w:t>
        </w:r>
      </w:hyperlink>
      <w:r>
        <w:t xml:space="preserve">.</w:t>
      </w:r>
    </w:p>
    <w:bookmarkEnd w:id="87"/>
    <w:bookmarkStart w:id="88" w:name="ref-trachman2018a"/>
    <w:p>
      <w:pPr>
        <w:pStyle w:val="Bibliography"/>
      </w:pPr>
      <w:r>
        <w:t xml:space="preserve">———. 2018b.</w:t>
      </w:r>
      <w:r>
        <w:t xml:space="preserve"> </w:t>
      </w:r>
      <w:r>
        <w:t xml:space="preserve">« Les personnes qui se disent bisexuelles en France »</w:t>
      </w:r>
      <w:r>
        <w:t xml:space="preserve">.</w:t>
      </w:r>
      <w:r>
        <w:t xml:space="preserve"> </w:t>
      </w:r>
      <w:r>
        <w:rPr>
          <w:i/>
          <w:iCs/>
        </w:rPr>
        <w:t xml:space="preserve">Population &amp; Sociétés</w:t>
      </w:r>
      <w:r>
        <w:t xml:space="preserve"> </w:t>
      </w:r>
      <w:r>
        <w:t xml:space="preserve">561 (11): 1‑4.</w:t>
      </w:r>
      <w:r>
        <w:t xml:space="preserve"> </w:t>
      </w:r>
      <w:hyperlink r:id="rId86">
        <w:r>
          <w:rPr>
            <w:rStyle w:val="Hyperlink"/>
          </w:rPr>
          <w:t xml:space="preserve">https://doi.org/10.3917/popsoc.561.0001</w:t>
        </w:r>
      </w:hyperlink>
      <w:r>
        <w:t xml:space="preserve">.</w:t>
      </w:r>
    </w:p>
    <w:bookmarkEnd w:id="88"/>
    <w:bookmarkStart w:id="90" w:name="ref-trachman2020"/>
    <w:p>
      <w:pPr>
        <w:pStyle w:val="Bibliography"/>
      </w:pPr>
      <w:r>
        <w:t xml:space="preserve">———. 2020a.</w:t>
      </w:r>
      <w:r>
        <w:t xml:space="preserve"> </w:t>
      </w:r>
      <w:r>
        <w:t xml:space="preserve">« Chapitre 10 ■ Lesbiennes, gays, bisexuel·le·s et trans (LGBT) : une catégorie hétérogène, des violences spécifiques »</w:t>
      </w:r>
      <w:r>
        <w:t xml:space="preserve">. In, édité par Elizabeth Brown, Alice Debauche, Christelle Hamel, et Magali Mazuy, 355‑90. Grandes Enquêtes. Paris: Ined Éditions.</w:t>
      </w:r>
      <w:r>
        <w:t xml:space="preserve"> </w:t>
      </w:r>
      <w:hyperlink r:id="rId89">
        <w:r>
          <w:rPr>
            <w:rStyle w:val="Hyperlink"/>
          </w:rPr>
          <w:t xml:space="preserve">https://doi.org/10.4000/books.ined.14944</w:t>
        </w:r>
      </w:hyperlink>
      <w:r>
        <w:t xml:space="preserve">.</w:t>
      </w:r>
    </w:p>
    <w:bookmarkEnd w:id="90"/>
    <w:bookmarkStart w:id="91" w:name="ref-trachman2020b"/>
    <w:p>
      <w:pPr>
        <w:pStyle w:val="Bibliography"/>
      </w:pPr>
      <w:r>
        <w:t xml:space="preserve">———. 2020b.</w:t>
      </w:r>
      <w:r>
        <w:t xml:space="preserve"> </w:t>
      </w:r>
      <w:r>
        <w:t xml:space="preserve">« Chapitre 10 ■ Lesbiennes, gays, bisexuel·le·s et trans (LGBT) : une catégorie hétérogène, des violences spécifiques »</w:t>
      </w:r>
      <w:r>
        <w:t xml:space="preserve">. In, édité par Elizabeth Brown, Alice Debauche, Christelle Hamel, et Magali Mazuy, 355‑90. Grandes Enquêtes. Paris: Ined Éditions.</w:t>
      </w:r>
      <w:r>
        <w:t xml:space="preserve"> </w:t>
      </w:r>
      <w:hyperlink r:id="rId89">
        <w:r>
          <w:rPr>
            <w:rStyle w:val="Hyperlink"/>
          </w:rPr>
          <w:t xml:space="preserve">https://doi.org/10.4000/books.ined.14944</w:t>
        </w:r>
      </w:hyperlink>
      <w:r>
        <w:t xml:space="preserve">.</w:t>
      </w:r>
    </w:p>
    <w:bookmarkEnd w:id="91"/>
    <w:bookmarkStart w:id="93" w:name="ref-trawalé2026"/>
    <w:p>
      <w:pPr>
        <w:pStyle w:val="Bibliography"/>
      </w:pPr>
      <w:r>
        <w:t xml:space="preserve">Trawalé, Damien, Axel Ravier, Zoé Chameau, et Annie Velter. 2026.</w:t>
      </w:r>
      <w:r>
        <w:t xml:space="preserve"> </w:t>
      </w:r>
      <w:r>
        <w:t xml:space="preserve">« Homosexuels et bisexuels dans les espaces ruraux : caractéristiques sociales, modes de vie et vulnérabilités de santé sexuelle »</w:t>
      </w:r>
      <w:r>
        <w:t xml:space="preserve">.</w:t>
      </w:r>
      <w:r>
        <w:t xml:space="preserve"> </w:t>
      </w:r>
      <w:r>
        <w:rPr>
          <w:i/>
          <w:iCs/>
        </w:rPr>
        <w:t xml:space="preserve">Genre, sexualité &amp; société</w:t>
      </w:r>
      <w:r>
        <w:t xml:space="preserve">, nᵒ 35.</w:t>
      </w:r>
      <w:r>
        <w:t xml:space="preserve"> </w:t>
      </w:r>
      <w:hyperlink r:id="rId92">
        <w:r>
          <w:rPr>
            <w:rStyle w:val="Hyperlink"/>
          </w:rPr>
          <w:t xml:space="preserve">https://doi.org/10.4000/16gte</w:t>
        </w:r>
      </w:hyperlink>
      <w:r>
        <w:t xml:space="preserve">.</w:t>
      </w:r>
    </w:p>
    <w:bookmarkEnd w:id="93"/>
    <w:bookmarkEnd w:id="94"/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55" Target="media/rId55.png" /><Relationship Type="http://schemas.openxmlformats.org/officeDocument/2006/relationships/image" Id="rId31" Target="media/rId31.png" /><Relationship Type="http://schemas.openxmlformats.org/officeDocument/2006/relationships/hyperlink" Id="rId83" Target="https://doi.org/10.1300/J159v01n01_04" TargetMode="External" /><Relationship Type="http://schemas.openxmlformats.org/officeDocument/2006/relationships/hyperlink" Id="rId69" Target="https://doi.org/10.3917/agora.060.0067" TargetMode="External" /><Relationship Type="http://schemas.openxmlformats.org/officeDocument/2006/relationships/hyperlink" Id="rId59" Target="https://doi.org/10.3917/dec.bajos.2008.01.0243" TargetMode="External" /><Relationship Type="http://schemas.openxmlformats.org/officeDocument/2006/relationships/hyperlink" Id="rId61" Target="https://doi.org/10.3917/dec.bergs.2025.01.0005" TargetMode="External" /><Relationship Type="http://schemas.openxmlformats.org/officeDocument/2006/relationships/hyperlink" Id="rId65" Target="https://doi.org/10.3917/dec.bergs.2025.01.0119" TargetMode="External" /><Relationship Type="http://schemas.openxmlformats.org/officeDocument/2006/relationships/hyperlink" Id="rId67" Target="https://doi.org/10.3917/dec.bergs.2025.01.0271" TargetMode="External" /><Relationship Type="http://schemas.openxmlformats.org/officeDocument/2006/relationships/hyperlink" Id="rId75" Target="https://doi.org/10.3917/dec.renne.2021.01.0818" TargetMode="External" /><Relationship Type="http://schemas.openxmlformats.org/officeDocument/2006/relationships/hyperlink" Id="rId86" Target="https://doi.org/10.3917/popsoc.561.0001" TargetMode="External" /><Relationship Type="http://schemas.openxmlformats.org/officeDocument/2006/relationships/hyperlink" Id="rId80" Target="https://doi.org/10.3917/popu.1901.0041" TargetMode="External" /><Relationship Type="http://schemas.openxmlformats.org/officeDocument/2006/relationships/hyperlink" Id="rId63" Target="https://doi.org/10.3917/popu.1901.0103" TargetMode="External" /><Relationship Type="http://schemas.openxmlformats.org/officeDocument/2006/relationships/hyperlink" Id="rId77" Target="https://doi.org/10.4000/16gtb" TargetMode="External" /><Relationship Type="http://schemas.openxmlformats.org/officeDocument/2006/relationships/hyperlink" Id="rId92" Target="https://doi.org/10.4000/16gte" TargetMode="External" /><Relationship Type="http://schemas.openxmlformats.org/officeDocument/2006/relationships/hyperlink" Id="rId89" Target="https://doi.org/10.4000/books.ined.14944" TargetMode="External" /><Relationship Type="http://schemas.openxmlformats.org/officeDocument/2006/relationships/hyperlink" Id="rId71" Target="https://doi.org/10.4000/revss.289" TargetMode="External" /><Relationship Type="http://schemas.openxmlformats.org/officeDocument/2006/relationships/hyperlink" Id="rId73" Target="https://escholarship.org/uc/item/2gn0m81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doi.org/10.1300/J159v01n01_04" TargetMode="External" /><Relationship Type="http://schemas.openxmlformats.org/officeDocument/2006/relationships/hyperlink" Id="rId69" Target="https://doi.org/10.3917/agora.060.0067" TargetMode="External" /><Relationship Type="http://schemas.openxmlformats.org/officeDocument/2006/relationships/hyperlink" Id="rId59" Target="https://doi.org/10.3917/dec.bajos.2008.01.0243" TargetMode="External" /><Relationship Type="http://schemas.openxmlformats.org/officeDocument/2006/relationships/hyperlink" Id="rId61" Target="https://doi.org/10.3917/dec.bergs.2025.01.0005" TargetMode="External" /><Relationship Type="http://schemas.openxmlformats.org/officeDocument/2006/relationships/hyperlink" Id="rId65" Target="https://doi.org/10.3917/dec.bergs.2025.01.0119" TargetMode="External" /><Relationship Type="http://schemas.openxmlformats.org/officeDocument/2006/relationships/hyperlink" Id="rId67" Target="https://doi.org/10.3917/dec.bergs.2025.01.0271" TargetMode="External" /><Relationship Type="http://schemas.openxmlformats.org/officeDocument/2006/relationships/hyperlink" Id="rId75" Target="https://doi.org/10.3917/dec.renne.2021.01.0818" TargetMode="External" /><Relationship Type="http://schemas.openxmlformats.org/officeDocument/2006/relationships/hyperlink" Id="rId86" Target="https://doi.org/10.3917/popsoc.561.0001" TargetMode="External" /><Relationship Type="http://schemas.openxmlformats.org/officeDocument/2006/relationships/hyperlink" Id="rId80" Target="https://doi.org/10.3917/popu.1901.0041" TargetMode="External" /><Relationship Type="http://schemas.openxmlformats.org/officeDocument/2006/relationships/hyperlink" Id="rId63" Target="https://doi.org/10.3917/popu.1901.0103" TargetMode="External" /><Relationship Type="http://schemas.openxmlformats.org/officeDocument/2006/relationships/hyperlink" Id="rId77" Target="https://doi.org/10.4000/16gtb" TargetMode="External" /><Relationship Type="http://schemas.openxmlformats.org/officeDocument/2006/relationships/hyperlink" Id="rId92" Target="https://doi.org/10.4000/16gte" TargetMode="External" /><Relationship Type="http://schemas.openxmlformats.org/officeDocument/2006/relationships/hyperlink" Id="rId89" Target="https://doi.org/10.4000/books.ined.14944" TargetMode="External" /><Relationship Type="http://schemas.openxmlformats.org/officeDocument/2006/relationships/hyperlink" Id="rId71" Target="https://doi.org/10.4000/revss.289" TargetMode="External" /><Relationship Type="http://schemas.openxmlformats.org/officeDocument/2006/relationships/hyperlink" Id="rId73" Target="https://escholarship.org/uc/item/2gn0m81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Mémoire – Partie I</dc:title>
  <dc:creator>Elisa Lemoine</dc:creator>
  <dc:language>fr</dc:language>
  <cp:keywords/>
  <dcterms:created xsi:type="dcterms:W3CDTF">2026-08-01T08:16:29Z</dcterms:created>
  <dcterms:modified xsi:type="dcterms:W3CDTF">2026-08-01T08:16:29Z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1 août 2026</vt:lpwstr>
  </property>
  <property fmtid="{D5CDD505-2E9C-101B-9397-08002B2CF9AE}" pid="7" name="date-format">
    <vt:lpwstr>long</vt:lpwstr>
  </property>
  <property fmtid="{D5CDD505-2E9C-101B-9397-08002B2CF9AE}" pid="8" name="editor">
    <vt:lpwstr/>
  </property>
  <property fmtid="{D5CDD505-2E9C-101B-9397-08002B2CF9AE}" pid="9" name="execute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Les situations conjugales bisexuelles</vt:lpwstr>
  </property>
  <property fmtid="{D5CDD505-2E9C-101B-9397-08002B2CF9AE}" pid="16" name="toc-title">
    <vt:lpwstr>Table des matières</vt:lpwstr>
  </property>
  <property fmtid="{D5CDD505-2E9C-101B-9397-08002B2CF9AE}" pid="17" name="toc_depth">
    <vt:lpwstr>5</vt:lpwstr>
  </property>
</Properties>
</file>