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Mémoire – Tableaux 1 et 2a</w:t>
      </w:r>
    </w:p>
    <w:p>
      <w:pPr>
        <w:pStyle w:val="Subtitle"/>
      </w:pPr>
      <w:r>
        <w:t xml:space="preserve">Conjugalités bisexuelles dans Virage PG et LGBT</w:t>
      </w:r>
    </w:p>
    <w:p>
      <w:pPr>
        <w:pStyle w:val="Author"/>
      </w:pPr>
      <w:r>
        <w:t xml:space="preserve">Elisa Lemoine</w:t>
      </w:r>
    </w:p>
    <w:p>
      <w:pPr>
        <w:pStyle w:val="Date"/>
      </w:pPr>
      <w:r>
        <w:t xml:space="preserve">5 juin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tableaux-principaux"/>
    <w:p>
      <w:pPr>
        <w:pStyle w:val="Heading1"/>
      </w:pPr>
      <w:r>
        <w:t xml:space="preserve">1. Tableaux principaux</w:t>
      </w:r>
    </w:p>
    <w:bookmarkStart w:id="21" w:name="X6e91125a406269119ea831020c242ae65af3a4e"/>
    <w:p>
      <w:pPr>
        <w:pStyle w:val="Heading2"/>
      </w:pPr>
      <w:r>
        <w:t xml:space="preserve">1.1 Tableau 1 : Le choix de la variable d’identification sexuelle</w:t>
      </w:r>
    </w:p>
    <w:p>
      <w:pPr>
        <w:pStyle w:val="FirstParagraph"/>
      </w:pPr>
      <w:r>
        <w:rPr>
          <w:b/>
          <w:bCs/>
        </w:rPr>
        <w:t xml:space="preserve">Significativité</w:t>
      </w:r>
      <w:r>
        <w:t xml:space="preserve"> </w:t>
      </w:r>
      <w:r>
        <w:t xml:space="preserve">Les trois critères étant mesurés sur les mêmes</w:t>
      </w:r>
      <w:r>
        <w:t xml:space="preserve"> </w:t>
      </w:r>
      <w:r>
        <w:t xml:space="preserve">individus, aucun test d’indépendance n’est applicable ; les intervalles</w:t>
      </w:r>
      <w:r>
        <w:t xml:space="preserve"> </w:t>
      </w:r>
      <w:r>
        <w:t xml:space="preserve">de confiance à 95% des proportions sont présentés en annexe.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id-attir-p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Identification, attirances et pratiques sexuelles selon le genre. Virage PG (pondéré) et Virage LGBT (non pondéré).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21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</w:t>
                  </w:r>
                </w:p>
              </w:tc>
            </w:tr>
            <w:tr>
              <w:trPr>
                <w:trHeight w:val="778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Femmes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15556)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11712)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Femmes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3226)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Hommes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3414)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75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Identification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86,5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9,2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0,7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NSP/NVPD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3,6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Attirance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59,6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37,6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Pas d'attirance/NSP/NVPD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0,8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Pratique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65,2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28,4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85,6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1,9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Pas de rapport/NSP/NVPD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11,8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8,7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Abréviation: IC = intervalle de confiance</w:t>
                  </w:r>
                </w:p>
              </w:tc>
            </w:tr>
          </w:tbl>
          <w:bookmarkEnd w:id="20"/>
        </w:tc>
      </w:tr>
    </w:tbl>
    <w:p>
      <w:pPr>
        <w:pStyle w:val="BodyText"/>
      </w:pPr>
      <w:r>
        <w:rPr>
          <w:b/>
          <w:bCs/>
        </w:rPr>
        <w:t xml:space="preserve">Lecture du tableau</w:t>
      </w:r>
    </w:p>
    <w:p>
      <w:pPr>
        <w:pStyle w:val="BodyText"/>
      </w:pPr>
      <w:r>
        <w:rPr>
          <w:i/>
          <w:iCs/>
        </w:rPr>
        <w:t xml:space="preserve">Un gradient interne à la bisexualité.</w:t>
      </w:r>
      <w:r>
        <w:t xml:space="preserve"> </w:t>
      </w:r>
      <w:r>
        <w:t xml:space="preserve">Pour les deux sexes, les</w:t>
      </w:r>
      <w:r>
        <w:t xml:space="preserve"> </w:t>
      </w:r>
      <w:r>
        <w:t xml:space="preserve">attirances bisexuelles l’emportent sur les pratiques bisexuelles,</w:t>
      </w:r>
      <w:r>
        <w:t xml:space="preserve"> </w:t>
      </w:r>
      <w:r>
        <w:t xml:space="preserve">elles-mêmes plus fréquentes que les identifications bisexuelles : se</w:t>
      </w:r>
      <w:r>
        <w:t xml:space="preserve"> </w:t>
      </w:r>
      <w:r>
        <w:t xml:space="preserve">dire bisexuel·le est plus rare que d’en avoir les attirances ou les</w:t>
      </w:r>
      <w:r>
        <w:t xml:space="preserve"> </w:t>
      </w:r>
      <w:r>
        <w:t xml:space="preserve">pratiques.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Réserve : les IC des pratiques et des attirances bisexuelles se</w:t>
      </w:r>
      <w:r>
        <w:rPr>
          <w:i/>
          <w:iCs/>
        </w:rPr>
        <w:t xml:space="preserve"> </w:t>
      </w:r>
      <w:r>
        <w:rPr>
          <w:i/>
          <w:iCs/>
        </w:rPr>
        <w:t xml:space="preserve">chevauchent chez les hommes dans PG — gradient à ne pas affirmer</w:t>
      </w:r>
      <w:r>
        <w:rPr>
          <w:i/>
          <w:iCs/>
        </w:rPr>
        <w:t xml:space="preserve"> </w:t>
      </w:r>
      <w:r>
        <w:rPr>
          <w:i/>
          <w:iCs/>
        </w:rPr>
        <w:t xml:space="preserve">pour eux.</w:t>
      </w:r>
    </w:p>
    <w:p>
      <w:pPr>
        <w:pStyle w:val="FirstParagraph"/>
      </w:pPr>
      <w:r>
        <w:rPr>
          <w:i/>
          <w:iCs/>
        </w:rPr>
        <w:t xml:space="preserve">Bisexualité vs homosexualité — Virage PG.</w:t>
      </w:r>
      <w:r>
        <w:t xml:space="preserve"> </w:t>
      </w:r>
      <w:r>
        <w:t xml:space="preserve">Les attirances et pratiques</w:t>
      </w:r>
      <w:r>
        <w:t xml:space="preserve"> </w:t>
      </w:r>
      <w:r>
        <w:t xml:space="preserve">bisexuelles sont plus fréquentes que les attirances et pratiques</w:t>
      </w:r>
      <w:r>
        <w:t xml:space="preserve"> </w:t>
      </w:r>
      <w:r>
        <w:t xml:space="preserve">strictement homosexuelles ; mais les hommes se disent plus souvent</w:t>
      </w:r>
      <w:r>
        <w:t xml:space="preserve"> </w:t>
      </w:r>
      <w:r>
        <w:t xml:space="preserve">homosexuels que bisexuels.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Réserve : IC qui se chevauchent entre identification homosexuelle</w:t>
      </w:r>
      <w:r>
        <w:rPr>
          <w:i/>
          <w:iCs/>
        </w:rPr>
        <w:t xml:space="preserve"> </w:t>
      </w:r>
      <w:r>
        <w:rPr>
          <w:i/>
          <w:iCs/>
        </w:rPr>
        <w:t xml:space="preserve">et bisexuelle chez les femmes.</w:t>
      </w:r>
    </w:p>
    <w:p>
      <w:pPr>
        <w:pStyle w:val="FirstParagraph"/>
      </w:pPr>
      <w:r>
        <w:rPr>
          <w:i/>
          <w:iCs/>
        </w:rPr>
        <w:t xml:space="preserve">Bisexualité vs homosexualité — Virage LGBT.</w:t>
      </w:r>
      <w:r>
        <w:t xml:space="preserve"> </w:t>
      </w:r>
      <w:r>
        <w:t xml:space="preserve">L’identification</w:t>
      </w:r>
      <w:r>
        <w:t xml:space="preserve"> </w:t>
      </w:r>
      <w:r>
        <w:t xml:space="preserve">homosexuelle est majoritaire. Chez les hommes, pratiques et attirances</w:t>
      </w:r>
      <w:r>
        <w:t xml:space="preserve"> </w:t>
      </w:r>
      <w:r>
        <w:t xml:space="preserve">homosexuelles dépassent les bisexuelles ; chez les femmes, c’est</w:t>
      </w:r>
      <w:r>
        <w:t xml:space="preserve"> </w:t>
      </w:r>
      <w:r>
        <w:t xml:space="preserve">l’inverse (pratiques et attirances bisexuelles plus fréquentes).</w:t>
      </w:r>
    </w:p>
    <w:p>
      <w:pPr>
        <w:pStyle w:val="BodyText"/>
      </w:pPr>
      <w:r>
        <w:rPr>
          <w:i/>
          <w:iCs/>
        </w:rPr>
        <w:t xml:space="preserve">Femmes vs hommes.</w:t>
      </w:r>
      <w:r>
        <w:t xml:space="preserve"> </w:t>
      </w:r>
      <w:r>
        <w:t xml:space="preserve">Les pratiques bisexuelles, les attirances et les</w:t>
      </w:r>
      <w:r>
        <w:t xml:space="preserve"> </w:t>
      </w:r>
      <w:r>
        <w:t xml:space="preserve">identifications bisexuelles sont plus fréquentes chez les femmes ; les</w:t>
      </w:r>
      <w:r>
        <w:t xml:space="preserve"> </w:t>
      </w:r>
      <w:r>
        <w:t xml:space="preserve">pratiques strictement homosexuelles le sont plus chez les hommes.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Réserve : IC qui se chevauchent entre identification bisexuelle des</w:t>
      </w:r>
      <w:r>
        <w:rPr>
          <w:i/>
          <w:iCs/>
        </w:rPr>
        <w:t xml:space="preserve"> </w:t>
      </w:r>
      <w:r>
        <w:rPr>
          <w:i/>
          <w:iCs/>
        </w:rPr>
        <w:t xml:space="preserve">hommes et des femmes dans PG.</w:t>
      </w:r>
    </w:p>
    <w:p>
      <w:pPr>
        <w:pStyle w:val="FirstParagraph"/>
      </w:pPr>
      <w:r>
        <w:rPr>
          <w:b/>
          <w:bCs/>
        </w:rPr>
        <w:t xml:space="preserve">Pistes d’interprétation</w:t>
      </w:r>
    </w:p>
    <w:p>
      <w:pPr>
        <w:numPr>
          <w:ilvl w:val="0"/>
          <w:numId w:val="1004"/>
        </w:numPr>
      </w:pPr>
      <w:r>
        <w:t xml:space="preserve">Le gradient attirance &gt; pratique &gt; identification donne corps à</w:t>
      </w:r>
      <w:r>
        <w:t xml:space="preserve"> </w:t>
      </w:r>
      <w:r>
        <w:t xml:space="preserve">l’idée que l’identité bisexuelle ne repose pas d’abord sur des actes</w:t>
      </w:r>
      <w:r>
        <w:t xml:space="preserve"> </w:t>
      </w:r>
      <w:r>
        <w:t xml:space="preserve">mais sur une capacité, un « potentiel » : beaucoup déclarent des</w:t>
      </w:r>
      <w:r>
        <w:t xml:space="preserve"> </w:t>
      </w:r>
      <w:r>
        <w:t xml:space="preserve">attirances sans les actualiser, et moins encore endossent</w:t>
      </w:r>
      <w:r>
        <w:t xml:space="preserve"> </w:t>
      </w:r>
      <w:r>
        <w:t xml:space="preserve">l’étiquette (Rust 2000). Ce décrochage rejoint aussi l’invisibilité</w:t>
      </w:r>
      <w:r>
        <w:t xml:space="preserve"> </w:t>
      </w:r>
      <w:r>
        <w:t xml:space="preserve">bisexuelle et la moindre dicibilité des sexualités minoritaires</w:t>
      </w:r>
      <w:r>
        <w:t xml:space="preserve"> </w:t>
      </w:r>
      <w:r>
        <w:t xml:space="preserve">(Rich 1981 ; Rust 2002) — argument utile pour la limite ci-dessous.</w:t>
      </w:r>
    </w:p>
    <w:p>
      <w:pPr>
        <w:numPr>
          <w:ilvl w:val="0"/>
          <w:numId w:val="1004"/>
        </w:numPr>
      </w:pPr>
      <w:r>
        <w:t xml:space="preserve">La dissymétrie femmes/hommes (pratiques et identifications bies plus</w:t>
      </w:r>
      <w:r>
        <w:t xml:space="preserve"> </w:t>
      </w:r>
      <w:r>
        <w:t xml:space="preserve">féminines, pratiques strictement homo plus masculines) peut se lire</w:t>
      </w:r>
      <w:r>
        <w:t xml:space="preserve"> </w:t>
      </w:r>
      <w:r>
        <w:t xml:space="preserve">via une sexualité androcentrée où les hommes affirment des choix</w:t>
      </w:r>
      <w:r>
        <w:t xml:space="preserve"> </w:t>
      </w:r>
      <w:r>
        <w:t xml:space="preserve">plus exclusifs (Trachman &amp; Lejbowicz 2020), et via la valuation</w:t>
      </w:r>
      <w:r>
        <w:t xml:space="preserve"> </w:t>
      </w:r>
      <w:r>
        <w:t xml:space="preserve">genrée de la bisexualité : tolérée voire valorisée chez les femmes</w:t>
      </w:r>
      <w:r>
        <w:t xml:space="preserve"> </w:t>
      </w:r>
      <w:r>
        <w:t xml:space="preserve">tant qu’elle reste dans le cadre hétéro, disqualifiée chez les</w:t>
      </w:r>
      <w:r>
        <w:t xml:space="preserve"> </w:t>
      </w:r>
      <w:r>
        <w:t xml:space="preserve">hommes comme soupçon pesant sur la masculinité (Dusseau 2017 ;</w:t>
      </w:r>
      <w:r>
        <w:t xml:space="preserve"> </w:t>
      </w:r>
      <w:r>
        <w:t xml:space="preserve">histoire genrée : bisexualité féminine marquée par le mouvement</w:t>
      </w:r>
      <w:r>
        <w:t xml:space="preserve"> </w:t>
      </w:r>
      <w:r>
        <w:t xml:space="preserve">lesbien, masculine par le VIH, Rust 2002).</w:t>
      </w:r>
    </w:p>
    <w:p>
      <w:pPr>
        <w:numPr>
          <w:ilvl w:val="0"/>
          <w:numId w:val="1004"/>
        </w:numPr>
      </w:pPr>
      <w:r>
        <w:t xml:space="preserve">Le contraste LGBT — femmes plutôt « bisexuelles », hommes plutôt «</w:t>
      </w:r>
      <w:r>
        <w:t xml:space="preserve"> </w:t>
      </w:r>
      <w:r>
        <w:t xml:space="preserve">homosexuels » — soutient votre hypothèse (accès masculin plus aisé à</w:t>
      </w:r>
      <w:r>
        <w:t xml:space="preserve"> </w:t>
      </w:r>
      <w:r>
        <w:t xml:space="preserve">une vie strictement homosexuelle / contrainte hétérosexuelle plus</w:t>
      </w:r>
      <w:r>
        <w:t xml:space="preserve"> </w:t>
      </w:r>
      <w:r>
        <w:t xml:space="preserve">forte pour les femmes : Rich 1981 ; androcentrisme, Trachman &amp;</w:t>
      </w:r>
      <w:r>
        <w:t xml:space="preserve"> </w:t>
      </w:r>
      <w:r>
        <w:t xml:space="preserve">Lejbowicz 2020).</w:t>
      </w:r>
    </w:p>
    <w:p>
      <w:pPr>
        <w:numPr>
          <w:ilvl w:val="0"/>
          <w:numId w:val="1004"/>
        </w:numPr>
      </w:pPr>
      <w:r>
        <w:t xml:space="preserve">Déjà ici se dessinent « deux bisexualités » : dans PG la bisexualité</w:t>
      </w:r>
      <w:r>
        <w:t xml:space="preserve"> </w:t>
      </w:r>
      <w:r>
        <w:t xml:space="preserve">penche du côté du répertoire élargi au même sexe mais reste</w:t>
      </w:r>
      <w:r>
        <w:t xml:space="preserve"> </w:t>
      </w:r>
      <w:r>
        <w:t xml:space="preserve">polarisée sur l’autre sexe, alors que LGBT capte une frange plus</w:t>
      </w:r>
      <w:r>
        <w:t xml:space="preserve"> </w:t>
      </w:r>
      <w:r>
        <w:t xml:space="preserve">proche de l’homosexualité (Trachman &amp; Lejbowicz 2020) — fil rouge</w:t>
      </w:r>
      <w:r>
        <w:t xml:space="preserve"> </w:t>
      </w:r>
      <w:r>
        <w:t xml:space="preserve">qu’on retrouvera dans les tableaux 3a/3b.</w:t>
      </w:r>
    </w:p>
    <w:p>
      <w:pPr>
        <w:pStyle w:val="FirstParagraph"/>
      </w:pPr>
      <w:r>
        <w:rPr>
          <w:b/>
          <w:bCs/>
        </w:rPr>
        <w:t xml:space="preserve">Limites</w:t>
      </w:r>
    </w:p>
    <w:p>
      <w:pPr>
        <w:pStyle w:val="Compact"/>
        <w:numPr>
          <w:ilvl w:val="0"/>
          <w:numId w:val="1005"/>
        </w:numPr>
      </w:pPr>
      <w:r>
        <w:t xml:space="preserve">La part importante des réponses NSP/NVPD/Pas de rapport/Pas</w:t>
      </w:r>
      <w:r>
        <w:t xml:space="preserve"> </w:t>
      </w:r>
      <w:r>
        <w:t xml:space="preserve">d’attirance, particulièrement pour les pratiques. Les pratiques,</w:t>
      </w:r>
      <w:r>
        <w:t xml:space="preserve"> </w:t>
      </w:r>
      <w:r>
        <w:t xml:space="preserve">attirances ou identifications minoritaires étant moins dicibles car</w:t>
      </w:r>
      <w:r>
        <w:t xml:space="preserve"> </w:t>
      </w:r>
      <w:r>
        <w:t xml:space="preserve">écartées de la norme hétérosexuelle (Rich 1981 ; Rust 2002), on peut</w:t>
      </w:r>
      <w:r>
        <w:t xml:space="preserve"> </w:t>
      </w:r>
      <w:r>
        <w:t xml:space="preserve">faire l’hypothèse qu’une partie de ces répondant·es sous-déclarent,</w:t>
      </w:r>
      <w:r>
        <w:t xml:space="preserve"> </w:t>
      </w:r>
      <w:r>
        <w:t xml:space="preserve">ce qui biaise les résultats à la baisse.</w:t>
      </w:r>
    </w:p>
    <w:p>
      <w:pPr>
        <w:pStyle w:val="Compact"/>
        <w:numPr>
          <w:ilvl w:val="0"/>
          <w:numId w:val="1005"/>
        </w:numPr>
      </w:pPr>
      <w:r>
        <w:t xml:space="preserve">Le recodage des attirances bisexuelles englobe trois modalités,</w:t>
      </w:r>
      <w:r>
        <w:t xml:space="preserve"> </w:t>
      </w:r>
      <w:r>
        <w:t xml:space="preserve">effaçant la nuance entre attirances surtout pour le sexe opposé mais</w:t>
      </w:r>
      <w:r>
        <w:t xml:space="preserve"> </w:t>
      </w:r>
      <w:r>
        <w:t xml:space="preserve">aussi pour le même sexe, et inversement. Nous faisons le choix</w:t>
      </w:r>
      <w:r>
        <w:t xml:space="preserve"> </w:t>
      </w:r>
      <w:r>
        <w:t xml:space="preserve">d’intégrer cette variation à la catégorie des attirances</w:t>
      </w:r>
      <w:r>
        <w:t xml:space="preserve"> </w:t>
      </w:r>
      <w:r>
        <w:t xml:space="preserve">bisexuelles.</w:t>
      </w:r>
    </w:p>
    <w:bookmarkEnd w:id="21"/>
    <w:bookmarkStart w:id="23" w:name="X62b96e780e6f59cf1343a5751e0abd3beb99a3c"/>
    <w:p>
      <w:pPr>
        <w:pStyle w:val="Heading2"/>
      </w:pPr>
      <w:r>
        <w:t xml:space="preserve">1.2 Tableau 2 : caractéristiques sociodémographiques (Trachman, Lejbowicz, 2020)</w:t>
      </w:r>
    </w:p>
    <w:p>
      <w:pPr>
        <w:pStyle w:val="FirstParagraph"/>
      </w:pPr>
      <w:r>
        <w:t xml:space="preserve">Ce tableau croise, pour les répondant·es</w:t>
      </w:r>
      <w:r>
        <w:t xml:space="preserve"> </w:t>
      </w:r>
      <w:r>
        <w:rPr>
          <w:b/>
          <w:bCs/>
        </w:rPr>
        <w:t xml:space="preserve">Virage PG</w:t>
      </w:r>
      <w:r>
        <w:t xml:space="preserve"> </w:t>
      </w:r>
      <w:r>
        <w:t xml:space="preserve">(Homo / Bi /</w:t>
      </w:r>
      <w:r>
        <w:t xml:space="preserve"> </w:t>
      </w:r>
      <w:r>
        <w:t xml:space="preserve">Hétéro, pondéré) et</w:t>
      </w:r>
      <w:r>
        <w:t xml:space="preserve"> </w:t>
      </w:r>
      <w:r>
        <w:rPr>
          <w:b/>
          <w:bCs/>
        </w:rPr>
        <w:t xml:space="preserve">Virage LGBT</w:t>
      </w:r>
      <w:r>
        <w:t xml:space="preserve"> </w:t>
      </w:r>
      <w:r>
        <w:t xml:space="preserve">(Homo / Bi, non pondéré), les</w:t>
      </w:r>
      <w:r>
        <w:t xml:space="preserve"> </w:t>
      </w:r>
      <w:r>
        <w:t xml:space="preserve">caractéristiques sociodémographiques selon le genre. Il revient sur les</w:t>
      </w:r>
      <w:r>
        <w:t xml:space="preserve"> </w:t>
      </w:r>
      <w:r>
        <w:t xml:space="preserve">données traitées dans l’article de Mathieu Trachman et Tania Lejbowicz,</w:t>
      </w:r>
      <w:r>
        <w:t xml:space="preserve"> </w:t>
      </w:r>
      <w:r>
        <w:rPr>
          <w:u w:val="single"/>
        </w:rPr>
        <w:t xml:space="preserve">Lesbiennes, gays, bisexuel·le·s et trans (LGBT) : une catégorie</w:t>
      </w:r>
      <w:r>
        <w:rPr>
          <w:u w:val="single"/>
        </w:rPr>
        <w:t xml:space="preserve"> </w:t>
      </w:r>
      <w:r>
        <w:rPr>
          <w:u w:val="single"/>
        </w:rPr>
        <w:t xml:space="preserve">hétérogène, des violences spécifiques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trachm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Caractéristiques sociodémographiques des répondant·es selon le sexe et l’identification sexuelle. Virage PG (pondéré) et Virage LGBT (non pondéré).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21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</w:tr>
            <w:tr>
              <w:trPr>
                <w:trHeight w:val="785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135)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15297)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180)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11422)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2362)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654)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2954)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315)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Groupe d'âges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20-29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47,0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30-39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40-49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50-69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Diplôme le plus élevé obtenu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Primaire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Secondaire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Supérieur 1er niveau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Supérieur 2e niveau et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47,4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Statut d'activité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Actif·ve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69,3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75,7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78,2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Retraité·e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Étudiant·e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Autre sans activité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Indéterminé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Catégorie socioprofessionnelle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Agriculteur·rice exploitant·e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Artisan·e, commerçant·e, chef d'entreprise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Cadre, profession intellect. sup.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Profession intermédiaire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Employé·e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Ouvrier·e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Territoire d'habitation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0,012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Ile-de-France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Autre agglomération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51,5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Territoire rural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Statut migratoire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0,8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Majoritaire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84,8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Immigré·e, descendant·e ou né·e dans un DOM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Indeterminé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Pearson's X^2: Rao &amp; Scott adjustment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Fisher's Exact Test for Count Data with simulated 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ab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(based on 10000 replicates)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Abréviation: IC = intervalle de confiance</w:t>
                  </w:r>
                </w:p>
              </w:tc>
            </w:tr>
          </w:tbl>
          <w:bookmarkEnd w:id="22"/>
        </w:tc>
      </w:tr>
    </w:tbl>
    <w:p>
      <w:pPr>
        <w:pStyle w:val="BodyText"/>
      </w:pPr>
      <w:r>
        <w:rPr>
          <w:b/>
          <w:bCs/>
        </w:rPr>
        <w:t xml:space="preserve">Lecture du tableau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Âge.</w:t>
      </w:r>
      <w:r>
        <w:t xml:space="preserve"> </w:t>
      </w:r>
      <w:r>
        <w:t xml:space="preserve">Femmes bies plus jeunes, hommes bis plus âgés (PG). Le</w:t>
      </w:r>
      <w:r>
        <w:t xml:space="preserve"> </w:t>
      </w:r>
      <w:r>
        <w:t xml:space="preserve">clivage d’âge est moins net dans Virage LGBT, où les hommes bis sont</w:t>
      </w:r>
      <w:r>
        <w:t xml:space="preserve"> </w:t>
      </w:r>
      <w:r>
        <w:t xml:space="preserve">surreprésentés à la fois dans la classe la plus jeune et la plus</w:t>
      </w:r>
      <w:r>
        <w:t xml:space="preserve"> </w:t>
      </w:r>
      <w:r>
        <w:t xml:space="preserve">âgée par rapport aux gays.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Diplôme.</w:t>
      </w:r>
      <w:r>
        <w:t xml:space="preserve"> </w:t>
      </w:r>
      <w:r>
        <w:t xml:space="preserve">Les hommes bis sont moins surdiplômés que les gays,</w:t>
      </w:r>
      <w:r>
        <w:t xml:space="preserve"> </w:t>
      </w:r>
      <w:r>
        <w:t xml:space="preserve">lesbiennes et bisexuelles : leur niveau de diplôme se rapproche de</w:t>
      </w:r>
      <w:r>
        <w:t xml:space="preserve"> </w:t>
      </w:r>
      <w:r>
        <w:t xml:space="preserve">celui des hétérosexuels.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Réserves.</w:t>
      </w:r>
      <w:r>
        <w:t xml:space="preserve"> </w:t>
      </w:r>
      <w:r>
        <w:t xml:space="preserve">PCS et territoire d’habitation : IC trop chevauchants</w:t>
      </w:r>
      <w:r>
        <w:t xml:space="preserve"> </w:t>
      </w:r>
      <w:r>
        <w:t xml:space="preserve">pour comparer les groupes. Statut migratoire : p-value insuffisante,</w:t>
      </w:r>
      <w:r>
        <w:t xml:space="preserve"> </w:t>
      </w:r>
      <w:r>
        <w:t xml:space="preserve">pas de commentaire.</w:t>
      </w:r>
    </w:p>
    <w:p>
      <w:pPr>
        <w:pStyle w:val="FirstParagraph"/>
      </w:pPr>
      <w:r>
        <w:rPr>
          <w:b/>
          <w:bCs/>
        </w:rPr>
        <w:t xml:space="preserve">Pistes d’interprétation</w:t>
      </w:r>
    </w:p>
    <w:p>
      <w:pPr>
        <w:numPr>
          <w:ilvl w:val="0"/>
          <w:numId w:val="1007"/>
        </w:numPr>
      </w:pPr>
      <w:r>
        <w:t xml:space="preserve">La structure d’âge opposée des bis selon le genre est le résultat le</w:t>
      </w:r>
      <w:r>
        <w:t xml:space="preserve"> </w:t>
      </w:r>
      <w:r>
        <w:t xml:space="preserve">plus saillant. Côté femmes, l’identification bisexuelle décroît avec</w:t>
      </w:r>
      <w:r>
        <w:t xml:space="preserve"> </w:t>
      </w:r>
      <w:r>
        <w:t xml:space="preserve">l’âge car elle est socialement conçue comme transitoire, les femmes</w:t>
      </w:r>
      <w:r>
        <w:t xml:space="preserve"> </w:t>
      </w:r>
      <w:r>
        <w:t xml:space="preserve">étant en partie contraintes d’abandonner une identification jugée</w:t>
      </w:r>
      <w:r>
        <w:t xml:space="preserve"> </w:t>
      </w:r>
      <w:r>
        <w:t xml:space="preserve">illégitime (Yost &amp; Thomas 2012, cités par Trachman &amp; Lejbowicz</w:t>
      </w:r>
      <w:r>
        <w:t xml:space="preserve"> </w:t>
      </w:r>
      <w:r>
        <w:t xml:space="preserve">2020). Côté hommes, la surreprésentation aux âges élevés tient moins</w:t>
      </w:r>
      <w:r>
        <w:t xml:space="preserve"> </w:t>
      </w:r>
      <w:r>
        <w:t xml:space="preserve">à une affirmation tardive qu’à un effet de contexte : pour la</w:t>
      </w:r>
      <w:r>
        <w:t xml:space="preserve"> </w:t>
      </w:r>
      <w:r>
        <w:t xml:space="preserve">génération des 50-69 ans, s’identifier comme bisexuel a pu être plus</w:t>
      </w:r>
      <w:r>
        <w:t xml:space="preserve"> </w:t>
      </w:r>
      <w:r>
        <w:t xml:space="preserve">accessible que comme gay (Trachman &amp; Lejbowicz 2020).</w:t>
      </w:r>
    </w:p>
    <w:p>
      <w:pPr>
        <w:numPr>
          <w:ilvl w:val="0"/>
          <w:numId w:val="1007"/>
        </w:numPr>
      </w:pPr>
      <w:r>
        <w:t xml:space="preserve">Le profil « moins surdiplômé, proche des hétéros » des hommes bis</w:t>
      </w:r>
      <w:r>
        <w:t xml:space="preserve"> </w:t>
      </w:r>
      <w:r>
        <w:t xml:space="preserve">confirme un trait connu : la moitié des bisexuel·les sont employé·es</w:t>
      </w:r>
      <w:r>
        <w:t xml:space="preserve"> </w:t>
      </w:r>
      <w:r>
        <w:t xml:space="preserve">ou ouvrier·ères, plus proches des hétéros que des homosexuel·les</w:t>
      </w:r>
      <w:r>
        <w:t xml:space="preserve"> </w:t>
      </w:r>
      <w:r>
        <w:t xml:space="preserve">(plus diplômé·es, urbain·es, CSP+) (Trachman &amp; Lejbowicz 2020). Que</w:t>
      </w:r>
      <w:r>
        <w:t xml:space="preserve"> </w:t>
      </w:r>
      <w:r>
        <w:t xml:space="preserve">ce trait subsiste dans LGBT — pourtant biaisée vers les fractions</w:t>
      </w:r>
      <w:r>
        <w:t xml:space="preserve"> </w:t>
      </w:r>
      <w:r>
        <w:t xml:space="preserve">diplômées — illustre que cette enquête accentue sans distordre :</w:t>
      </w:r>
      <w:r>
        <w:t xml:space="preserve"> </w:t>
      </w:r>
      <w:r>
        <w:t xml:space="preserve">elle conserve un nombre non négligeable d’hommes bis âgés et de</w:t>
      </w:r>
      <w:r>
        <w:t xml:space="preserve"> </w:t>
      </w:r>
      <w:r>
        <w:t xml:space="preserve">catégories populaires (Trachman &amp; Lejbowicz 2020).</w:t>
      </w:r>
    </w:p>
    <w:p>
      <w:pPr>
        <w:numPr>
          <w:ilvl w:val="0"/>
          <w:numId w:val="1007"/>
        </w:numPr>
      </w:pPr>
      <w:r>
        <w:t xml:space="preserve">Que la position sociale des bisexuel·les varie selon le genre peut</w:t>
      </w:r>
      <w:r>
        <w:t xml:space="preserve"> </w:t>
      </w:r>
      <w:r>
        <w:t xml:space="preserve">être relié au fait que déclarer une homo-bisexualité reste adossé à</w:t>
      </w:r>
      <w:r>
        <w:t xml:space="preserve"> </w:t>
      </w:r>
      <w:r>
        <w:t xml:space="preserve">un certain niveau de ressources sociales (Rault &amp; Lambert 2019),</w:t>
      </w:r>
      <w:r>
        <w:t xml:space="preserve"> </w:t>
      </w:r>
      <w:r>
        <w:t xml:space="preserve">avec une part d’ouvrières deux fois plus élevée chez lesbiennes et</w:t>
      </w:r>
      <w:r>
        <w:t xml:space="preserve"> </w:t>
      </w:r>
      <w:r>
        <w:t xml:space="preserve">bisexuelles que chez les hétérosexuelles (Trachman &amp; Lejbowicz</w:t>
      </w:r>
      <w:r>
        <w:t xml:space="preserve"> </w:t>
      </w:r>
      <w:r>
        <w:t xml:space="preserve">2020).</w:t>
      </w:r>
    </w:p>
    <w:bookmarkEnd w:id="23"/>
    <w:bookmarkStart w:id="25" w:name="Xd078291d7ce3734445ae5e511e1eed424388d28"/>
    <w:p>
      <w:pPr>
        <w:pStyle w:val="Heading2"/>
      </w:pPr>
      <w:r>
        <w:t xml:space="preserve">1.3 Tableau 3a : Situation matrimoniale et conjugale (sur l’ensemble)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3a-situation-conjuga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Situation matrimoniale et conjugale selon l’enquête, le genre et l’identification sexuelle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21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</w:tr>
            <w:tr>
              <w:trPr>
                <w:trHeight w:val="785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135)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15297)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180)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11422)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2362)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654)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2954)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315)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État matrimonial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Célibataire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77,0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42,8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Marié.e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Divorcé.e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Veuf.ve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Couple &gt; 4 mois (12 derniers mois)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0,071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Oui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63,3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59,9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Statut conjugal à l'enquête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Pas en couple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44,1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Marié.e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47,8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Pacsé.e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Union libre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Nombre d'enfants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79,3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91,4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3+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0,6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12,6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2,2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Pearson's X^2: Rao &amp; Scott adjustment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Fisher's Exact Test for Count Data with simulated 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ab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(based on 10000 replicates); test exact de Fisher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Abréviation: IC = intervalle de confiance</w:t>
                  </w:r>
                </w:p>
              </w:tc>
            </w:tr>
          </w:tbl>
          <w:bookmarkEnd w:id="24"/>
        </w:tc>
      </w:tr>
    </w:tbl>
    <w:p>
      <w:pPr>
        <w:pStyle w:val="BodyText"/>
      </w:pPr>
      <w:r>
        <w:rPr>
          <w:b/>
          <w:bCs/>
        </w:rPr>
        <w:t xml:space="preserve">Lecture du tableau</w:t>
      </w:r>
    </w:p>
    <w:p>
      <w:pPr>
        <w:pStyle w:val="BodyText"/>
      </w:pPr>
      <w:r>
        <w:rPr>
          <w:i/>
          <w:iCs/>
        </w:rPr>
        <w:t xml:space="preserve">Femmes (PG).</w:t>
      </w:r>
      <w:r>
        <w:t xml:space="preserve"> </w:t>
      </w:r>
      <w:r>
        <w:t xml:space="preserve">Lesbiennes et bisexuelles sont moins souvent mariées et</w:t>
      </w:r>
      <w:r>
        <w:t xml:space="preserve"> </w:t>
      </w:r>
      <w:r>
        <w:t xml:space="preserve">moins souvent en couple que les hétérosexuelles. L’écart de mariage avec</w:t>
      </w:r>
      <w:r>
        <w:t xml:space="preserve"> </w:t>
      </w:r>
      <w:r>
        <w:t xml:space="preserve">les hétérosexuelles subsiste même après contrôle de l’âge.</w:t>
      </w:r>
    </w:p>
    <w:p>
      <w:pPr>
        <w:pStyle w:val="BodyText"/>
      </w:pPr>
      <w:r>
        <w:rPr>
          <w:i/>
          <w:iCs/>
        </w:rPr>
        <w:t xml:space="preserve">Femmes (LGBT).</w:t>
      </w:r>
      <w:r>
        <w:t xml:space="preserve"> </w:t>
      </w:r>
      <w:r>
        <w:t xml:space="preserve">L’écart lesbiennes/bisexuelles se creuse : les</w:t>
      </w:r>
      <w:r>
        <w:t xml:space="preserve"> </w:t>
      </w:r>
      <w:r>
        <w:t xml:space="preserve">bisexuelles y sont moins souvent mariées et plus souvent célibataires.</w:t>
      </w:r>
    </w:p>
    <w:p>
      <w:pPr>
        <w:pStyle w:val="BodyText"/>
      </w:pPr>
      <w:r>
        <w:rPr>
          <w:i/>
          <w:iCs/>
        </w:rPr>
        <w:t xml:space="preserve">Hommes (PG).</w:t>
      </w:r>
      <w:r>
        <w:t xml:space="preserve"> </w:t>
      </w:r>
      <w:r>
        <w:t xml:space="preserve">Les hommes bis sont plus souvent divorcés que les</w:t>
      </w:r>
      <w:r>
        <w:t xml:space="preserve"> </w:t>
      </w:r>
      <w:r>
        <w:t xml:space="preserve">hétéros, deux fois moins souvent mariés, et majoritairement célibataires</w:t>
      </w:r>
      <w:r>
        <w:t xml:space="preserve"> </w:t>
      </w:r>
      <w:r>
        <w:t xml:space="preserve">(à l’enquête comme sur 12 mois). Ce célibat est moins marqué dans LGBT.</w:t>
      </w:r>
    </w:p>
    <w:p>
      <w:pPr>
        <w:pStyle w:val="BodyText"/>
      </w:pPr>
      <w:r>
        <w:rPr>
          <w:i/>
          <w:iCs/>
        </w:rPr>
        <w:t xml:space="preserve">Les deux.</w:t>
      </w:r>
      <w:r>
        <w:t xml:space="preserve"> </w:t>
      </w:r>
      <w:r>
        <w:t xml:space="preserve">Lesbiennes et bisexuelles plus souvent en union libre que</w:t>
      </w:r>
      <w:r>
        <w:t xml:space="preserve"> </w:t>
      </w:r>
      <w:r>
        <w:t xml:space="preserve">les hétérosexuelles ; le pacs apparaît plus homosexuel que bisexuel. Les</w:t>
      </w:r>
      <w:r>
        <w:t xml:space="preserve"> </w:t>
      </w:r>
      <w:r>
        <w:t xml:space="preserve">bisexuel·les sont moins souvent sans enfant que les homosexuel·les mais</w:t>
      </w:r>
      <w:r>
        <w:t xml:space="preserve"> </w:t>
      </w:r>
      <w:r>
        <w:t xml:space="preserve">plus souvent que les hétérosexuel·les — la population LGBT étant</w:t>
      </w:r>
      <w:r>
        <w:t xml:space="preserve"> </w:t>
      </w:r>
      <w:r>
        <w:t xml:space="preserve">majoritairement sans enfant.</w:t>
      </w:r>
    </w:p>
    <w:p>
      <w:pPr>
        <w:pStyle w:val="BodyText"/>
      </w:pPr>
      <w:r>
        <w:rPr>
          <w:b/>
          <w:bCs/>
        </w:rPr>
        <w:t xml:space="preserve">Pistes d’interprétation</w:t>
      </w:r>
    </w:p>
    <w:p>
      <w:pPr>
        <w:numPr>
          <w:ilvl w:val="0"/>
          <w:numId w:val="1008"/>
        </w:numPr>
      </w:pPr>
      <w:r>
        <w:t xml:space="preserve">Femmes bies en couple surtout avec un homme, mais moins mariées que</w:t>
      </w:r>
      <w:r>
        <w:t xml:space="preserve"> </w:t>
      </w:r>
      <w:r>
        <w:t xml:space="preserve">les hétéros (écart net même à âge contrôlé) : la contrainte</w:t>
      </w:r>
      <w:r>
        <w:t xml:space="preserve"> </w:t>
      </w:r>
      <w:r>
        <w:t xml:space="preserve">hétérosexuelle oriente vers le couple de sexe différent sans pour</w:t>
      </w:r>
      <w:r>
        <w:t xml:space="preserve"> </w:t>
      </w:r>
      <w:r>
        <w:t xml:space="preserve">autant conduire au mariage (Rich 1981) ; le mariage, institution</w:t>
      </w:r>
      <w:r>
        <w:t xml:space="preserve"> </w:t>
      </w:r>
      <w:r>
        <w:t xml:space="preserve">arrimée à la monogamie et au principe dyadique, est précisément ce</w:t>
      </w:r>
      <w:r>
        <w:t xml:space="preserve"> </w:t>
      </w:r>
      <w:r>
        <w:t xml:space="preserve">que la bisexualité vient déstabiliser (Klesse 2018). À noter qu’aux</w:t>
      </w:r>
      <w:r>
        <w:t xml:space="preserve"> </w:t>
      </w:r>
      <w:r>
        <w:t xml:space="preserve">États-Unis les femmes bies sont les plus souvent en couple des LGB</w:t>
      </w:r>
      <w:r>
        <w:t xml:space="preserve"> </w:t>
      </w:r>
      <w:r>
        <w:t xml:space="preserve">et accordent au mariage le même poids que les hétéros — la plupart</w:t>
      </w:r>
      <w:r>
        <w:t xml:space="preserve"> </w:t>
      </w:r>
      <w:r>
        <w:t xml:space="preserve">étant en couple hétéro (Gates 2015).</w:t>
      </w:r>
    </w:p>
    <w:p>
      <w:pPr>
        <w:numPr>
          <w:ilvl w:val="0"/>
          <w:numId w:val="1008"/>
        </w:numPr>
      </w:pPr>
      <w:r>
        <w:t xml:space="preserve">Hommes bis : divorce plus fréquent + deux fois moins de mariages +</w:t>
      </w:r>
      <w:r>
        <w:t xml:space="preserve"> </w:t>
      </w:r>
      <w:r>
        <w:t xml:space="preserve">fort célibat. Le scénario « mariage hétéro d’abord, bisexualité</w:t>
      </w:r>
      <w:r>
        <w:t xml:space="preserve"> </w:t>
      </w:r>
      <w:r>
        <w:t xml:space="preserve">reconnue ensuite » correspond aux mixed-orientation marriages</w:t>
      </w:r>
      <w:r>
        <w:t xml:space="preserve"> </w:t>
      </w:r>
      <w:r>
        <w:t xml:space="preserve">décrits par Rust (2002), et au moment biographique « quarantaine et</w:t>
      </w:r>
      <w:r>
        <w:t xml:space="preserve"> </w:t>
      </w:r>
      <w:r>
        <w:t xml:space="preserve">plus » où, la vie sociale étant stabilisée, on se sent plus libre de</w:t>
      </w:r>
      <w:r>
        <w:t xml:space="preserve"> </w:t>
      </w:r>
      <w:r>
        <w:t xml:space="preserve">vivre une sexualité bisexuelle (Dusseau 2017). L’expérience</w:t>
      </w:r>
      <w:r>
        <w:t xml:space="preserve"> </w:t>
      </w:r>
      <w:r>
        <w:t xml:space="preserve">biographique, plus que la seule position sociale, façonne le rapport</w:t>
      </w:r>
      <w:r>
        <w:t xml:space="preserve"> </w:t>
      </w:r>
      <w:r>
        <w:t xml:space="preserve">au couple (Adam 1999). Leur fort célibat fait écho au constat que</w:t>
      </w:r>
      <w:r>
        <w:t xml:space="preserve"> </w:t>
      </w:r>
      <w:r>
        <w:t xml:space="preserve">7/10 des bis sont célibataires dans PG, dans une sexualité</w:t>
      </w:r>
      <w:r>
        <w:t xml:space="preserve"> </w:t>
      </w:r>
      <w:r>
        <w:t xml:space="preserve">androcentrée (Trachman &amp; Lejbowicz 2020).</w:t>
      </w:r>
    </w:p>
    <w:p>
      <w:pPr>
        <w:numPr>
          <w:ilvl w:val="0"/>
          <w:numId w:val="1008"/>
        </w:numPr>
      </w:pPr>
      <w:r>
        <w:t xml:space="preserve">Enfants : les bisexuel·les se situent entre hétéros et homos. Cela</w:t>
      </w:r>
      <w:r>
        <w:t xml:space="preserve"> </w:t>
      </w:r>
      <w:r>
        <w:t xml:space="preserve">s’éclaire par le fait que les bi sont surtout parents au sein</w:t>
      </w:r>
      <w:r>
        <w:t xml:space="preserve"> </w:t>
      </w:r>
      <w:r>
        <w:t xml:space="preserve">d’unions de sexe différent (passées ou présentes), et que les</w:t>
      </w:r>
      <w:r>
        <w:t xml:space="preserve"> </w:t>
      </w:r>
      <w:r>
        <w:t xml:space="preserve">enfants vivant avec un couple de même sexe sont le plus souvent nés</w:t>
      </w:r>
      <w:r>
        <w:t xml:space="preserve"> </w:t>
      </w:r>
      <w:r>
        <w:t xml:space="preserve">d’une union de sexe différent antérieure (Gates 2015). La population</w:t>
      </w:r>
      <w:r>
        <w:t xml:space="preserve"> </w:t>
      </w:r>
      <w:r>
        <w:t xml:space="preserve">LGBT majoritairement sans enfant relève d’une frange dont la vie</w:t>
      </w:r>
      <w:r>
        <w:t xml:space="preserve"> </w:t>
      </w:r>
      <w:r>
        <w:t xml:space="preserve">s’organise davantage autour du même sexe (Trachman &amp; Lejbowicz</w:t>
      </w:r>
      <w:r>
        <w:t xml:space="preserve"> </w:t>
      </w:r>
      <w:r>
        <w:t xml:space="preserve">2020).</w:t>
      </w:r>
    </w:p>
    <w:p>
      <w:pPr>
        <w:numPr>
          <w:ilvl w:val="0"/>
          <w:numId w:val="1008"/>
        </w:numPr>
      </w:pPr>
      <w:r>
        <w:t xml:space="preserve">Union libre / moindre mariage des lesbiennes et bies : les couples</w:t>
      </w:r>
      <w:r>
        <w:t xml:space="preserve"> </w:t>
      </w:r>
      <w:r>
        <w:t xml:space="preserve">de même sexe cohabitent à des niveaux proches des hétéros (surtout</w:t>
      </w:r>
      <w:r>
        <w:t xml:space="preserve"> </w:t>
      </w:r>
      <w:r>
        <w:t xml:space="preserve">les lesbiennes) mais leur reconnaissance institutionnelle est</w:t>
      </w:r>
      <w:r>
        <w:t xml:space="preserve"> </w:t>
      </w:r>
      <w:r>
        <w:t xml:space="preserve">récente (Gates 2015 ; Rault &amp; Lambert 2019).</w:t>
      </w:r>
    </w:p>
    <w:p>
      <w:pPr>
        <w:numPr>
          <w:ilvl w:val="0"/>
          <w:numId w:val="1008"/>
        </w:numPr>
      </w:pPr>
      <w:r>
        <w:t xml:space="preserve">Bi hommes vs bi femmes : les femmes sont canalisées vers des couples</w:t>
      </w:r>
      <w:r>
        <w:t xml:space="preserve"> </w:t>
      </w:r>
      <w:r>
        <w:t xml:space="preserve">de sexe différent non mariés, les hommes vers des mariages dissous</w:t>
      </w:r>
      <w:r>
        <w:t xml:space="preserve"> </w:t>
      </w:r>
      <w:r>
        <w:t xml:space="preserve">et le célibat — dissymétrie genrée de la bisexualité (Dusseau 2017 ;</w:t>
      </w:r>
      <w:r>
        <w:t xml:space="preserve"> </w:t>
      </w:r>
      <w:r>
        <w:t xml:space="preserve">Rust 2002).</w:t>
      </w:r>
    </w:p>
    <w:p>
      <w:pPr>
        <w:numPr>
          <w:ilvl w:val="0"/>
          <w:numId w:val="1008"/>
        </w:numPr>
      </w:pPr>
      <w:r>
        <w:t xml:space="preserve">PG vs LGBT : LGBT durcit les écarts (bies plus célibataires / moins</w:t>
      </w:r>
      <w:r>
        <w:t xml:space="preserve"> </w:t>
      </w:r>
      <w:r>
        <w:t xml:space="preserve">mariées ; hommes bis moins célibataires) — cohérent avec « deux</w:t>
      </w:r>
      <w:r>
        <w:t xml:space="preserve"> </w:t>
      </w:r>
      <w:r>
        <w:t xml:space="preserve">bisexualités », celle de LGBT étant plus homosexualisée (Trachman &amp;</w:t>
      </w:r>
      <w:r>
        <w:t xml:space="preserve"> </w:t>
      </w:r>
      <w:r>
        <w:t xml:space="preserve">Lejbowicz 2020).</w:t>
      </w:r>
    </w:p>
    <w:bookmarkEnd w:id="25"/>
    <w:bookmarkStart w:id="27" w:name="X4cf6fed73f7f0252d928a47848bb3569b5dd010"/>
    <w:p>
      <w:pPr>
        <w:pStyle w:val="Heading2"/>
      </w:pPr>
      <w:r>
        <w:t xml:space="preserve">1.4 Tableau 3b : Cohabitation et enfants du couple (sous-pop en couple &gt; 4 mois dans les 12 derniers mois)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3b-cohab-enfants-cou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Cohabitation et enfants du couple selon l’enquête, le genre et l’identification sexuelle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21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</w:tr>
            <w:tr>
              <w:trPr>
                <w:trHeight w:val="785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65)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77)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10196)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91)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34)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8108)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1752)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445)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1769)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172)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Cohabitation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0,025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0,052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cohabitant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76,0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77,8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67,5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non cohabitant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38,2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Durée de la relation actuelle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0,002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Moins de 1 an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1-4 ans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5-9 ans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33,1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10-19 ans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 ans ou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47,3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6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Écart d'âge avec le/la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0,028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âgé·e (10+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âgé·e (5-9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Du même âge (± 4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44,9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62,7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33,0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jeune (5-9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jeune (10+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Nombre d'enfants du couple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&lt;0,001</w:t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28,3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71,5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34,2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43,9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59,4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79,5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21,6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36,1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17,9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44,7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50,5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42,5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15,4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38,8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98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3+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25,3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0,0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6,8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23,9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4,7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1,7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6,1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13,4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%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Pearson's X^2: Rao &amp; Scott adjustment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test exact de Fisher; Fisher's Exact Test for Count Data with simulated 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ab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(based on 10000 replicates)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20" w:right="2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Abréviation: IC = intervalle de confiance</w:t>
                  </w:r>
                </w:p>
              </w:tc>
            </w:tr>
          </w:tbl>
          <w:bookmarkEnd w:id="26"/>
        </w:tc>
      </w:tr>
    </w:tbl>
    <w:p>
      <w:pPr>
        <w:pStyle w:val="BodyText"/>
      </w:pPr>
      <w:r>
        <w:rPr>
          <w:b/>
          <w:bCs/>
        </w:rPr>
        <w:t xml:space="preserve">Lecture du tableau</w:t>
      </w:r>
    </w:p>
    <w:p>
      <w:pPr>
        <w:pStyle w:val="BodyText"/>
      </w:pPr>
      <w:r>
        <w:rPr>
          <w:i/>
          <w:iCs/>
        </w:rPr>
        <w:t xml:space="preserve">Cohabitation.</w:t>
      </w:r>
      <w:r>
        <w:t xml:space="preserve"> </w:t>
      </w:r>
      <w:r>
        <w:t xml:space="preserve">Les bisexuel·les sont moins souvent en couple cohabitant</w:t>
      </w:r>
      <w:r>
        <w:t xml:space="preserve"> </w:t>
      </w:r>
      <w:r>
        <w:t xml:space="preserve">que les hétérosexuel·les (PG). Dans LGBT, ils semblent moins cohabitants</w:t>
      </w:r>
      <w:r>
        <w:t xml:space="preserve"> </w:t>
      </w:r>
      <w:r>
        <w:t xml:space="preserve">que les homosexuel·les.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Réserve : dans LGBT, IC à peine disjoints et p-value faibles — à</w:t>
      </w:r>
      <w:r>
        <w:rPr>
          <w:i/>
          <w:iCs/>
        </w:rPr>
        <w:t xml:space="preserve"> </w:t>
      </w:r>
      <w:r>
        <w:rPr>
          <w:i/>
          <w:iCs/>
        </w:rPr>
        <w:t xml:space="preserve">formuler au conditionnel.</w:t>
      </w:r>
    </w:p>
    <w:p>
      <w:pPr>
        <w:pStyle w:val="FirstParagraph"/>
      </w:pPr>
      <w:r>
        <w:rPr>
          <w:i/>
          <w:iCs/>
        </w:rPr>
        <w:t xml:space="preserve">Enfants du couple.</w:t>
      </w:r>
      <w:r>
        <w:t xml:space="preserve"> </w:t>
      </w:r>
      <w:r>
        <w:t xml:space="preserve">Les bisexuel·les sont plus souvent sans enfant que</w:t>
      </w:r>
      <w:r>
        <w:t xml:space="preserve"> </w:t>
      </w:r>
      <w:r>
        <w:t xml:space="preserve">les hétérosexuel·les (PG) ; mais les bisexuelles ont plus souvent des</w:t>
      </w:r>
      <w:r>
        <w:t xml:space="preserve"> </w:t>
      </w:r>
      <w:r>
        <w:t xml:space="preserve">enfants que les lesbiennes (PG), et dans LGBT les hommes bis sont moins</w:t>
      </w:r>
      <w:r>
        <w:t xml:space="preserve"> </w:t>
      </w:r>
      <w:r>
        <w:t xml:space="preserve">souvent sans enfant que les gays.</w:t>
      </w:r>
    </w:p>
    <w:p>
      <w:pPr>
        <w:pStyle w:val="BodyText"/>
      </w:pPr>
      <w:r>
        <w:rPr>
          <w:i/>
          <w:iCs/>
        </w:rPr>
        <w:t xml:space="preserve">Durée de la relation.</w:t>
      </w:r>
      <w:r>
        <w:t xml:space="preserve"> </w:t>
      </w:r>
      <w:r>
        <w:t xml:space="preserve">Bisexuelles et lesbiennes ont plus souvent des</w:t>
      </w:r>
      <w:r>
        <w:t xml:space="preserve"> </w:t>
      </w:r>
      <w:r>
        <w:t xml:space="preserve">relations de moins de 4 ans (et de moins d’un an) et beaucoup moins</w:t>
      </w:r>
      <w:r>
        <w:t xml:space="preserve"> </w:t>
      </w:r>
      <w:r>
        <w:t xml:space="preserve">souvent des relations de 20 ans et plus que les hétérosexuelles (PG,</w:t>
      </w:r>
      <w:r>
        <w:t xml:space="preserve"> </w:t>
      </w:r>
      <w:r>
        <w:t xml:space="preserve">femmes). Dans LGBT, durées proches entre bisexuelles et lesbiennes, mais</w:t>
      </w:r>
      <w:r>
        <w:t xml:space="preserve"> </w:t>
      </w:r>
      <w:r>
        <w:t xml:space="preserve">lesbiennes et gays atteignent plus souvent que les bis les durées</w:t>
      </w:r>
      <w:r>
        <w:t xml:space="preserve"> </w:t>
      </w:r>
      <w:r>
        <w:t xml:space="preserve">longues (20 ans et plus, 10 ans et plus).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Réserve : chez les hommes dans PG, les IC se chevauchent dans</w:t>
      </w:r>
      <w:r>
        <w:rPr>
          <w:i/>
          <w:iCs/>
        </w:rPr>
        <w:t xml:space="preserve"> </w:t>
      </w:r>
      <w:r>
        <w:rPr>
          <w:i/>
          <w:iCs/>
        </w:rPr>
        <w:t xml:space="preserve">toutes les classes de durée — pas de lecture.</w:t>
      </w:r>
    </w:p>
    <w:p>
      <w:pPr>
        <w:pStyle w:val="FirstParagraph"/>
      </w:pPr>
      <w:r>
        <w:rPr>
          <w:i/>
          <w:iCs/>
        </w:rPr>
        <w:t xml:space="preserve">Écart d’âge.</w:t>
      </w:r>
      <w:r>
        <w:t xml:space="preserve"> </w:t>
      </w:r>
      <w:r>
        <w:t xml:space="preserve">Bisexuelles et lesbiennes ont plus souvent un·e</w:t>
      </w:r>
      <w:r>
        <w:t xml:space="preserve"> </w:t>
      </w:r>
      <w:r>
        <w:t xml:space="preserve">conjoint·e plus jeune de 5 à 9 ans que les hétérosexuelles ; les</w:t>
      </w:r>
      <w:r>
        <w:t xml:space="preserve"> </w:t>
      </w:r>
      <w:r>
        <w:t xml:space="preserve">lesbiennes, plus souvent une conjointe plus jeune de 10 ans et plus</w:t>
      </w:r>
      <w:r>
        <w:t xml:space="preserve"> </w:t>
      </w:r>
      <w:r>
        <w:t xml:space="preserve">(PG). Dans LGBT, les lesbiennes ont plus souvent une conjointe plus</w:t>
      </w:r>
      <w:r>
        <w:t xml:space="preserve"> </w:t>
      </w:r>
      <w:r>
        <w:t xml:space="preserve">jeune de 5 à 9 ans que les bisexuelles.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Réserve : les autres écarts d’âge dans LGBT ont des IC qui se</w:t>
      </w:r>
      <w:r>
        <w:rPr>
          <w:i/>
          <w:iCs/>
        </w:rPr>
        <w:t xml:space="preserve"> </w:t>
      </w:r>
      <w:r>
        <w:rPr>
          <w:i/>
          <w:iCs/>
        </w:rPr>
        <w:t xml:space="preserve">chevauchent.</w:t>
      </w:r>
    </w:p>
    <w:p>
      <w:pPr>
        <w:pStyle w:val="FirstParagraph"/>
      </w:pPr>
      <w:r>
        <w:rPr>
          <w:b/>
          <w:bCs/>
        </w:rPr>
        <w:t xml:space="preserve">Pistes d’interprétation</w:t>
      </w:r>
    </w:p>
    <w:p>
      <w:pPr>
        <w:numPr>
          <w:ilvl w:val="0"/>
          <w:numId w:val="1012"/>
        </w:numPr>
      </w:pPr>
      <w:r>
        <w:t xml:space="preserve">L’écart d’âge est la piste la mieux étayée. Les couples hétéros</w:t>
      </w:r>
      <w:r>
        <w:t xml:space="preserve"> </w:t>
      </w:r>
      <w:r>
        <w:t xml:space="preserve">suivent le script genré de l’âge — femmes en couple avec des hommes</w:t>
      </w:r>
      <w:r>
        <w:t xml:space="preserve"> </w:t>
      </w:r>
      <w:r>
        <w:t xml:space="preserve">plus âgés, l’asymétrie d’âge traduisant une asymétrie de statut</w:t>
      </w:r>
      <w:r>
        <w:t xml:space="preserve"> </w:t>
      </w:r>
      <w:r>
        <w:t xml:space="preserve">(Bergström 2015 ; McKenzie 2021). Que lesbiennes et bisexuelles</w:t>
      </w:r>
      <w:r>
        <w:t xml:space="preserve"> </w:t>
      </w:r>
      <w:r>
        <w:t xml:space="preserve">dérogent à ce script (conjointe plus jeune) suggère que la</w:t>
      </w:r>
      <w:r>
        <w:t xml:space="preserve"> </w:t>
      </w:r>
      <w:r>
        <w:t xml:space="preserve">conjugalité de même sexe, ou bisexuelle féminine, est moins arrimée</w:t>
      </w:r>
      <w:r>
        <w:t xml:space="preserve"> </w:t>
      </w:r>
      <w:r>
        <w:t xml:space="preserve">à cette logique d’âge hétérosexuelle.</w:t>
      </w:r>
    </w:p>
    <w:p>
      <w:pPr>
        <w:numPr>
          <w:ilvl w:val="0"/>
          <w:numId w:val="1012"/>
        </w:numPr>
      </w:pPr>
      <w:r>
        <w:t xml:space="preserve">Durées plus courtes, unions plus récentes : à relier à la</w:t>
      </w:r>
      <w:r>
        <w:t xml:space="preserve"> </w:t>
      </w:r>
      <w:r>
        <w:t xml:space="preserve">reconnaissance récente des couples de même sexe et à la hausse</w:t>
      </w:r>
      <w:r>
        <w:t xml:space="preserve"> </w:t>
      </w:r>
      <w:r>
        <w:t xml:space="preserve">récente des déclarations (Rault &amp; Lambert 2019 ; Gates 2015), ainsi</w:t>
      </w:r>
      <w:r>
        <w:t xml:space="preserve"> </w:t>
      </w:r>
      <w:r>
        <w:t xml:space="preserve">qu’à la jeunesse structurelle des LGB (Trachman &amp; Lejbowicz 2020).</w:t>
      </w:r>
      <w:r>
        <w:t xml:space="preserve"> </w:t>
      </w:r>
      <w:r>
        <w:t xml:space="preserve">Pour les hommes dans PG, ne pas sur-interpréter (IC chevauchants).</w:t>
      </w:r>
    </w:p>
    <w:p>
      <w:pPr>
        <w:numPr>
          <w:ilvl w:val="0"/>
          <w:numId w:val="1012"/>
        </w:numPr>
      </w:pPr>
      <w:r>
        <w:t xml:space="preserve">Enfants : bisexuelles avec plus d’enfants que les lesbiennes, hommes</w:t>
      </w:r>
      <w:r>
        <w:t xml:space="preserve"> </w:t>
      </w:r>
      <w:r>
        <w:t xml:space="preserve">bis moins sans enfant que les gays (LGBT) → conjugalité bisexuelle</w:t>
      </w:r>
      <w:r>
        <w:t xml:space="preserve"> </w:t>
      </w:r>
      <w:r>
        <w:t xml:space="preserve">plus souvent ancrée dans des unions de sexe différent (passées ou</w:t>
      </w:r>
      <w:r>
        <w:t xml:space="preserve"> </w:t>
      </w:r>
      <w:r>
        <w:t xml:space="preserve">présentes) où la procréation a eu lieu (Gates 2015). Position</w:t>
      </w:r>
      <w:r>
        <w:t xml:space="preserve"> </w:t>
      </w:r>
      <w:r>
        <w:t xml:space="preserve">intermédiaire entre hétéros et homos. Effet d’âge possible côté</w:t>
      </w:r>
      <w:r>
        <w:t xml:space="preserve"> </w:t>
      </w:r>
      <w:r>
        <w:t xml:space="preserve">femmes (à croiser avec la structure d’âge du tableau 2).</w:t>
      </w:r>
    </w:p>
    <w:p>
      <w:pPr>
        <w:numPr>
          <w:ilvl w:val="0"/>
          <w:numId w:val="1012"/>
        </w:numPr>
      </w:pPr>
      <w:r>
        <w:t xml:space="preserve">Moindre cohabitation des bis : conjugalité bisexuelle un peu moins</w:t>
      </w:r>
      <w:r>
        <w:t xml:space="preserve"> </w:t>
      </w:r>
      <w:r>
        <w:t xml:space="preserve">institutionnalisée / plus souvent non cohabitante (couples de même</w:t>
      </w:r>
      <w:r>
        <w:t xml:space="preserve"> </w:t>
      </w:r>
      <w:r>
        <w:t xml:space="preserve">sexe historiquement plus souvent non cohabitants : Rault &amp; Lambert</w:t>
      </w:r>
      <w:r>
        <w:t xml:space="preserve"> </w:t>
      </w:r>
      <w:r>
        <w:t xml:space="preserve">2019 ; Gates 2015). Pour l’écart bi/homo dans LGBT, conserver le</w:t>
      </w:r>
      <w:r>
        <w:t xml:space="preserve"> </w:t>
      </w:r>
      <w:r>
        <w:t xml:space="preserve">conditionnel (IC et p fragiles).</w:t>
      </w:r>
    </w:p>
    <w:p>
      <w:pPr>
        <w:numPr>
          <w:ilvl w:val="0"/>
          <w:numId w:val="1012"/>
        </w:numPr>
      </w:pPr>
      <w:r>
        <w:t xml:space="preserve">Profil conjugal de l’enquête LGBT (synthèse). Dans LGBT, les durées</w:t>
      </w:r>
      <w:r>
        <w:t xml:space="preserve"> </w:t>
      </w:r>
      <w:r>
        <w:t xml:space="preserve">bies ressemblent à celles des lesbiennes, mais gays et lesbiennes</w:t>
      </w:r>
      <w:r>
        <w:t xml:space="preserve"> </w:t>
      </w:r>
      <w:r>
        <w:t xml:space="preserve">accèdent davantage aux durées longues : la conjugalité bisexuelle y</w:t>
      </w:r>
      <w:r>
        <w:t xml:space="preserve"> </w:t>
      </w:r>
      <w:r>
        <w:t xml:space="preserve">apparaît plus récente et moins durable que la conjugalité</w:t>
      </w:r>
      <w:r>
        <w:t xml:space="preserve"> </w:t>
      </w:r>
      <w:r>
        <w:t xml:space="preserve">homosexuelle. Cohérent avec une bisexualité LGBT plus «</w:t>
      </w:r>
      <w:r>
        <w:t xml:space="preserve"> </w:t>
      </w:r>
      <w:r>
        <w:t xml:space="preserve">homosexualisée » et plus récente dans sa reconnaissance — la «</w:t>
      </w:r>
      <w:r>
        <w:t xml:space="preserve"> </w:t>
      </w:r>
      <w:r>
        <w:t xml:space="preserve">frange durcie » de Trachman &amp; Lejbowicz (2020) —, là où la</w:t>
      </w:r>
      <w:r>
        <w:t xml:space="preserve"> </w:t>
      </w:r>
      <w:r>
        <w:t xml:space="preserve">bisexualité de PG reste polarisée sur une conjugalité de sexe</w:t>
      </w:r>
      <w:r>
        <w:t xml:space="preserve"> </w:t>
      </w:r>
      <w:r>
        <w:t xml:space="preserve">différent, plus proche démographiquement des hétéros.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Mémoire – Tableaux 1 et 2a</dc:title>
  <dc:creator>Elisa Lemoine</dc:creator>
  <dc:language>fr</dc:language>
  <cp:keywords/>
  <dcterms:created xsi:type="dcterms:W3CDTF">2026-06-05T17:44:29Z</dcterms:created>
  <dcterms:modified xsi:type="dcterms:W3CDTF">2026-06-05T17:44:29Z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5 juin 2026</vt:lpwstr>
  </property>
  <property fmtid="{D5CDD505-2E9C-101B-9397-08002B2CF9AE}" pid="6" name="date-format">
    <vt:lpwstr>long</vt:lpwstr>
  </property>
  <property fmtid="{D5CDD505-2E9C-101B-9397-08002B2CF9AE}" pid="7" name="editor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Conjugalités bisexuelles dans Virage PG et LGBT</vt:lpwstr>
  </property>
  <property fmtid="{D5CDD505-2E9C-101B-9397-08002B2CF9AE}" pid="14" name="toc-title">
    <vt:lpwstr>Table des matières</vt:lpwstr>
  </property>
</Properties>
</file>