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Mémoire – Tableaux 1 et 2a</w:t>
      </w:r>
    </w:p>
    <w:p>
      <w:pPr>
        <w:pStyle w:val="Subtitle"/>
      </w:pPr>
      <w:r>
        <w:t xml:space="preserve">Conjugalités bisexuelles dans Virage PG et LGBT</w:t>
      </w:r>
    </w:p>
    <w:p>
      <w:pPr>
        <w:pStyle w:val="Author"/>
      </w:pPr>
      <w:r>
        <w:t xml:space="preserve">Elisa Lemoine</w:t>
      </w:r>
    </w:p>
    <w:p>
      <w:pPr>
        <w:pStyle w:val="Date"/>
      </w:pPr>
      <w:r>
        <w:t xml:space="preserve">21 mai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24ec6fc1284b7a780274b96cb36aaecf8e7ada2"/>
    <w:p>
      <w:pPr>
        <w:pStyle w:val="Heading1"/>
      </w:pPr>
      <w:r>
        <w:t xml:space="preserve">1. Le choix de la variable d’identification sexuelle</w:t>
      </w:r>
    </w:p>
    <w:p>
      <w:pPr>
        <w:pStyle w:val="FirstParagraph"/>
      </w:pPr>
      <w:r>
        <w:t xml:space="preserve">Cette section est rédigée dans ton mémoire (partie II.C). On peut y inclure</w:t>
      </w:r>
      <w:r>
        <w:t xml:space="preserve"> </w:t>
      </w:r>
      <w:r>
        <w:t xml:space="preserve">ici le</w:t>
      </w:r>
      <w:r>
        <w:t xml:space="preserve"> </w:t>
      </w:r>
      <w:r>
        <w:rPr>
          <w:b/>
          <w:bCs/>
        </w:rPr>
        <w:t xml:space="preserve">tableau de comparaison identification / attirance / pratique</w:t>
      </w:r>
      <w:r>
        <w:t xml:space="preserve"> </w:t>
      </w:r>
      <w:r>
        <w:t xml:space="preserve">que</w:t>
      </w:r>
      <w:r>
        <w:t xml:space="preserve"> </w:t>
      </w:r>
      <w:r>
        <w:t xml:space="preserve">tu produis déjà avec</w:t>
      </w:r>
      <w:r>
        <w:t xml:space="preserve"> </w:t>
      </w:r>
      <w:r>
        <w:rPr>
          <w:rStyle w:val="VerbatimChar"/>
        </w:rPr>
        <w:t xml:space="preserve">tbl_svysummary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id-attir-p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Identification, attirance et pratique sexuelles selon le genre et l’enquête. Virage PG (pondéré) et Virage LGBT (non 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312"/>
              <w:gridCol w:w="1542"/>
              <w:gridCol w:w="1542"/>
              <w:gridCol w:w="1420"/>
              <w:gridCol w:w="1420"/>
            </w:tblGrid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PG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LGBT</w:t>
                  </w:r>
                </w:p>
              </w:tc>
            </w:tr>
            <w:tr>
              <w:trPr>
                <w:trHeight w:val="778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15556)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11712)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3226)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3414)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75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Identification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86,5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0,7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NSP/NVPD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1,8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Attirance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59,6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37,6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Pas d'attirance/NSP/NVPD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0,8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Pratique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65,2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28,4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1,9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Pas de rapport/NSP/NVPD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4,4</w:t>
                  </w:r>
                </w:p>
              </w:tc>
            </w:tr>
            <w:tr>
              <w:trPr>
                <w:trHeight w:val="597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%</w:t>
                  </w:r>
                </w:p>
              </w:tc>
            </w:tr>
          </w:tbl>
          <w:bookmarkEnd w:id="20"/>
        </w:tc>
      </w:tr>
    </w:tbl>
    <w:bookmarkEnd w:id="21"/>
    <w:bookmarkStart w:id="26" w:name="X3e814db99b67d362dab55d57fee4ec9c7c37b47"/>
    <w:p>
      <w:pPr>
        <w:pStyle w:val="Heading1"/>
      </w:pPr>
      <w:r>
        <w:t xml:space="preserve">2. Tableau 1 — Bajos &amp; Beltzer, reproduit sur Virage PG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 importante.</w:t>
            </w:r>
            <w:r>
              <w:t xml:space="preserve"> </w:t>
            </w:r>
            <w:r>
              <w:t xml:space="preserve">Le tableau 1 de Bajos &amp; Beltzer (chap. 12,</w:t>
            </w:r>
            <w:r>
              <w:t xml:space="preserve"> </w:t>
            </w:r>
            <w:r>
              <w:rPr>
                <w:i/>
                <w:iCs/>
              </w:rPr>
              <w:t xml:space="preserve">Enquête CSF</w:t>
            </w:r>
            <w:r>
              <w:t xml:space="preserve">,</w:t>
            </w:r>
            <w:r>
              <w:t xml:space="preserve"> </w:t>
            </w:r>
            <w:r>
              <w:t xml:space="preserve">2008) repose sur des variables que</w:t>
            </w:r>
            <w:r>
              <w:t xml:space="preserve"> </w:t>
            </w:r>
            <w:r>
              <w:rPr>
                <w:b/>
                <w:bCs/>
              </w:rPr>
              <w:t xml:space="preserve">Virage ne contient pas toutes</w:t>
            </w:r>
            <w:r>
              <w:t xml:space="preserve">. En</w:t>
            </w:r>
            <w:r>
              <w:t xml:space="preserve"> </w:t>
            </w:r>
            <w:r>
              <w:t xml:space="preserve">particulier, le sexe des partenaires des 12 derniers mois n’est pas</w:t>
            </w:r>
            <w:r>
              <w:t xml:space="preserve"> </w:t>
            </w:r>
            <w:r>
              <w:t xml:space="preserve">disponible directement dans Virage PG (seul le sexe d’un éventuel</w:t>
            </w:r>
            <w:r>
              <w:t xml:space="preserve"> </w:t>
            </w:r>
            <w:r>
              <w:rPr>
                <w:i/>
                <w:iCs/>
              </w:rPr>
              <w:t xml:space="preserve">nouveau</w:t>
            </w:r>
            <w:r>
              <w:t xml:space="preserve"> </w:t>
            </w:r>
            <w:r>
              <w:t xml:space="preserve">partenaire l’est, via</w:t>
            </w:r>
            <w:r>
              <w:t xml:space="preserve"> </w:t>
            </w:r>
            <w:r>
              <w:rPr>
                <w:rStyle w:val="VerbatimChar"/>
              </w:rPr>
              <w:t xml:space="preserve">SEX12b1</w:t>
            </w:r>
            <w:r>
              <w:t xml:space="preserve">). La colonne</w:t>
            </w:r>
            <w:r>
              <w:t xml:space="preserve"> </w:t>
            </w:r>
            <w:r>
              <w:rPr>
                <w:i/>
                <w:iCs/>
              </w:rPr>
              <w:t xml:space="preserve">Pratique 12 mois (dont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exclusif)</w:t>
            </w:r>
            <w:r>
              <w:t xml:space="preserve"> </w:t>
            </w:r>
            <w:r>
              <w:t xml:space="preserve">n’est donc pas reproduite ici. Les tranches d’âge utilisées sont</w:t>
            </w:r>
            <w:r>
              <w:t xml:space="preserve"> </w:t>
            </w:r>
            <w:r>
              <w:t xml:space="preserve">celles de Virage (</w:t>
            </w:r>
            <w:r>
              <w:rPr>
                <w:rStyle w:val="VerbatimChar"/>
              </w:rPr>
              <w:t xml:space="preserve">Q19e_gragebis</w:t>
            </w:r>
            <w:r>
              <w:t xml:space="preserve"> </w:t>
            </w:r>
            <w:r>
              <w:t xml:space="preserve">: 20-29 / 30-39 / 40-49 / 50-69) et non</w:t>
            </w:r>
            <w:r>
              <w:t xml:space="preserve"> </w:t>
            </w:r>
            <w:r>
              <w:t xml:space="preserve">celles de CSF.</w:t>
            </w:r>
          </w:p>
          <w:p/>
        </w:tc>
      </w:tr>
    </w:tbl>
    <w:p>
      <w:pPr>
        <w:pStyle w:val="BodyText"/>
      </w:pPr>
      <w:r>
        <w:t xml:space="preserve">Le tableau croise, pour les femmes et les hommes séparément, par âge puis par</w:t>
      </w:r>
      <w:r>
        <w:t xml:space="preserve"> </w:t>
      </w:r>
      <w:r>
        <w:t xml:space="preserve">diplôme :</w:t>
      </w:r>
    </w:p>
    <w:p>
      <w:pPr>
        <w:pStyle w:val="Compact"/>
        <w:numPr>
          <w:ilvl w:val="0"/>
          <w:numId w:val="1001"/>
        </w:numPr>
      </w:pPr>
      <w:r>
        <w:t xml:space="preserve">la part de personnes ayant ressenti une attirance pour une personne du</w:t>
      </w:r>
      <w:r>
        <w:t xml:space="preserve"> </w:t>
      </w:r>
      <w:r>
        <w:t xml:space="preserve">même sexe au cours de la vie ;</w:t>
      </w:r>
    </w:p>
    <w:p>
      <w:pPr>
        <w:pStyle w:val="Compact"/>
        <w:numPr>
          <w:ilvl w:val="0"/>
          <w:numId w:val="1001"/>
        </w:numPr>
      </w:pPr>
      <w:r>
        <w:t xml:space="preserve">la part ayant eu une pratique homosexuelle au cours de la vie (dont</w:t>
      </w:r>
      <w:r>
        <w:t xml:space="preserve"> </w:t>
      </w:r>
      <w:r>
        <w:t xml:space="preserve">exclusivement homosexuelle) ;</w:t>
      </w:r>
    </w:p>
    <w:p>
      <w:pPr>
        <w:pStyle w:val="Compact"/>
        <w:numPr>
          <w:ilvl w:val="0"/>
          <w:numId w:val="1001"/>
        </w:numPr>
      </w:pPr>
      <w:r>
        <w:t xml:space="preserve">la part s’identifiant comme homosexuel·le ou bisexuel·le ;</w:t>
      </w:r>
    </w:p>
    <w:p>
      <w:pPr>
        <w:pStyle w:val="Compact"/>
        <w:numPr>
          <w:ilvl w:val="0"/>
          <w:numId w:val="1001"/>
        </w:numPr>
      </w:pPr>
      <w:r>
        <w:t xml:space="preserve">la part déclarant une attirance pour une personne de même sexe mais</w:t>
      </w:r>
      <w:r>
        <w:t xml:space="preserve"> </w:t>
      </w:r>
      <w:r>
        <w:t xml:space="preserve">jamais de pratique homosexuelle.</w:t>
      </w:r>
    </w:p>
    <w:p>
      <w:pPr>
        <w:pStyle w:val="FirstParagraph"/>
      </w:pPr>
      <w:r>
        <w:t xml:space="preserve">Les pourcentages sont</w:t>
      </w:r>
      <w:r>
        <w:t xml:space="preserve"> </w:t>
      </w:r>
      <w:r>
        <w:rPr>
          <w:b/>
          <w:bCs/>
        </w:rPr>
        <w:t xml:space="preserve">pondérés</w:t>
      </w:r>
      <w:r>
        <w:t xml:space="preserve"> </w:t>
      </w:r>
      <w:r>
        <w:t xml:space="preserve">(poids</w:t>
      </w:r>
      <w:r>
        <w:t xml:space="preserve"> </w:t>
      </w:r>
      <w:r>
        <w:rPr>
          <w:rStyle w:val="VerbatimChar"/>
        </w:rPr>
        <w:t xml:space="preserve">poids_cal</w:t>
      </w:r>
      <w:r>
        <w:t xml:space="preserve">), les effectifs</w:t>
      </w:r>
      <w:r>
        <w:t xml:space="preserve"> </w:t>
      </w:r>
      <w:r>
        <w:t xml:space="preserve">restent non pondérés. Les intervalles de confiance à 95 % sur l’« Ensemble »</w:t>
      </w:r>
      <w:r>
        <w:t xml:space="preserve"> </w:t>
      </w:r>
      <w:r>
        <w:t xml:space="preserve">sont calculés à partir du plan de sondage avec</w:t>
      </w:r>
      <w:r>
        <w:t xml:space="preserve"> </w:t>
      </w:r>
      <w:r>
        <w:rPr>
          <w:rStyle w:val="VerbatimChar"/>
        </w:rPr>
        <w:t xml:space="preserve">survey::svyciprop()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baj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Expériences avec une personne du même sexe selon l’âge et le diplôme : attirance, pratique et identification. Virage PG.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089"/>
              <w:gridCol w:w="1193"/>
              <w:gridCol w:w="1511"/>
              <w:gridCol w:w="1976"/>
              <w:gridCol w:w="2073"/>
              <w:gridCol w:w="2416"/>
              <w:gridCol w:w="2025"/>
              <w:gridCol w:w="3064"/>
            </w:tblGrid>
            <w:tr>
              <w:trPr>
                <w:trHeight w:val="61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Modalité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Effectifs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Attiré·e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Pratique vie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Dont exclusif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Identifié·e Homo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Identifié·e Bi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Attiré·e jamais pratiqué (%)</w:t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FEMMES — par âge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20-29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1 739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3.8</w:t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30-39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2 552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1.5</w:t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40-49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3 400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1.3</w:t>
                  </w:r>
                </w:p>
              </w:tc>
            </w:tr>
            <w:tr>
              <w:trPr>
                <w:trHeight w:val="57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7 865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Ensemble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15 556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1.6</w:t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HOMMES — par âge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20-29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1 643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1.2</w:t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30-39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1 969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40-49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2 577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0.5</w:t>
                  </w:r>
                </w:p>
              </w:tc>
            </w:tr>
            <w:tr>
              <w:trPr>
                <w:trHeight w:val="56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5 523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Ensemble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11 712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</w:tr>
            <w:tr>
              <w:trPr>
                <w:trHeight w:val="62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FEMMES — par diplôme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Primaire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1 521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0.8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Secondaire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7 377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1.5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Supérieur 1er niveau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2 324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1.6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Supérieur 2e niveau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4 272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2.8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   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Ensemble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15 556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1.6</w:t>
                  </w:r>
                </w:p>
              </w:tc>
            </w:tr>
            <w:tr>
              <w:trPr>
                <w:trHeight w:val="62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HOMMES — par diplôme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Primaire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  918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Secondaire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5 879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Supérieur 1er niveau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1 824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Supérieur 2e niveau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3 049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1.2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   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0.0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Ensemble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11 712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2.5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0.7</w:t>
                  </w:r>
                </w:p>
              </w:tc>
            </w:tr>
          </w:tbl>
          <w:bookmarkEnd w:id="25"/>
        </w:tc>
      </w:tr>
    </w:tbl>
    <w:bookmarkEnd w:id="26"/>
    <w:bookmarkStart w:id="28" w:name="X0e2f806e66512b4be14405b624e3d6c9c54de07"/>
    <w:p>
      <w:pPr>
        <w:pStyle w:val="Heading1"/>
      </w:pPr>
      <w:r>
        <w:t xml:space="preserve">3. Tableau 2a — Trachman &amp; Lejbowicz : caractéristiques sociodémographiques</w:t>
      </w:r>
    </w:p>
    <w:p>
      <w:pPr>
        <w:pStyle w:val="FirstParagraph"/>
      </w:pPr>
      <w:r>
        <w:t xml:space="preserve">Ce tableau croise, pour les répondant·es</w:t>
      </w:r>
      <w:r>
        <w:t xml:space="preserve"> </w:t>
      </w:r>
      <w:r>
        <w:rPr>
          <w:b/>
          <w:bCs/>
        </w:rPr>
        <w:t xml:space="preserve">Virage PG</w:t>
      </w:r>
      <w:r>
        <w:t xml:space="preserve"> </w:t>
      </w:r>
      <w:r>
        <w:t xml:space="preserve">(Homo / Bi / Hétéro,</w:t>
      </w:r>
      <w:r>
        <w:t xml:space="preserve"> </w:t>
      </w:r>
      <w:r>
        <w:t xml:space="preserve">pondéré) et</w:t>
      </w:r>
      <w:r>
        <w:t xml:space="preserve"> </w:t>
      </w:r>
      <w:r>
        <w:rPr>
          <w:b/>
          <w:bCs/>
        </w:rPr>
        <w:t xml:space="preserve">Virage LGBT</w:t>
      </w:r>
      <w:r>
        <w:t xml:space="preserve"> </w:t>
      </w:r>
      <w:r>
        <w:t xml:space="preserve">(Homo / Bi, non pondéré), les caractéristiques</w:t>
      </w:r>
      <w:r>
        <w:t xml:space="preserve"> </w:t>
      </w:r>
      <w:r>
        <w:t xml:space="preserve">sociodémographiques selon le genre. Les variables sont :</w:t>
      </w:r>
    </w:p>
    <w:p>
      <w:pPr>
        <w:pStyle w:val="BodyText"/>
      </w:pPr>
      <w:r>
        <w:t xml:space="preserve">groupe d’âges, diplôme le plus élevé, statut d’activité, catégorie</w:t>
      </w:r>
      <w:r>
        <w:t xml:space="preserve"> </w:t>
      </w:r>
      <w:r>
        <w:t xml:space="preserve">socioprofessionnelle, territoire d’habitation, statut migratoire.</w:t>
      </w:r>
    </w:p>
    <w:p>
      <w:pPr>
        <w:pStyle w:val="BodyText"/>
      </w:pPr>
      <w:r>
        <w:t xml:space="preserve">Le test associé à chaque variable est le</w:t>
      </w:r>
      <w:r>
        <w:t xml:space="preserve"> </w:t>
      </w:r>
      <w:r>
        <w:rPr>
          <w:b/>
          <w:bCs/>
        </w:rPr>
        <w:t xml:space="preserve">test exact de Fisher avec</w:t>
      </w:r>
      <w:r>
        <w:rPr>
          <w:b/>
          <w:bCs/>
        </w:rPr>
        <w:t xml:space="preserve"> </w:t>
      </w:r>
      <w:r>
        <w:rPr>
          <w:b/>
          <w:bCs/>
        </w:rPr>
        <w:t xml:space="preserve">simulation de Monte-Carlo</w:t>
      </w:r>
      <w:r>
        <w:t xml:space="preserve"> </w:t>
      </w:r>
      <w:r>
        <w:t xml:space="preserve">(10 000 réplications) sur effectifs non</w:t>
      </w:r>
      <w:r>
        <w:t xml:space="preserve"> </w:t>
      </w:r>
      <w:r>
        <w:t xml:space="preserve">pondérés, conformément à ton choix méthodologique.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rachm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Caractéristiques sociodémographiques des répondant·es selon le sexe et l’identification sexuelle. Virage PG (pondéré) et Virage LGBT (non 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312"/>
              <w:gridCol w:w="1175"/>
              <w:gridCol w:w="1297"/>
              <w:gridCol w:w="1542"/>
              <w:gridCol w:w="1266"/>
              <w:gridCol w:w="1297"/>
              <w:gridCol w:w="1175"/>
              <w:gridCol w:w="1542"/>
              <w:gridCol w:w="1266"/>
              <w:gridCol w:w="1420"/>
              <w:gridCol w:w="1297"/>
              <w:gridCol w:w="2049"/>
              <w:gridCol w:w="1266"/>
              <w:gridCol w:w="1420"/>
              <w:gridCol w:w="1297"/>
              <w:gridCol w:w="2049"/>
              <w:gridCol w:w="1266"/>
            </w:tblGrid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PG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PG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LGBT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Virage LGBT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785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135)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15297)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180)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11422)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2362)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654)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Hétérosexuel-le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38)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2954)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315)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Hétérosexuel-le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23)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Groupe d'âges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20-29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30-39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40-49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Diplôme le plus élevé obtenu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Secondaire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Supérieur 1er niveau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Supérieur 2e niveau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Statut d'activité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Actif·ve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Retraité·e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Étudiant·e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Autre sans activité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Indéterminé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Catégorie socioprofessionnelle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Agriculteur·rice exploitant·e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Artisan·e, commerçant·e, chef d'entreprise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Cadre, profession intellect. sup.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Profession intermédiaire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Employé·e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Ouvrier·e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Territoire d'habitation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0,013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Ile-de-France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Autre agglomération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Territoire rural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Statut migratoire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&gt;0,9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Majoritaire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Immigré·e, descendant·e ou né·e dans un DOM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Indeterminé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7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7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Pearson's X^2: Rao &amp; Scott adjustment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7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Fisher's Exact Test for Count Data with simulated 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ab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(based on 10000 replicates)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7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Abréviation: IC = intervalle de confiance</w:t>
                  </w:r>
                </w:p>
              </w:tc>
            </w:tr>
          </w:tbl>
          <w:bookmarkEnd w:id="27"/>
        </w:tc>
      </w:tr>
    </w:tbl>
    <w:bookmarkEnd w:id="28"/>
    <w:bookmarkStart w:id="37" w:name="diagramme-de-venn"/>
    <w:p>
      <w:pPr>
        <w:pStyle w:val="Heading1"/>
      </w:pPr>
      <w:r>
        <w:t xml:space="preserve">4. Diagramme de Venn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venn-bi-1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tableaux_memoire_files/figure-docx/fig-venn-bi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Les multiples facettes de la bisexualité chez les femmes et les hommes : attirance, pratique, identification. Virage PG, % pondérés.</w:t>
            </w:r>
          </w:p>
          <w:bookmarkEnd w:id="3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venn-bi-2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tableaux_memoire_files/figure-docx/fig-venn-bi-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Les multiples facettes de la bisexualité chez les femmes et les hommes : attirance, pratique, identification. Virage PG, % pondérés.</w:t>
            </w:r>
          </w:p>
          <w:bookmarkEnd w:id="36"/>
        </w:tc>
      </w:tr>
    </w:tbl>
    <w:bookmarkEnd w:id="37"/>
    <w:bookmarkStart w:id="38" w:name="pour-aller-plus-loin"/>
    <w:p>
      <w:pPr>
        <w:pStyle w:val="Heading1"/>
      </w:pPr>
      <w:r>
        <w:t xml:space="preserve">5. Pour aller plus loin</w:t>
      </w:r>
    </w:p>
    <w:p>
      <w:pPr>
        <w:pStyle w:val="Compact"/>
        <w:numPr>
          <w:ilvl w:val="0"/>
          <w:numId w:val="1002"/>
        </w:numPr>
      </w:pPr>
      <w:r>
        <w:t xml:space="preserve">Tu peux ajouter un fichier</w:t>
      </w:r>
      <w:r>
        <w:t xml:space="preserve"> </w:t>
      </w:r>
      <w:r>
        <w:rPr>
          <w:rStyle w:val="VerbatimChar"/>
        </w:rPr>
        <w:t xml:space="preserve">template.docx</w:t>
      </w:r>
      <w:r>
        <w:t xml:space="preserve"> </w:t>
      </w:r>
      <w:r>
        <w:t xml:space="preserve">(style Word avec polices et</w:t>
      </w:r>
      <w:r>
        <w:t xml:space="preserve"> </w:t>
      </w:r>
      <w:r>
        <w:t xml:space="preserve">marges de ton mémoire) et le référencer dans le 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reference-doc: template.docx</w:t>
      </w:r>
      <w:r>
        <w:t xml:space="preserve">) pour que le rendu adopte directement ton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02"/>
        </w:numPr>
      </w:pPr>
      <w:r>
        <w:t xml:space="preserve">Le tableau 2b (caractéristiques conjugales et sexuelles) du même article</w:t>
      </w:r>
      <w:r>
        <w:t xml:space="preserve"> </w:t>
      </w:r>
      <w:r>
        <w:t xml:space="preserve">se reproduit avec exactement la même structure : il suffit de remplacer</w:t>
      </w:r>
      <w:r>
        <w:t xml:space="preserve"> </w:t>
      </w:r>
      <w:r>
        <w:t xml:space="preserve">la liste</w:t>
      </w:r>
      <w:r>
        <w:t xml:space="preserve"> </w:t>
      </w:r>
      <w:r>
        <w:rPr>
          <w:rStyle w:val="VerbatimChar"/>
        </w:rPr>
        <w:t xml:space="preserve">vars_inc</w:t>
      </w:r>
      <w:r>
        <w:t xml:space="preserve"> </w:t>
      </w:r>
      <w:r>
        <w:t xml:space="preserve">par les variables conjugales (</w:t>
      </w:r>
      <w:r>
        <w:rPr>
          <w:rStyle w:val="VerbatimChar"/>
        </w:rPr>
        <w:t xml:space="preserve">etatmat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couple12mois</w:t>
      </w:r>
      <w:r>
        <w:t xml:space="preserve">, etc.) et l’attirance / pratique. C’est le tableau</w:t>
      </w:r>
      <w:r>
        <w:t xml:space="preserve"> </w:t>
      </w:r>
      <w:r>
        <w:rPr>
          <w:rStyle w:val="VerbatimChar"/>
        </w:rPr>
        <w:t xml:space="preserve">Tab_caracte_ristiques_conjugales_et_sexuelles_PG_et_LGBT.jpg</w:t>
      </w:r>
      <w:r>
        <w:t xml:space="preserve"> </w:t>
      </w:r>
      <w:r>
        <w:t xml:space="preserve">de ton</w:t>
      </w:r>
      <w:r>
        <w:t xml:space="preserve"> </w:t>
      </w:r>
      <w:r>
        <w:t xml:space="preserve">dossier projet.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Mémoire – Tableaux 1 et 2a</dc:title>
  <dc:creator>Elisa Lemoine</dc:creator>
  <dc:language>fr</dc:language>
  <cp:keywords/>
  <dcterms:created xsi:type="dcterms:W3CDTF">2026-05-21T18:28:48Z</dcterms:created>
  <dcterms:modified xsi:type="dcterms:W3CDTF">2026-05-21T18:28:48Z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21 mai 2026</vt:lpwstr>
  </property>
  <property fmtid="{D5CDD505-2E9C-101B-9397-08002B2CF9AE}" pid="6" name="date-format">
    <vt:lpwstr>long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Conjugalités bisexuelles dans Virage PG et LGBT</vt:lpwstr>
  </property>
  <property fmtid="{D5CDD505-2E9C-101B-9397-08002B2CF9AE}" pid="13" name="toc-title">
    <vt:lpwstr>Table des matières</vt:lpwstr>
  </property>
</Properties>
</file>