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1EED" w14:textId="3B14A663" w:rsidR="007118E3" w:rsidRDefault="00B20AF8">
      <w:pPr>
        <w:pStyle w:val="Titre"/>
        <w:rPr>
          <w:rFonts w:ascii="Times New Roman" w:hAnsi="Times New Roman"/>
        </w:rPr>
      </w:pPr>
      <w:r>
        <w:rPr>
          <w:rFonts w:ascii="Times New Roman" w:hAnsi="Times New Roman"/>
        </w:rPr>
        <w:t>Mémoire – Chapitre II</w:t>
      </w:r>
      <w:r w:rsidR="005D5189">
        <w:rPr>
          <w:rFonts w:ascii="Times New Roman" w:hAnsi="Times New Roman"/>
        </w:rPr>
        <w:t>I</w:t>
      </w:r>
    </w:p>
    <w:p w14:paraId="035F51BA" w14:textId="62F6722D" w:rsidR="007118E3" w:rsidRDefault="005D5189">
      <w:pPr>
        <w:pStyle w:val="Sous-titre"/>
        <w:rPr>
          <w:rFonts w:ascii="Times New Roman" w:hAnsi="Times New Roman"/>
        </w:rPr>
      </w:pPr>
      <w:r>
        <w:rPr>
          <w:rFonts w:ascii="Times New Roman" w:hAnsi="Times New Roman"/>
        </w:rPr>
        <w:t>Violences conjugales</w:t>
      </w:r>
    </w:p>
    <w:p w14:paraId="7ACF080F" w14:textId="77777777" w:rsidR="007118E3" w:rsidRDefault="00B20AF8">
      <w:pPr>
        <w:pStyle w:val="Author"/>
        <w:rPr>
          <w:rFonts w:ascii="Times New Roman" w:hAnsi="Times New Roman"/>
        </w:rPr>
      </w:pPr>
      <w:r>
        <w:rPr>
          <w:rFonts w:ascii="Times New Roman" w:hAnsi="Times New Roman"/>
        </w:rPr>
        <w:t>Elisa Lemoine</w:t>
      </w:r>
    </w:p>
    <w:p w14:paraId="03101A67" w14:textId="68868B70" w:rsidR="002E4235" w:rsidRDefault="00B20AF8">
      <w:pPr>
        <w:pStyle w:val="TM1"/>
        <w:tabs>
          <w:tab w:val="right" w:leader="dot" w:pos="9394"/>
        </w:tabs>
        <w:rPr>
          <w:noProof/>
        </w:rPr>
      </w:pPr>
      <w:r>
        <w:rPr>
          <w:rFonts w:ascii="Aptos Display" w:hAnsi="Aptos Display"/>
        </w:rPr>
        <w:fldChar w:fldCharType="begin"/>
      </w:r>
      <w:r>
        <w:instrText xml:space="preserve"> TOC \o "1-3" \u \h </w:instrText>
      </w:r>
      <w:r>
        <w:rPr>
          <w:rFonts w:ascii="Aptos Display" w:hAnsi="Aptos Display"/>
        </w:rPr>
        <w:fldChar w:fldCharType="separate"/>
      </w:r>
      <w:hyperlink w:anchor="_Toc238119200" w:history="1">
        <w:r w:rsidR="002E4235" w:rsidRPr="00FB05CD">
          <w:rPr>
            <w:rStyle w:val="Lienhypertexte"/>
            <w:noProof/>
          </w:rPr>
          <w:t>Chapitre II : Violences conjugales</w:t>
        </w:r>
        <w:r w:rsidR="002E4235">
          <w:rPr>
            <w:noProof/>
          </w:rPr>
          <w:tab/>
        </w:r>
        <w:r w:rsidR="002E4235">
          <w:rPr>
            <w:noProof/>
          </w:rPr>
          <w:fldChar w:fldCharType="begin"/>
        </w:r>
        <w:r w:rsidR="002E4235">
          <w:rPr>
            <w:noProof/>
          </w:rPr>
          <w:instrText xml:space="preserve"> PAGEREF _Toc238119200 \h </w:instrText>
        </w:r>
        <w:r w:rsidR="002E4235">
          <w:rPr>
            <w:noProof/>
          </w:rPr>
        </w:r>
        <w:r w:rsidR="002E4235">
          <w:rPr>
            <w:noProof/>
          </w:rPr>
          <w:fldChar w:fldCharType="separate"/>
        </w:r>
        <w:r w:rsidR="00173BEB">
          <w:rPr>
            <w:noProof/>
          </w:rPr>
          <w:t>1</w:t>
        </w:r>
        <w:r w:rsidR="002E4235">
          <w:rPr>
            <w:noProof/>
          </w:rPr>
          <w:fldChar w:fldCharType="end"/>
        </w:r>
      </w:hyperlink>
    </w:p>
    <w:p w14:paraId="33AACC50" w14:textId="1BD18B28" w:rsidR="007118E3" w:rsidRDefault="00B20AF8">
      <w:pPr>
        <w:pStyle w:val="Titre1"/>
      </w:pPr>
      <w:r>
        <w:fldChar w:fldCharType="end"/>
      </w:r>
      <w:bookmarkStart w:id="0" w:name="_Toc237679772"/>
    </w:p>
    <w:p w14:paraId="3A6CFAD8" w14:textId="77777777" w:rsidR="007118E3" w:rsidRDefault="007118E3">
      <w:pPr>
        <w:pStyle w:val="Titre1"/>
      </w:pPr>
    </w:p>
    <w:p w14:paraId="01E00BE3" w14:textId="77777777" w:rsidR="007118E3" w:rsidRDefault="007118E3">
      <w:pPr>
        <w:pStyle w:val="Titre1"/>
      </w:pPr>
    </w:p>
    <w:p w14:paraId="0B34A7A9" w14:textId="77777777" w:rsidR="007118E3" w:rsidRDefault="007118E3">
      <w:pPr>
        <w:pStyle w:val="Textbody"/>
      </w:pPr>
    </w:p>
    <w:p w14:paraId="7E10A79B" w14:textId="6A52F6D4" w:rsidR="007118E3" w:rsidRDefault="00B20AF8">
      <w:pPr>
        <w:pStyle w:val="Titre1"/>
      </w:pPr>
      <w:bookmarkStart w:id="1" w:name="_Toc238119200"/>
      <w:r>
        <w:t>Chapitre II</w:t>
      </w:r>
      <w:r w:rsidR="004D095E">
        <w:t>I</w:t>
      </w:r>
      <w:r>
        <w:t xml:space="preserve"> : </w:t>
      </w:r>
      <w:bookmarkEnd w:id="0"/>
      <w:r w:rsidR="005D5189">
        <w:t>Violences conjugales</w:t>
      </w:r>
      <w:bookmarkEnd w:id="1"/>
    </w:p>
    <w:p w14:paraId="7CE04D49" w14:textId="2F28D245" w:rsidR="00852B24" w:rsidRDefault="00852B24" w:rsidP="009B6ACB">
      <w:pPr>
        <w:pStyle w:val="Textbody"/>
      </w:pPr>
      <w:r>
        <w:t>La littérature anglophone semble montrer une prévalence des violences conjugales chez les femmes bisexuelles (</w:t>
      </w:r>
      <w:proofErr w:type="spellStart"/>
      <w:r>
        <w:t>Bermea</w:t>
      </w:r>
      <w:proofErr w:type="spellEnd"/>
      <w:r>
        <w:t xml:space="preserve">). Les études portent sur des échantillons de nature et de taille différentes, représentatifs ou non. Les critères retenus pour mesurer la bisexualité ne sont pas les mêmes en fonction des études : pratiques ou identification. </w:t>
      </w:r>
      <w:r w:rsidR="00104269">
        <w:t xml:space="preserve">Dans le contexte français et plus particulièrement sur les données de Virage, Tania </w:t>
      </w:r>
      <w:proofErr w:type="spellStart"/>
      <w:r w:rsidR="00104269">
        <w:t>Lejbowicz</w:t>
      </w:r>
      <w:proofErr w:type="spellEnd"/>
      <w:r w:rsidR="00104269">
        <w:t xml:space="preserve"> a montré </w:t>
      </w:r>
      <w:proofErr w:type="gramStart"/>
      <w:r w:rsidR="00104269">
        <w:t>que….</w:t>
      </w:r>
      <w:proofErr w:type="gramEnd"/>
      <w:r w:rsidR="00104269">
        <w:t xml:space="preserve">. </w:t>
      </w:r>
    </w:p>
    <w:p w14:paraId="04876797" w14:textId="209E8851" w:rsidR="00DB55EB" w:rsidRDefault="00DB55EB" w:rsidP="009B6ACB">
      <w:pPr>
        <w:pStyle w:val="Textbody"/>
      </w:pPr>
      <w:r>
        <w:t xml:space="preserve">Ce chapitre n’a pas vocation </w:t>
      </w:r>
      <w:r w:rsidR="004C7E05">
        <w:t>à</w:t>
      </w:r>
      <w:r>
        <w:t xml:space="preserve"> imiter ce qui a déjà été fait par Tania </w:t>
      </w:r>
      <w:proofErr w:type="spellStart"/>
      <w:r>
        <w:t>Lejbowicz</w:t>
      </w:r>
      <w:proofErr w:type="spellEnd"/>
      <w:r>
        <w:t xml:space="preserve"> sur les violences conjugales et les écarts de déclaration entre les femmes lesbiennes, bisexuelles et hétérosexuelles</w:t>
      </w:r>
      <w:r w:rsidR="00A16CE8">
        <w:t xml:space="preserve"> (</w:t>
      </w:r>
      <w:proofErr w:type="spellStart"/>
      <w:r w:rsidR="00A16CE8" w:rsidRPr="00A16CE8">
        <w:rPr>
          <w:highlight w:val="yellow"/>
        </w:rPr>
        <w:t>ref</w:t>
      </w:r>
      <w:proofErr w:type="spellEnd"/>
      <w:r w:rsidR="00A16CE8">
        <w:t>)</w:t>
      </w:r>
      <w:r>
        <w:t>. En fusionnant les bases PG et LGBT elle a montré que les violences exercées par les femmes sur d’autres femmes sont de moindre intensité et relève</w:t>
      </w:r>
      <w:r w:rsidR="004D095E">
        <w:t>nt</w:t>
      </w:r>
      <w:r>
        <w:t xml:space="preserve"> moins de violences corporelles que celle</w:t>
      </w:r>
      <w:r w:rsidR="00A16CE8">
        <w:t xml:space="preserve">s </w:t>
      </w:r>
      <w:r>
        <w:t xml:space="preserve">exercées par les hommes. </w:t>
      </w:r>
      <w:r w:rsidR="00A16CE8">
        <w:t>Un résultat e</w:t>
      </w:r>
      <w:r>
        <w:t xml:space="preserve">xpliqué par l’appropriation du corps comme forme de contrôle et de domination des hommes sur les femmes, par l’apprentissage genré des violences et par des organisations conjugales différentes. Le deuxième résultat de son travail est que, dans le cas de violence exercée par les hommes, les hétérosexuelles déclarent </w:t>
      </w:r>
      <w:r w:rsidR="004D095E">
        <w:t>davantage</w:t>
      </w:r>
      <w:r>
        <w:t xml:space="preserve"> de violences physiques alors que les lesbiennes et bisexuelles </w:t>
      </w:r>
      <w:r w:rsidR="004D095E">
        <w:t>davantage</w:t>
      </w:r>
      <w:r>
        <w:t xml:space="preserve"> de violences sexuelles. Ce résultat </w:t>
      </w:r>
      <w:r w:rsidR="004D095E">
        <w:t>invite</w:t>
      </w:r>
      <w:r>
        <w:t xml:space="preserve"> </w:t>
      </w:r>
      <w:r w:rsidR="004D095E">
        <w:t>à</w:t>
      </w:r>
      <w:r>
        <w:t xml:space="preserve"> </w:t>
      </w:r>
      <w:r w:rsidR="004D095E">
        <w:t>dépasser</w:t>
      </w:r>
      <w:r>
        <w:t xml:space="preserve"> l’</w:t>
      </w:r>
      <w:r w:rsidR="004D095E">
        <w:t xml:space="preserve">unique </w:t>
      </w:r>
      <w:r>
        <w:t xml:space="preserve">approche des prévalences, pour penser non seulement l’exposition mais la perception des actes violents selon l’identification sexuelle. </w:t>
      </w:r>
      <w:r w:rsidR="004D095E">
        <w:t>La</w:t>
      </w:r>
      <w:r>
        <w:t xml:space="preserve"> distance </w:t>
      </w:r>
      <w:r w:rsidR="00A16CE8">
        <w:t>à</w:t>
      </w:r>
      <w:r>
        <w:t xml:space="preserve"> l’hétérosexualité </w:t>
      </w:r>
      <w:r>
        <w:lastRenderedPageBreak/>
        <w:t>facilite</w:t>
      </w:r>
      <w:r w:rsidR="004D095E">
        <w:t>rait</w:t>
      </w:r>
      <w:r>
        <w:t xml:space="preserve"> les écarts aux normes conjugales et sexuelles, modifiant la perception des rapports de domination dans les relations avec les hommes. </w:t>
      </w:r>
    </w:p>
    <w:p w14:paraId="355D99A6" w14:textId="4D01CF20" w:rsidR="00DB55EB" w:rsidRDefault="004D095E" w:rsidP="009B6ACB">
      <w:pPr>
        <w:pStyle w:val="Textbody"/>
      </w:pPr>
      <w:r>
        <w:t>Ce travail éclaire les mécanismes de genre dans l'exercice et la perception des violences, et propose une lecture alternative à la seule idée d'une prévalence des violences parmi les femmes des minorités sexuelles. Pour prolonger ces réflexions, nous nous plaçons ici dans le cadre plus restreint des violences déclarées au cours des douze mois précédant l'enquête</w:t>
      </w:r>
      <w:r w:rsidR="00A16CE8">
        <w:t xml:space="preserve">. </w:t>
      </w:r>
    </w:p>
    <w:p w14:paraId="5973D23E" w14:textId="3FA88CDC" w:rsidR="00104269" w:rsidRDefault="00104269" w:rsidP="009B6ACB">
      <w:pPr>
        <w:pStyle w:val="Textbody"/>
      </w:pPr>
      <w:r>
        <w:t xml:space="preserve">Dans ce chapitre, nous ne nous intéressons pas tant à la comparaison de prévalence entre hétérosexuelles et bisexuelles ou entre lesbiennes et bisexuelles. D’une part l’échantillon ne nous le permet pas en prenant les deux enquêtes séparément et en nous concentrant sur les douze derniers mois. D’autre part, le travail a été en partie réalisé par Tania en fusionnant les échantillons avant les 12 derniers mois et les études anglophones nous montrent, si ce n’est une surexposition au moins une spécificité de l’expérience des violences chez les personnes bisexuelles. </w:t>
      </w:r>
    </w:p>
    <w:p w14:paraId="40309B54" w14:textId="404BAE31" w:rsidR="00104269" w:rsidRDefault="00104269" w:rsidP="009B6ACB">
      <w:pPr>
        <w:pStyle w:val="Textbody"/>
      </w:pPr>
      <w:r>
        <w:t xml:space="preserve">Ce chapitre tente d’éclairer certaines de ces spécificités, en s’appuyant d’une part sur les données quand elles nous le permettent de façon statistique et sinon de façon qualitative, comme nous l’avons fait pour les hommes bisexuels célibataires. Il sera ici question des violences dans les couples déclarés par les femmes bisexuelles. Les femmes étant surexposées aux violences conjugales en couple hétéro, les bisexuelles ne font pas exception. Si les hommes bis vivent certainement des violences spécifiques liées à leur trajectoire et identification sexuelle, ils ne sont pas suffisamment nombreux à être en couple et à déclarer des violences dans Virage pour s’y intéresser sérieusement. </w:t>
      </w:r>
    </w:p>
    <w:p w14:paraId="32666A57" w14:textId="6C61C74E" w:rsidR="00104269" w:rsidRDefault="00104269" w:rsidP="009B6ACB">
      <w:pPr>
        <w:pStyle w:val="Textbody"/>
      </w:pPr>
      <w:r>
        <w:t xml:space="preserve">Ainsi la question de ce chapitre sera : </w:t>
      </w:r>
      <w:r w:rsidRPr="00F3048A">
        <w:rPr>
          <w:b/>
          <w:bCs/>
          <w:i/>
          <w:iCs/>
        </w:rPr>
        <w:t>quelles sont les spécificités des femmes bisexuelles dans l’expérience de la violence conjugale ?</w:t>
      </w:r>
      <w:r>
        <w:t xml:space="preserve"> </w:t>
      </w:r>
    </w:p>
    <w:p w14:paraId="7E27DA44" w14:textId="04904EB9" w:rsidR="00104269" w:rsidRDefault="00104269" w:rsidP="009B6ACB">
      <w:pPr>
        <w:pStyle w:val="Textbody"/>
      </w:pPr>
      <w:r>
        <w:t xml:space="preserve">En effet, nous posons la </w:t>
      </w:r>
      <w:r w:rsidRPr="00104269">
        <w:rPr>
          <w:b/>
          <w:bCs/>
        </w:rPr>
        <w:t>première hypothèse</w:t>
      </w:r>
      <w:r>
        <w:t xml:space="preserve"> suivante : Bien que déclarant des faits de violence majoritairement perpétrés par des hommes, leur expérience des violences se différencie de celles des hétérosexuelles. Notre </w:t>
      </w:r>
      <w:r w:rsidRPr="00F3048A">
        <w:rPr>
          <w:b/>
          <w:bCs/>
        </w:rPr>
        <w:t>deuxième hypothèse</w:t>
      </w:r>
      <w:r>
        <w:t xml:space="preserve"> sera que la bisexualité, comme identification, tant dans la trajectoire sexuelle passée, que dans </w:t>
      </w:r>
      <w:r w:rsidR="00F3048A">
        <w:t xml:space="preserve">l’expression d’une identification sexuelle produit des expériences de violences conjugales spécifiques. Ici le raisonnement sera moins comparatif et plus descriptif des expériences spécifiques des bisexuelles. Également dans l’optique de ne pas </w:t>
      </w:r>
      <w:r w:rsidR="00F3048A">
        <w:lastRenderedPageBreak/>
        <w:t xml:space="preserve">hiérarchiser les violences vécues mais bien plutôt de comprendre les spécificités d’un certain groupe social face à celles-ci. </w:t>
      </w:r>
    </w:p>
    <w:p w14:paraId="6A2ACA65" w14:textId="77777777" w:rsidR="0041497F" w:rsidRDefault="00315AAD" w:rsidP="0041497F">
      <w:pPr>
        <w:pStyle w:val="Textbody"/>
      </w:pPr>
      <w:r>
        <w:t xml:space="preserve">Des études anglo-saxonnes montrent que les expériences de la violence des femmes bisexuelles </w:t>
      </w:r>
      <w:proofErr w:type="gramStart"/>
      <w:r>
        <w:t>sont</w:t>
      </w:r>
      <w:proofErr w:type="gramEnd"/>
      <w:r>
        <w:t xml:space="preserve"> uniques et doivent être étudiées spécifiquement (</w:t>
      </w:r>
      <w:proofErr w:type="spellStart"/>
      <w:r>
        <w:t>Bermea</w:t>
      </w:r>
      <w:proofErr w:type="spellEnd"/>
      <w:r>
        <w:t xml:space="preserve">, 2018). </w:t>
      </w:r>
      <w:r>
        <w:t>Les femmes bisexuelles étant davantage exposées au risque de subir des violences conjugales que leurs homologues lesbiennes et hétérosexuelles, il est impératif d’examiner cet écart afin de</w:t>
      </w:r>
      <w:r w:rsidR="00DE1CBA">
        <w:t xml:space="preserve"> </w:t>
      </w:r>
      <w:r>
        <w:t>déterminer les facteurs qui y contribuent</w:t>
      </w:r>
      <w:r w:rsidR="00DE1CBA">
        <w:t xml:space="preserve">. </w:t>
      </w:r>
      <w:r w:rsidR="0041497F">
        <w:t xml:space="preserve">L’hétérosexisme est évidemment mis en avant comme facteur affectant les expériences de la violence conjugale, d’autres recherches mettent en avant la notion de stress minoritaire, ou encore dans le cas des femmes bisexuelles la réaction à la divulgation de son orientation sexuelle. </w:t>
      </w:r>
      <w:r w:rsidR="00DE1CBA">
        <w:t>Bien que</w:t>
      </w:r>
      <w:r w:rsidR="0041497F">
        <w:t xml:space="preserve"> </w:t>
      </w:r>
      <w:r w:rsidR="00DE1CBA">
        <w:t>les personnes bisexuelles puissent être victimes d’homophobie de la part de la majorité hétérosexuelle,</w:t>
      </w:r>
      <w:r w:rsidR="0041497F">
        <w:t xml:space="preserve"> </w:t>
      </w:r>
      <w:r w:rsidR="00DE1CBA">
        <w:t>l’exclusion de la communauté queer viennent souvent aggraver leurs expériences</w:t>
      </w:r>
      <w:r w:rsidR="0041497F">
        <w:t xml:space="preserve"> </w:t>
      </w:r>
      <w:r w:rsidR="00DE1CBA">
        <w:t>de discrimination</w:t>
      </w:r>
      <w:r w:rsidR="0041497F">
        <w:t xml:space="preserve">. </w:t>
      </w:r>
      <w:r w:rsidR="00DE1CBA">
        <w:t>De nombreuses études ont montré que les personnes bisexuelles sont exposées à</w:t>
      </w:r>
      <w:r w:rsidR="0041497F">
        <w:t xml:space="preserve"> </w:t>
      </w:r>
      <w:r w:rsidR="00DE1CBA">
        <w:t>de multiples stéréotypes négatifs, même au sein de groupes de pairs queer</w:t>
      </w:r>
      <w:r w:rsidR="0041497F">
        <w:t xml:space="preserve">. </w:t>
      </w:r>
      <w:r w:rsidR="0041497F">
        <w:t>Un stéréotype veut que la bisexualité des femmes soit éphémère et qu’elles</w:t>
      </w:r>
      <w:r w:rsidR="0041497F">
        <w:t xml:space="preserve"> </w:t>
      </w:r>
      <w:r w:rsidR="0041497F">
        <w:t>finissent toujours par revenir vers un partenaire masculin (</w:t>
      </w:r>
      <w:proofErr w:type="spellStart"/>
      <w:r w:rsidR="0041497F">
        <w:t>Kle</w:t>
      </w:r>
      <w:r w:rsidR="0041497F">
        <w:t>s</w:t>
      </w:r>
      <w:r w:rsidR="0041497F">
        <w:t>se</w:t>
      </w:r>
      <w:proofErr w:type="spellEnd"/>
      <w:r w:rsidR="0041497F">
        <w:t>, 2011). Le fait qu’elles soient susceptibles d’avoir un agresseur masculin</w:t>
      </w:r>
      <w:r w:rsidR="0041497F">
        <w:t xml:space="preserve"> </w:t>
      </w:r>
      <w:r w:rsidR="0041497F">
        <w:t>peut servir de « confirmation » d’une identité hétérosexuelle. Cependant, si</w:t>
      </w:r>
      <w:r w:rsidR="0041497F">
        <w:t xml:space="preserve"> </w:t>
      </w:r>
      <w:r w:rsidR="0041497F">
        <w:t>elle est en couple avec une agresseuse, elle est exposée à une multitude de stéréotypes sur la violence entre personnes du même sexe, en plus d’être exclue des</w:t>
      </w:r>
      <w:r w:rsidR="0041497F">
        <w:t xml:space="preserve"> </w:t>
      </w:r>
      <w:r w:rsidR="0041497F">
        <w:t>réseaux de soutien aux personnes queer. Les chercheurs devraient comparer les expériences des survivantes ainsi que</w:t>
      </w:r>
      <w:r w:rsidR="0041497F">
        <w:t xml:space="preserve"> </w:t>
      </w:r>
      <w:r w:rsidR="0041497F">
        <w:t>les tactiques employées par les agresseurs en fonction du ou des genres de ces derniers et/ou de</w:t>
      </w:r>
      <w:r w:rsidR="0041497F">
        <w:t xml:space="preserve"> </w:t>
      </w:r>
      <w:r w:rsidR="0041497F">
        <w:t>leur statut de majorité ou de minorité de genre (Cook-Daniels, 2015 ; Head &amp; Milton,</w:t>
      </w:r>
      <w:r w:rsidR="0041497F">
        <w:t xml:space="preserve"> </w:t>
      </w:r>
      <w:r w:rsidR="0041497F">
        <w:t>2014). Les chercheurs devraient également étudier la manière dont la communauté queer réagit face à la</w:t>
      </w:r>
      <w:r w:rsidR="0041497F">
        <w:t xml:space="preserve"> </w:t>
      </w:r>
      <w:r w:rsidR="0041497F">
        <w:t>divulgation de la violence conjugale (</w:t>
      </w:r>
      <w:proofErr w:type="spellStart"/>
      <w:r w:rsidR="0041497F">
        <w:t>Turrell</w:t>
      </w:r>
      <w:proofErr w:type="spellEnd"/>
      <w:r w:rsidR="0041497F">
        <w:t xml:space="preserve"> &amp; Herrmann, 2008), ainsi que celle des personnes hétérosexuelles (</w:t>
      </w:r>
      <w:proofErr w:type="spellStart"/>
      <w:r w:rsidR="0041497F">
        <w:t>Sylaska</w:t>
      </w:r>
      <w:proofErr w:type="spellEnd"/>
      <w:r w:rsidR="0041497F">
        <w:t xml:space="preserve"> &amp; Edwards, 2015).</w:t>
      </w:r>
      <w:r w:rsidR="0041497F">
        <w:t xml:space="preserve"> </w:t>
      </w:r>
      <w:r w:rsidR="0041497F">
        <w:t>Il convient d’accorder une attention accrue aux expériences des adolescents bisexuels. Compte tenu du risque déjà accru de violence conjugale à l’adolescence</w:t>
      </w:r>
    </w:p>
    <w:p w14:paraId="06A38007" w14:textId="77777777" w:rsidR="0041497F" w:rsidRDefault="0041497F" w:rsidP="0041497F">
      <w:pPr>
        <w:pStyle w:val="Textbody"/>
      </w:pPr>
      <w:r>
        <w:t>(</w:t>
      </w:r>
      <w:proofErr w:type="spellStart"/>
      <w:r>
        <w:t>Kann</w:t>
      </w:r>
      <w:proofErr w:type="spellEnd"/>
      <w:r>
        <w:t xml:space="preserve"> et al., 2011 ; 2016 ; </w:t>
      </w:r>
      <w:proofErr w:type="spellStart"/>
      <w:r>
        <w:t>Wincentak</w:t>
      </w:r>
      <w:proofErr w:type="spellEnd"/>
      <w:r>
        <w:t xml:space="preserve"> et al., 2017), la prévalence de la violence conjugale</w:t>
      </w:r>
    </w:p>
    <w:p w14:paraId="49733F45" w14:textId="77777777" w:rsidR="0041497F" w:rsidRDefault="0041497F" w:rsidP="0041497F">
      <w:pPr>
        <w:pStyle w:val="Textbody"/>
      </w:pPr>
      <w:proofErr w:type="gramStart"/>
      <w:r>
        <w:t>chez</w:t>
      </w:r>
      <w:proofErr w:type="gramEnd"/>
      <w:r>
        <w:t xml:space="preserve"> les jeunes bisexuels est préoccupante. Les taux de prévalence actuels ont également</w:t>
      </w:r>
    </w:p>
    <w:p w14:paraId="654F12C8" w14:textId="77777777" w:rsidR="0041497F" w:rsidRDefault="0041497F" w:rsidP="0041497F">
      <w:pPr>
        <w:pStyle w:val="Textbody"/>
      </w:pPr>
      <w:proofErr w:type="gramStart"/>
      <w:r>
        <w:t>rendu</w:t>
      </w:r>
      <w:proofErr w:type="gramEnd"/>
      <w:r>
        <w:t xml:space="preserve"> nécessaire l’adoption de mesures plus sensibles pour déterminer la bisexualité (</w:t>
      </w:r>
      <w:proofErr w:type="spellStart"/>
      <w:r>
        <w:t>Bostwick</w:t>
      </w:r>
      <w:proofErr w:type="spellEnd"/>
    </w:p>
    <w:p w14:paraId="25905EE5" w14:textId="77777777" w:rsidR="0041497F" w:rsidRDefault="0041497F" w:rsidP="0041497F">
      <w:pPr>
        <w:pStyle w:val="Textbody"/>
      </w:pPr>
      <w:r>
        <w:t xml:space="preserve">&amp; </w:t>
      </w:r>
      <w:proofErr w:type="spellStart"/>
      <w:r>
        <w:t>Hequembourg</w:t>
      </w:r>
      <w:proofErr w:type="spellEnd"/>
      <w:r>
        <w:t>, 2013). Les adolescents bisexuels sur le plan comportemental semblent être</w:t>
      </w:r>
    </w:p>
    <w:p w14:paraId="77C92837" w14:textId="18E05B73" w:rsidR="00DE1CBA" w:rsidRDefault="0041497F" w:rsidP="0041497F">
      <w:pPr>
        <w:pStyle w:val="Textbody"/>
      </w:pPr>
      <w:proofErr w:type="gramStart"/>
      <w:r>
        <w:lastRenderedPageBreak/>
        <w:t>plus</w:t>
      </w:r>
      <w:proofErr w:type="gramEnd"/>
      <w:r>
        <w:t xml:space="preserve"> exposés au risque que ceux qui s’identifient comme bisexuels (</w:t>
      </w:r>
      <w:proofErr w:type="spellStart"/>
      <w:r>
        <w:t>Kann</w:t>
      </w:r>
      <w:proofErr w:type="spellEnd"/>
      <w:r>
        <w:t xml:space="preserve"> et al., 2016 ; Luo</w:t>
      </w:r>
      <w:r w:rsidR="00452D9C">
        <w:t xml:space="preserve"> </w:t>
      </w:r>
      <w:r>
        <w:t>et al., 2014). Les adolescents prennent conscience de leur attirance pour des pairs du même sexe et/ou du sexe opposé, en parlent ouvertement et agissent en conséquence</w:t>
      </w:r>
      <w:r w:rsidR="00452D9C">
        <w:t xml:space="preserve"> </w:t>
      </w:r>
      <w:r>
        <w:t>à un âge de plus en plus précoce (</w:t>
      </w:r>
      <w:proofErr w:type="spellStart"/>
      <w:r>
        <w:t>Grafsky</w:t>
      </w:r>
      <w:proofErr w:type="spellEnd"/>
      <w:r>
        <w:t>,</w:t>
      </w:r>
      <w:r w:rsidR="00452D9C">
        <w:t xml:space="preserve"> </w:t>
      </w:r>
      <w:proofErr w:type="spellStart"/>
      <w:r>
        <w:t>Hickey</w:t>
      </w:r>
      <w:proofErr w:type="spellEnd"/>
      <w:r>
        <w:t>, Nguyen et Wall, 2018), sans pour autant s’identifier nécessairement comme queer.</w:t>
      </w:r>
      <w:r w:rsidR="00452D9C">
        <w:t xml:space="preserve"> </w:t>
      </w:r>
      <w:r>
        <w:t>Il est donc essentiel d’examiner le ou les genres de leur(s) partenaire(s) en plus de leur identité sexuelle.</w:t>
      </w:r>
      <w:r w:rsidR="00452D9C">
        <w:t xml:space="preserve"> </w:t>
      </w:r>
      <w:r>
        <w:t>Les femmes bisexuelles en fin d’âge adulte (50 ans et plus ; Choi &amp; Meyer,</w:t>
      </w:r>
      <w:r w:rsidR="00452D9C">
        <w:t xml:space="preserve"> </w:t>
      </w:r>
      <w:r>
        <w:t>2016) étaient nettement absentes de la littérature examinée. Cela est particulièrement</w:t>
      </w:r>
      <w:r w:rsidR="00452D9C">
        <w:t xml:space="preserve"> </w:t>
      </w:r>
      <w:r>
        <w:t>préoccupant, car les recherches en santé indiquent que les personnes âgées queer présentent une vulnérabilité accrue</w:t>
      </w:r>
      <w:r w:rsidR="00452D9C">
        <w:t xml:space="preserve"> </w:t>
      </w:r>
      <w:r>
        <w:t>aux facteurs prédictifs de la victimisation et de la perpétration de violences conjugales (par exemple, la toxicomanie, la dépression ; Choi &amp; Meyer, 2016). Cette génération a été confrontée à</w:t>
      </w:r>
      <w:r w:rsidR="00452D9C">
        <w:t xml:space="preserve"> </w:t>
      </w:r>
      <w:r>
        <w:t>une discrimination institutionnalisée accrue et a par conséquent signalé</w:t>
      </w:r>
      <w:r w:rsidR="00452D9C">
        <w:t xml:space="preserve"> </w:t>
      </w:r>
      <w:r>
        <w:t>des taux plus élevés d’homophobie intériorisée (</w:t>
      </w:r>
      <w:proofErr w:type="spellStart"/>
      <w:r>
        <w:t>Fredricksen-Goldsen</w:t>
      </w:r>
      <w:proofErr w:type="spellEnd"/>
      <w:r>
        <w:t>, 2014).</w:t>
      </w:r>
      <w:r w:rsidR="00452D9C">
        <w:t xml:space="preserve"> </w:t>
      </w:r>
      <w:r>
        <w:t>Ainsi, ces personnes peuvent être réticentes à solliciter des soins de santé, ce qui se traduit par des occasions manquées de rechercher, de se faire dépister et de recevoir de l’aide en cas de violence conjugale (</w:t>
      </w:r>
      <w:proofErr w:type="spellStart"/>
      <w:r>
        <w:t>Fredricksen-Goldsen</w:t>
      </w:r>
      <w:proofErr w:type="spellEnd"/>
      <w:r>
        <w:t>, 20</w:t>
      </w:r>
    </w:p>
    <w:p w14:paraId="72211866" w14:textId="6CDB3ECE" w:rsidR="00452D9C" w:rsidRDefault="00452D9C" w:rsidP="0041497F">
      <w:pPr>
        <w:pStyle w:val="Textbody"/>
      </w:pPr>
      <w:r>
        <w:t xml:space="preserve">Risk </w:t>
      </w:r>
      <w:proofErr w:type="spellStart"/>
      <w:r>
        <w:t>factors</w:t>
      </w:r>
      <w:proofErr w:type="spellEnd"/>
      <w:r>
        <w:t xml:space="preserve"> for IPV </w:t>
      </w:r>
      <w:proofErr w:type="spellStart"/>
      <w:r>
        <w:t>refer</w:t>
      </w:r>
      <w:proofErr w:type="spellEnd"/>
      <w:r>
        <w:t xml:space="preserve"> to </w:t>
      </w:r>
      <w:proofErr w:type="spellStart"/>
      <w:r>
        <w:t>factors</w:t>
      </w:r>
      <w:proofErr w:type="spellEnd"/>
      <w:r>
        <w:t xml:space="preserve">, at the </w:t>
      </w:r>
      <w:proofErr w:type="spellStart"/>
      <w:r>
        <w:t>personal</w:t>
      </w:r>
      <w:proofErr w:type="spellEnd"/>
      <w:r>
        <w:t xml:space="preserve"> and cultural </w:t>
      </w:r>
      <w:proofErr w:type="spellStart"/>
      <w:r>
        <w:t>level</w:t>
      </w:r>
      <w:proofErr w:type="spellEnd"/>
      <w:r>
        <w:t xml:space="preserve">, </w:t>
      </w:r>
      <w:proofErr w:type="spellStart"/>
      <w:r>
        <w:t>that</w:t>
      </w:r>
      <w:proofErr w:type="spellEnd"/>
      <w:r>
        <w:t xml:space="preserve"> </w:t>
      </w:r>
      <w:proofErr w:type="spellStart"/>
      <w:r>
        <w:t>make</w:t>
      </w:r>
      <w:proofErr w:type="spellEnd"/>
      <w:r>
        <w:t xml:space="preserve"> </w:t>
      </w:r>
      <w:proofErr w:type="spellStart"/>
      <w:r>
        <w:t>individuals</w:t>
      </w:r>
      <w:proofErr w:type="spellEnd"/>
      <w:r>
        <w:t xml:space="preserve"> more susceptible to </w:t>
      </w:r>
      <w:proofErr w:type="spellStart"/>
      <w:r>
        <w:t>experience</w:t>
      </w:r>
      <w:proofErr w:type="spellEnd"/>
      <w:r>
        <w:t xml:space="preserve"> IPV in </w:t>
      </w:r>
      <w:proofErr w:type="spellStart"/>
      <w:r>
        <w:t>their</w:t>
      </w:r>
      <w:proofErr w:type="spellEnd"/>
      <w:r>
        <w:t xml:space="preserve"> </w:t>
      </w:r>
      <w:proofErr w:type="spellStart"/>
      <w:r>
        <w:t>relationships</w:t>
      </w:r>
      <w:proofErr w:type="spellEnd"/>
      <w:r>
        <w:t xml:space="preserve">. Our </w:t>
      </w:r>
      <w:proofErr w:type="spellStart"/>
      <w:r>
        <w:t>analysis</w:t>
      </w:r>
      <w:proofErr w:type="spellEnd"/>
      <w:r>
        <w:t xml:space="preserve"> </w:t>
      </w:r>
      <w:proofErr w:type="spellStart"/>
      <w:r>
        <w:t>identified</w:t>
      </w:r>
      <w:proofErr w:type="spellEnd"/>
      <w:r>
        <w:t xml:space="preserve"> five main </w:t>
      </w:r>
      <w:proofErr w:type="spellStart"/>
      <w:r>
        <w:t>risk</w:t>
      </w:r>
      <w:proofErr w:type="spellEnd"/>
      <w:r>
        <w:t xml:space="preserve"> </w:t>
      </w:r>
      <w:proofErr w:type="spellStart"/>
      <w:r>
        <w:t>factors</w:t>
      </w:r>
      <w:proofErr w:type="spellEnd"/>
      <w:r>
        <w:t xml:space="preserve"> for IPV </w:t>
      </w:r>
      <w:proofErr w:type="spellStart"/>
      <w:r>
        <w:t>victimization</w:t>
      </w:r>
      <w:proofErr w:type="spellEnd"/>
      <w:r>
        <w:t xml:space="preserve"> </w:t>
      </w:r>
      <w:proofErr w:type="spellStart"/>
      <w:r>
        <w:t>among</w:t>
      </w:r>
      <w:proofErr w:type="spellEnd"/>
      <w:r>
        <w:t xml:space="preserve"> </w:t>
      </w:r>
      <w:proofErr w:type="spellStart"/>
      <w:r>
        <w:t>bisexual</w:t>
      </w:r>
      <w:proofErr w:type="spellEnd"/>
      <w:r>
        <w:t xml:space="preserve"> </w:t>
      </w:r>
      <w:proofErr w:type="spellStart"/>
      <w:proofErr w:type="gramStart"/>
      <w:r>
        <w:t>women</w:t>
      </w:r>
      <w:proofErr w:type="spellEnd"/>
      <w:r>
        <w:t>:</w:t>
      </w:r>
      <w:proofErr w:type="gramEnd"/>
      <w:r>
        <w:t xml:space="preserve"> </w:t>
      </w:r>
      <w:r>
        <w:t xml:space="preserve">substance abuse (n ¼ 6), </w:t>
      </w:r>
      <w:proofErr w:type="spellStart"/>
      <w:r>
        <w:t>risky</w:t>
      </w:r>
      <w:proofErr w:type="spellEnd"/>
      <w:r>
        <w:t xml:space="preserve"> </w:t>
      </w:r>
      <w:proofErr w:type="spellStart"/>
      <w:r>
        <w:t>sexual</w:t>
      </w:r>
      <w:proofErr w:type="spellEnd"/>
      <w:r>
        <w:t xml:space="preserve"> </w:t>
      </w:r>
      <w:proofErr w:type="spellStart"/>
      <w:r>
        <w:t>behavior</w:t>
      </w:r>
      <w:proofErr w:type="spellEnd"/>
      <w:r>
        <w:t xml:space="preserve"> (n ¼ 6), mental </w:t>
      </w:r>
      <w:proofErr w:type="spellStart"/>
      <w:r>
        <w:t>illness</w:t>
      </w:r>
      <w:proofErr w:type="spellEnd"/>
      <w:r>
        <w:t xml:space="preserve"> (n ¼ 2), </w:t>
      </w:r>
      <w:proofErr w:type="spellStart"/>
      <w:r>
        <w:t>internalized</w:t>
      </w:r>
      <w:proofErr w:type="spellEnd"/>
      <w:r>
        <w:t xml:space="preserve"> </w:t>
      </w:r>
      <w:proofErr w:type="spellStart"/>
      <w:r>
        <w:t>homophobia</w:t>
      </w:r>
      <w:proofErr w:type="spellEnd"/>
      <w:r>
        <w:t xml:space="preserve"> (n ¼ 2), and </w:t>
      </w:r>
      <w:proofErr w:type="spellStart"/>
      <w:r>
        <w:t>external</w:t>
      </w:r>
      <w:proofErr w:type="spellEnd"/>
      <w:r>
        <w:t xml:space="preserve"> </w:t>
      </w:r>
      <w:proofErr w:type="spellStart"/>
      <w:r>
        <w:t>experiences</w:t>
      </w:r>
      <w:proofErr w:type="spellEnd"/>
      <w:r>
        <w:t xml:space="preserve"> of discrimination (n ¼ 2). The latter </w:t>
      </w:r>
      <w:proofErr w:type="spellStart"/>
      <w:r>
        <w:t>two</w:t>
      </w:r>
      <w:proofErr w:type="spellEnd"/>
      <w:r>
        <w:t xml:space="preserve"> are a part of </w:t>
      </w:r>
      <w:proofErr w:type="spellStart"/>
      <w:r>
        <w:t>minority</w:t>
      </w:r>
      <w:proofErr w:type="spellEnd"/>
      <w:r>
        <w:t xml:space="preserve"> stress and are </w:t>
      </w:r>
      <w:proofErr w:type="spellStart"/>
      <w:r>
        <w:t>connected</w:t>
      </w:r>
      <w:proofErr w:type="spellEnd"/>
      <w:r>
        <w:t xml:space="preserve"> to </w:t>
      </w:r>
      <w:proofErr w:type="spellStart"/>
      <w:r>
        <w:t>societal</w:t>
      </w:r>
      <w:proofErr w:type="spellEnd"/>
      <w:r>
        <w:t xml:space="preserve"> discrimination </w:t>
      </w:r>
      <w:proofErr w:type="spellStart"/>
      <w:r>
        <w:t>against</w:t>
      </w:r>
      <w:proofErr w:type="spellEnd"/>
      <w:r>
        <w:t xml:space="preserve"> queers</w:t>
      </w:r>
    </w:p>
    <w:p w14:paraId="320544D2" w14:textId="35A665F4" w:rsidR="00452D9C" w:rsidRDefault="00452D9C" w:rsidP="0041497F">
      <w:pPr>
        <w:pStyle w:val="Textbody"/>
      </w:pPr>
      <w:r>
        <w:t xml:space="preserve">Les études anglophones montrent des prévalences plus élevées d’IPV en échantillon représentatifs et non -représentatifs chez les bisexuelles, à la fois en prenant le critère de la pratique et de l’identification. Les études montrent qu’elles sont plus à risque </w:t>
      </w:r>
      <w:r w:rsidR="00091B7F">
        <w:t xml:space="preserve">vis-à-vis des violences psychologiques et sexuelles, cohérent avec Tania. Les taux de violence graves sont </w:t>
      </w:r>
      <w:proofErr w:type="gramStart"/>
      <w:r w:rsidR="00091B7F">
        <w:t>élevées</w:t>
      </w:r>
      <w:proofErr w:type="gramEnd"/>
      <w:r w:rsidR="00091B7F">
        <w:t xml:space="preserve"> et l’usage de violence psychologique particulièrement fréquent avec des fort taux de contrôle coercitif. Elles sont également à risque de victimisation spécifiques : surtout de la part de partenaires masculins, par exemple de divulgation de l’identification sexuelle. Une menace qui peut avoir des répercussions fortes d’ostracisation, de coupure de liens familiaux ou amicaux. Sachant que les bisexuelles sont moins souvent out que les lesbiennes. Et que la menace de divulgation concerne particulièrement les personnes bisexuelles. Les enfants sont utilisés dans les </w:t>
      </w:r>
      <w:r w:rsidR="00091B7F">
        <w:lastRenderedPageBreak/>
        <w:t xml:space="preserve">cas de violence, comme pour les </w:t>
      </w:r>
      <w:proofErr w:type="spellStart"/>
      <w:r w:rsidR="00091B7F">
        <w:t>hétéras</w:t>
      </w:r>
      <w:proofErr w:type="spellEnd"/>
      <w:r w:rsidR="00091B7F">
        <w:t xml:space="preserve"> ou femmes queer de manière générale. Dans le cas des femmes bies, l’identification sexuelle peut être utilisée pour les discréditer en tant que mères pendant les décisions de garde d’enfant. Parmi les adolescents, les filles lesbiennes et bisexuelles, déclarent plus de violence que les hétérosexuelles. Même si lesbiennes et bisexuelles ne sont pas distinguées, les filles des minorités sexuelles ayant des relations avec des hommes déclarent plus de victimisation que les filles hétéros. Les adolescents qui ont des pratiques sexuelles queer sont plus à risque d’être agressé, physiquement, sexuellement ou psychologiquement que ceux qui s’identifient </w:t>
      </w:r>
      <w:proofErr w:type="spellStart"/>
      <w:r w:rsidR="00091B7F">
        <w:t>lgb</w:t>
      </w:r>
      <w:proofErr w:type="spellEnd"/>
      <w:r w:rsidR="00091B7F">
        <w:t xml:space="preserve"> ou hétérosexuel. Adolescents bisexuels (pas différenciés par genre) ont plus de chance de </w:t>
      </w:r>
      <w:proofErr w:type="spellStart"/>
      <w:r w:rsidR="00091B7F">
        <w:t>perpetrer</w:t>
      </w:r>
      <w:proofErr w:type="spellEnd"/>
      <w:r w:rsidR="00091B7F">
        <w:t xml:space="preserve"> des violences que lesbiennes et gays. Les bisexuelles adolescentes font aussi l’expérience de la menace de divulgation, particulièrement par des partenaires femmes. </w:t>
      </w:r>
    </w:p>
    <w:p w14:paraId="4BA2164F" w14:textId="6607AE28" w:rsidR="00091B7F" w:rsidRDefault="00091B7F" w:rsidP="0041497F">
      <w:pPr>
        <w:pStyle w:val="Textbody"/>
      </w:pPr>
      <w:r>
        <w:t xml:space="preserve">Malgré des recherches constantes qui tendent à montrer que les bisexuelles sont plus à risque d’IPV, un petit corpus affirme qu’il n’y a pas de prévalence entre </w:t>
      </w:r>
      <w:r w:rsidR="00561D0C">
        <w:t xml:space="preserve">hétérosexuelles, lesbiennes et bisexuelles. Les auteurs expliquent cela par des différences de conceptualisation de la bisexualité dans les enquêtes. </w:t>
      </w:r>
    </w:p>
    <w:p w14:paraId="4FB12FCA" w14:textId="59C36D8A" w:rsidR="00561D0C" w:rsidRDefault="00561D0C" w:rsidP="0041497F">
      <w:pPr>
        <w:pStyle w:val="Textbody"/>
      </w:pPr>
      <w:proofErr w:type="spellStart"/>
      <w:r>
        <w:t>Sexual</w:t>
      </w:r>
      <w:proofErr w:type="spellEnd"/>
      <w:r>
        <w:t xml:space="preserve"> and </w:t>
      </w:r>
      <w:proofErr w:type="spellStart"/>
      <w:r>
        <w:t>gender</w:t>
      </w:r>
      <w:proofErr w:type="spellEnd"/>
      <w:r>
        <w:t xml:space="preserve"> </w:t>
      </w:r>
      <w:proofErr w:type="spellStart"/>
      <w:r>
        <w:t>identity</w:t>
      </w:r>
      <w:proofErr w:type="spellEnd"/>
      <w:r>
        <w:t xml:space="preserve">. Of the 36 articles, </w:t>
      </w:r>
      <w:proofErr w:type="spellStart"/>
      <w:r>
        <w:t>only</w:t>
      </w:r>
      <w:proofErr w:type="spellEnd"/>
      <w:r>
        <w:t xml:space="preserve"> one (Head &amp; Milton, 2014) </w:t>
      </w:r>
      <w:proofErr w:type="spellStart"/>
      <w:r>
        <w:t>was</w:t>
      </w:r>
      <w:proofErr w:type="spellEnd"/>
      <w:r>
        <w:t xml:space="preserve"> </w:t>
      </w:r>
      <w:proofErr w:type="spellStart"/>
      <w:r>
        <w:t>composed</w:t>
      </w:r>
      <w:proofErr w:type="spellEnd"/>
      <w:r>
        <w:t xml:space="preserve"> </w:t>
      </w:r>
      <w:proofErr w:type="spellStart"/>
      <w:r>
        <w:t>entirely</w:t>
      </w:r>
      <w:proofErr w:type="spellEnd"/>
      <w:r>
        <w:t xml:space="preserve"> of </w:t>
      </w:r>
      <w:proofErr w:type="spellStart"/>
      <w:r>
        <w:t>bisexual</w:t>
      </w:r>
      <w:proofErr w:type="spellEnd"/>
      <w:r>
        <w:t xml:space="preserve"> </w:t>
      </w:r>
      <w:proofErr w:type="spellStart"/>
      <w:r>
        <w:t>identifying</w:t>
      </w:r>
      <w:proofErr w:type="spellEnd"/>
      <w:r>
        <w:t xml:space="preserve"> </w:t>
      </w:r>
      <w:proofErr w:type="spellStart"/>
      <w:r>
        <w:t>individuals</w:t>
      </w:r>
      <w:proofErr w:type="spellEnd"/>
      <w:r>
        <w:t xml:space="preserve">, but </w:t>
      </w:r>
      <w:proofErr w:type="spellStart"/>
      <w:r>
        <w:t>it</w:t>
      </w:r>
      <w:proofErr w:type="spellEnd"/>
      <w:r>
        <w:t xml:space="preserve"> </w:t>
      </w:r>
      <w:proofErr w:type="spellStart"/>
      <w:r>
        <w:t>included</w:t>
      </w:r>
      <w:proofErr w:type="spellEnd"/>
      <w:r>
        <w:t xml:space="preserve"> men and </w:t>
      </w:r>
      <w:proofErr w:type="spellStart"/>
      <w:r>
        <w:t>women</w:t>
      </w:r>
      <w:proofErr w:type="spellEnd"/>
      <w:r>
        <w:t xml:space="preserve">. </w:t>
      </w:r>
      <w:proofErr w:type="spellStart"/>
      <w:r>
        <w:t>Other</w:t>
      </w:r>
      <w:proofErr w:type="spellEnd"/>
      <w:r>
        <w:t xml:space="preserve"> </w:t>
      </w:r>
      <w:proofErr w:type="spellStart"/>
      <w:r>
        <w:t>studies</w:t>
      </w:r>
      <w:proofErr w:type="spellEnd"/>
      <w:r>
        <w:t xml:space="preserve">’ </w:t>
      </w:r>
      <w:proofErr w:type="spellStart"/>
      <w:r>
        <w:t>samples</w:t>
      </w:r>
      <w:proofErr w:type="spellEnd"/>
      <w:r>
        <w:t xml:space="preserve"> </w:t>
      </w:r>
      <w:proofErr w:type="spellStart"/>
      <w:r>
        <w:t>were</w:t>
      </w:r>
      <w:proofErr w:type="spellEnd"/>
      <w:r>
        <w:t xml:space="preserve"> </w:t>
      </w:r>
      <w:proofErr w:type="spellStart"/>
      <w:r>
        <w:t>composed</w:t>
      </w:r>
      <w:proofErr w:type="spellEnd"/>
      <w:r>
        <w:t xml:space="preserve"> in four </w:t>
      </w:r>
      <w:proofErr w:type="spellStart"/>
      <w:r>
        <w:t>ways</w:t>
      </w:r>
      <w:proofErr w:type="spellEnd"/>
      <w:r>
        <w:t xml:space="preserve">. </w:t>
      </w:r>
      <w:proofErr w:type="spellStart"/>
      <w:r>
        <w:t>These</w:t>
      </w:r>
      <w:proofErr w:type="spellEnd"/>
      <w:r>
        <w:t xml:space="preserve"> </w:t>
      </w:r>
      <w:proofErr w:type="spellStart"/>
      <w:r>
        <w:t>compared</w:t>
      </w:r>
      <w:proofErr w:type="spellEnd"/>
      <w:r>
        <w:t xml:space="preserve"> </w:t>
      </w:r>
      <w:proofErr w:type="spellStart"/>
      <w:r>
        <w:t>bisexuals</w:t>
      </w:r>
      <w:proofErr w:type="spellEnd"/>
      <w:r>
        <w:t xml:space="preserve"> to </w:t>
      </w:r>
      <w:proofErr w:type="spellStart"/>
      <w:r>
        <w:t>other</w:t>
      </w:r>
      <w:proofErr w:type="spellEnd"/>
      <w:r>
        <w:t xml:space="preserve"> queer and </w:t>
      </w:r>
      <w:proofErr w:type="spellStart"/>
      <w:r>
        <w:t>heterosexual</w:t>
      </w:r>
      <w:proofErr w:type="spellEnd"/>
      <w:r>
        <w:t xml:space="preserve"> populations (n ¼ 16), </w:t>
      </w:r>
      <w:proofErr w:type="spellStart"/>
      <w:r>
        <w:t>combined</w:t>
      </w:r>
      <w:proofErr w:type="spellEnd"/>
      <w:r>
        <w:t xml:space="preserve"> </w:t>
      </w:r>
      <w:proofErr w:type="spellStart"/>
      <w:r>
        <w:t>with</w:t>
      </w:r>
      <w:proofErr w:type="spellEnd"/>
      <w:r>
        <w:t xml:space="preserve"> </w:t>
      </w:r>
      <w:proofErr w:type="spellStart"/>
      <w:r>
        <w:t>lesbians</w:t>
      </w:r>
      <w:proofErr w:type="spellEnd"/>
      <w:r>
        <w:t xml:space="preserve"> (n ¼ 9) in the </w:t>
      </w:r>
      <w:proofErr w:type="spellStart"/>
      <w:r>
        <w:t>same</w:t>
      </w:r>
      <w:proofErr w:type="spellEnd"/>
      <w:r>
        <w:t xml:space="preserve"> </w:t>
      </w:r>
      <w:proofErr w:type="spellStart"/>
      <w:r>
        <w:t>sample</w:t>
      </w:r>
      <w:proofErr w:type="spellEnd"/>
      <w:r>
        <w:t xml:space="preserve">, </w:t>
      </w:r>
      <w:proofErr w:type="spellStart"/>
      <w:r>
        <w:t>defined</w:t>
      </w:r>
      <w:proofErr w:type="spellEnd"/>
      <w:r>
        <w:t xml:space="preserve"> as </w:t>
      </w:r>
      <w:proofErr w:type="spellStart"/>
      <w:r>
        <w:t>being</w:t>
      </w:r>
      <w:proofErr w:type="spellEnd"/>
      <w:r>
        <w:t xml:space="preserve"> </w:t>
      </w:r>
      <w:proofErr w:type="spellStart"/>
      <w:r>
        <w:t>under</w:t>
      </w:r>
      <w:proofErr w:type="spellEnd"/>
      <w:r>
        <w:t xml:space="preserve"> the </w:t>
      </w:r>
      <w:proofErr w:type="spellStart"/>
      <w:r>
        <w:t>umbrella</w:t>
      </w:r>
      <w:proofErr w:type="spellEnd"/>
      <w:r>
        <w:t xml:space="preserve"> of LGBT (n ¼ 7), or </w:t>
      </w:r>
      <w:proofErr w:type="spellStart"/>
      <w:r>
        <w:t>compared</w:t>
      </w:r>
      <w:proofErr w:type="spellEnd"/>
      <w:r>
        <w:t xml:space="preserve"> </w:t>
      </w:r>
      <w:proofErr w:type="spellStart"/>
      <w:r>
        <w:t>exclusively</w:t>
      </w:r>
      <w:proofErr w:type="spellEnd"/>
      <w:r>
        <w:t xml:space="preserve"> to </w:t>
      </w:r>
      <w:proofErr w:type="spellStart"/>
      <w:r>
        <w:t>other</w:t>
      </w:r>
      <w:proofErr w:type="spellEnd"/>
      <w:r>
        <w:t xml:space="preserve"> queer groups, </w:t>
      </w:r>
      <w:proofErr w:type="spellStart"/>
      <w:r>
        <w:t>such</w:t>
      </w:r>
      <w:proofErr w:type="spellEnd"/>
      <w:r>
        <w:t xml:space="preserve"> as gay men or </w:t>
      </w:r>
      <w:proofErr w:type="spellStart"/>
      <w:r>
        <w:t>lesbians</w:t>
      </w:r>
      <w:proofErr w:type="spellEnd"/>
      <w:r>
        <w:t xml:space="preserve"> </w:t>
      </w:r>
      <w:proofErr w:type="spellStart"/>
      <w:r>
        <w:t>without</w:t>
      </w:r>
      <w:proofErr w:type="spellEnd"/>
      <w:r>
        <w:t xml:space="preserve"> </w:t>
      </w:r>
      <w:proofErr w:type="spellStart"/>
      <w:r>
        <w:t>comparison</w:t>
      </w:r>
      <w:proofErr w:type="spellEnd"/>
      <w:r>
        <w:t xml:space="preserve"> to a </w:t>
      </w:r>
      <w:proofErr w:type="spellStart"/>
      <w:r>
        <w:t>heterosexual</w:t>
      </w:r>
      <w:proofErr w:type="spellEnd"/>
      <w:r>
        <w:t xml:space="preserve"> group (n ¼ 3). All </w:t>
      </w:r>
      <w:proofErr w:type="spellStart"/>
      <w:r>
        <w:t>studies</w:t>
      </w:r>
      <w:proofErr w:type="spellEnd"/>
      <w:r>
        <w:t xml:space="preserve"> </w:t>
      </w:r>
      <w:proofErr w:type="spellStart"/>
      <w:r>
        <w:t>included</w:t>
      </w:r>
      <w:proofErr w:type="spellEnd"/>
      <w:r>
        <w:t xml:space="preserve"> </w:t>
      </w:r>
      <w:proofErr w:type="spellStart"/>
      <w:r>
        <w:t>only</w:t>
      </w:r>
      <w:proofErr w:type="spellEnd"/>
      <w:r>
        <w:t xml:space="preserve"> </w:t>
      </w:r>
      <w:proofErr w:type="spellStart"/>
      <w:r>
        <w:t>cisgender</w:t>
      </w:r>
      <w:proofErr w:type="spellEnd"/>
      <w:r>
        <w:t xml:space="preserve"> </w:t>
      </w:r>
      <w:proofErr w:type="spellStart"/>
      <w:r>
        <w:t>bisexual</w:t>
      </w:r>
      <w:proofErr w:type="spellEnd"/>
      <w:r>
        <w:t xml:space="preserve"> </w:t>
      </w:r>
      <w:proofErr w:type="spellStart"/>
      <w:r>
        <w:t>women</w:t>
      </w:r>
      <w:proofErr w:type="spellEnd"/>
      <w:r>
        <w:t xml:space="preserve">, and none </w:t>
      </w:r>
      <w:proofErr w:type="spellStart"/>
      <w:r>
        <w:t>examined</w:t>
      </w:r>
      <w:proofErr w:type="spellEnd"/>
      <w:r>
        <w:t xml:space="preserve"> </w:t>
      </w:r>
      <w:proofErr w:type="spellStart"/>
      <w:r>
        <w:t>transgender</w:t>
      </w:r>
      <w:proofErr w:type="spellEnd"/>
      <w:r>
        <w:t xml:space="preserve"> </w:t>
      </w:r>
      <w:proofErr w:type="spellStart"/>
      <w:r>
        <w:t>bisexual</w:t>
      </w:r>
      <w:proofErr w:type="spellEnd"/>
      <w:r>
        <w:t xml:space="preserve"> </w:t>
      </w:r>
      <w:proofErr w:type="spellStart"/>
      <w:r>
        <w:t>women’s</w:t>
      </w:r>
      <w:proofErr w:type="spellEnd"/>
      <w:r>
        <w:t xml:space="preserve"> </w:t>
      </w:r>
      <w:proofErr w:type="spellStart"/>
      <w:r>
        <w:t>experiences</w:t>
      </w:r>
      <w:proofErr w:type="spellEnd"/>
      <w:r>
        <w:t xml:space="preserve"> of IPV</w:t>
      </w:r>
    </w:p>
    <w:p w14:paraId="394E2F95" w14:textId="5E14A5AD" w:rsidR="00561D0C" w:rsidRDefault="00561D0C" w:rsidP="0041497F">
      <w:pPr>
        <w:pStyle w:val="Textbody"/>
      </w:pPr>
      <w:proofErr w:type="spellStart"/>
      <w:r>
        <w:t>Flanders</w:t>
      </w:r>
      <w:proofErr w:type="spellEnd"/>
      <w:r>
        <w:t xml:space="preserve"> : </w:t>
      </w:r>
      <w:r w:rsidR="003C0843">
        <w:t xml:space="preserve">l’expérience du stigmate bisexuel (de la part hétéro, ou homo) = plus de chance de déclarer violence sexuelle et </w:t>
      </w:r>
      <w:proofErr w:type="spellStart"/>
      <w:r w:rsidR="003C0843">
        <w:t>coercicion</w:t>
      </w:r>
      <w:proofErr w:type="spellEnd"/>
      <w:r w:rsidR="003C0843">
        <w:t xml:space="preserve"> verbale. </w:t>
      </w:r>
    </w:p>
    <w:p w14:paraId="5924CF10" w14:textId="3932D8DD" w:rsidR="003C0843" w:rsidRDefault="003C0843" w:rsidP="0041497F">
      <w:pPr>
        <w:pStyle w:val="Textbody"/>
      </w:pPr>
      <w:r>
        <w:t xml:space="preserve">As </w:t>
      </w:r>
      <w:proofErr w:type="spellStart"/>
      <w:r>
        <w:t>stated</w:t>
      </w:r>
      <w:proofErr w:type="spellEnd"/>
      <w:r>
        <w:t xml:space="preserve">, </w:t>
      </w:r>
      <w:proofErr w:type="spellStart"/>
      <w:r>
        <w:t>sexual</w:t>
      </w:r>
      <w:proofErr w:type="spellEnd"/>
      <w:r>
        <w:t xml:space="preserve"> stigma has been </w:t>
      </w:r>
      <w:proofErr w:type="spellStart"/>
      <w:r>
        <w:t>found</w:t>
      </w:r>
      <w:proofErr w:type="spellEnd"/>
      <w:r>
        <w:t xml:space="preserve"> to </w:t>
      </w:r>
      <w:proofErr w:type="spellStart"/>
      <w:r>
        <w:t>be</w:t>
      </w:r>
      <w:proofErr w:type="spellEnd"/>
      <w:r>
        <w:t xml:space="preserve"> </w:t>
      </w:r>
      <w:proofErr w:type="spellStart"/>
      <w:r>
        <w:t>correlated</w:t>
      </w:r>
      <w:proofErr w:type="spellEnd"/>
      <w:r>
        <w:t xml:space="preserve"> </w:t>
      </w:r>
      <w:proofErr w:type="spellStart"/>
      <w:r>
        <w:t>with</w:t>
      </w:r>
      <w:proofErr w:type="spellEnd"/>
      <w:r>
        <w:t xml:space="preserve"> </w:t>
      </w:r>
      <w:proofErr w:type="spellStart"/>
      <w:r>
        <w:t>lifetime</w:t>
      </w:r>
      <w:proofErr w:type="spellEnd"/>
      <w:r>
        <w:t xml:space="preserve"> </w:t>
      </w:r>
      <w:proofErr w:type="spellStart"/>
      <w:r>
        <w:t>sexual</w:t>
      </w:r>
      <w:proofErr w:type="spellEnd"/>
      <w:r>
        <w:t xml:space="preserve"> violence </w:t>
      </w:r>
      <w:proofErr w:type="spellStart"/>
      <w:r>
        <w:t>among</w:t>
      </w:r>
      <w:proofErr w:type="spellEnd"/>
      <w:r>
        <w:t xml:space="preserve"> </w:t>
      </w:r>
      <w:proofErr w:type="spellStart"/>
      <w:r>
        <w:t>sexual</w:t>
      </w:r>
      <w:proofErr w:type="spellEnd"/>
      <w:r>
        <w:t xml:space="preserve"> </w:t>
      </w:r>
      <w:proofErr w:type="spellStart"/>
      <w:r>
        <w:t>minority</w:t>
      </w:r>
      <w:proofErr w:type="spellEnd"/>
      <w:r>
        <w:t xml:space="preserve"> </w:t>
      </w:r>
      <w:proofErr w:type="spellStart"/>
      <w:r>
        <w:t>women</w:t>
      </w:r>
      <w:proofErr w:type="spellEnd"/>
      <w:r>
        <w:t xml:space="preserve"> (Logie et al., 2014). </w:t>
      </w:r>
      <w:proofErr w:type="spellStart"/>
      <w:r>
        <w:t>However</w:t>
      </w:r>
      <w:proofErr w:type="spellEnd"/>
      <w:r>
        <w:t xml:space="preserve">, </w:t>
      </w:r>
      <w:proofErr w:type="spellStart"/>
      <w:r>
        <w:t>bisexual</w:t>
      </w:r>
      <w:proofErr w:type="spellEnd"/>
      <w:r>
        <w:t xml:space="preserve"> </w:t>
      </w:r>
      <w:proofErr w:type="spellStart"/>
      <w:r>
        <w:t>women</w:t>
      </w:r>
      <w:proofErr w:type="spellEnd"/>
      <w:r>
        <w:t xml:space="preserve"> report </w:t>
      </w:r>
      <w:proofErr w:type="spellStart"/>
      <w:r>
        <w:t>significantly</w:t>
      </w:r>
      <w:proofErr w:type="spellEnd"/>
      <w:r>
        <w:t xml:space="preserve"> </w:t>
      </w:r>
      <w:proofErr w:type="spellStart"/>
      <w:r>
        <w:t>higher</w:t>
      </w:r>
      <w:proofErr w:type="spellEnd"/>
      <w:r>
        <w:t xml:space="preserve"> rates of </w:t>
      </w:r>
      <w:proofErr w:type="spellStart"/>
      <w:r>
        <w:t>sexual</w:t>
      </w:r>
      <w:proofErr w:type="spellEnd"/>
      <w:r>
        <w:t xml:space="preserve"> </w:t>
      </w:r>
      <w:proofErr w:type="spellStart"/>
      <w:r>
        <w:t>victimization</w:t>
      </w:r>
      <w:proofErr w:type="spellEnd"/>
      <w:r>
        <w:t xml:space="preserve"> in </w:t>
      </w:r>
      <w:proofErr w:type="spellStart"/>
      <w:r>
        <w:t>contrast</w:t>
      </w:r>
      <w:proofErr w:type="spellEnd"/>
      <w:r>
        <w:t xml:space="preserve"> to </w:t>
      </w:r>
      <w:proofErr w:type="spellStart"/>
      <w:r>
        <w:t>lesbian</w:t>
      </w:r>
      <w:proofErr w:type="spellEnd"/>
      <w:r>
        <w:t xml:space="preserve"> </w:t>
      </w:r>
      <w:proofErr w:type="spellStart"/>
      <w:r>
        <w:t>women</w:t>
      </w:r>
      <w:proofErr w:type="spellEnd"/>
      <w:r>
        <w:t xml:space="preserve">. The </w:t>
      </w:r>
      <w:proofErr w:type="spellStart"/>
      <w:r>
        <w:t>findings</w:t>
      </w:r>
      <w:proofErr w:type="spellEnd"/>
      <w:r>
        <w:t xml:space="preserve"> </w:t>
      </w:r>
      <w:proofErr w:type="spellStart"/>
      <w:r>
        <w:t>from</w:t>
      </w:r>
      <w:proofErr w:type="spellEnd"/>
      <w:r>
        <w:t xml:space="preserve"> </w:t>
      </w:r>
      <w:proofErr w:type="spellStart"/>
      <w:r>
        <w:t>this</w:t>
      </w:r>
      <w:proofErr w:type="spellEnd"/>
      <w:r>
        <w:t xml:space="preserve"> </w:t>
      </w:r>
      <w:proofErr w:type="spellStart"/>
      <w:r>
        <w:t>study</w:t>
      </w:r>
      <w:proofErr w:type="spellEnd"/>
      <w:r>
        <w:t xml:space="preserve"> </w:t>
      </w:r>
      <w:proofErr w:type="spellStart"/>
      <w:r>
        <w:t>suggest</w:t>
      </w:r>
      <w:proofErr w:type="spellEnd"/>
      <w:r>
        <w:t xml:space="preserve"> </w:t>
      </w:r>
      <w:proofErr w:type="spellStart"/>
      <w:r>
        <w:t>that</w:t>
      </w:r>
      <w:proofErr w:type="spellEnd"/>
      <w:r>
        <w:t xml:space="preserve"> </w:t>
      </w:r>
      <w:proofErr w:type="spellStart"/>
      <w:r>
        <w:t>bisexual</w:t>
      </w:r>
      <w:proofErr w:type="spellEnd"/>
      <w:r>
        <w:t xml:space="preserve"> stigma </w:t>
      </w:r>
      <w:proofErr w:type="spellStart"/>
      <w:r>
        <w:t>may</w:t>
      </w:r>
      <w:proofErr w:type="spellEnd"/>
      <w:r>
        <w:t xml:space="preserve"> in part </w:t>
      </w:r>
      <w:proofErr w:type="spellStart"/>
      <w:r>
        <w:t>explain</w:t>
      </w:r>
      <w:proofErr w:type="spellEnd"/>
      <w:r>
        <w:t xml:space="preserve"> the </w:t>
      </w:r>
      <w:proofErr w:type="spellStart"/>
      <w:r>
        <w:t>higher</w:t>
      </w:r>
      <w:proofErr w:type="spellEnd"/>
      <w:r>
        <w:t xml:space="preserve"> rates of </w:t>
      </w:r>
      <w:proofErr w:type="spellStart"/>
      <w:r>
        <w:t>victimization</w:t>
      </w:r>
      <w:proofErr w:type="spellEnd"/>
      <w:r>
        <w:t xml:space="preserve">. There are </w:t>
      </w:r>
      <w:proofErr w:type="spellStart"/>
      <w:r>
        <w:t>stereotypes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bisexuality</w:t>
      </w:r>
      <w:proofErr w:type="spellEnd"/>
      <w:r>
        <w:t xml:space="preserve"> </w:t>
      </w:r>
      <w:proofErr w:type="spellStart"/>
      <w:r>
        <w:t>that</w:t>
      </w:r>
      <w:proofErr w:type="spellEnd"/>
      <w:r>
        <w:t xml:space="preserve"> </w:t>
      </w:r>
      <w:proofErr w:type="spellStart"/>
      <w:r>
        <w:t>may</w:t>
      </w:r>
      <w:proofErr w:type="spellEnd"/>
      <w:r>
        <w:t xml:space="preserve"> </w:t>
      </w:r>
      <w:proofErr w:type="spellStart"/>
      <w:r>
        <w:t>be</w:t>
      </w:r>
      <w:proofErr w:type="spellEnd"/>
      <w:r>
        <w:t xml:space="preserve"> </w:t>
      </w:r>
      <w:proofErr w:type="spellStart"/>
      <w:r>
        <w:t>particularly</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greater</w:t>
      </w:r>
      <w:proofErr w:type="spellEnd"/>
      <w:r>
        <w:t xml:space="preserve"> </w:t>
      </w:r>
      <w:proofErr w:type="spellStart"/>
      <w:r>
        <w:t>vulnerability</w:t>
      </w:r>
      <w:proofErr w:type="spellEnd"/>
      <w:r>
        <w:t xml:space="preserve"> for </w:t>
      </w:r>
      <w:proofErr w:type="spellStart"/>
      <w:r>
        <w:t>sexual</w:t>
      </w:r>
      <w:proofErr w:type="spellEnd"/>
      <w:r>
        <w:t xml:space="preserve"> </w:t>
      </w:r>
      <w:proofErr w:type="spellStart"/>
      <w:r>
        <w:t>victimization</w:t>
      </w:r>
      <w:proofErr w:type="spellEnd"/>
      <w:r>
        <w:t xml:space="preserve">. </w:t>
      </w:r>
      <w:proofErr w:type="spellStart"/>
      <w:r>
        <w:t>Such</w:t>
      </w:r>
      <w:proofErr w:type="spellEnd"/>
      <w:r>
        <w:t xml:space="preserve"> </w:t>
      </w:r>
      <w:proofErr w:type="spellStart"/>
      <w:r>
        <w:t>stereotypes</w:t>
      </w:r>
      <w:proofErr w:type="spellEnd"/>
      <w:r>
        <w:t xml:space="preserve"> </w:t>
      </w:r>
      <w:proofErr w:type="spellStart"/>
      <w:r>
        <w:t>include</w:t>
      </w:r>
      <w:proofErr w:type="spellEnd"/>
      <w:r>
        <w:t xml:space="preserve"> </w:t>
      </w:r>
      <w:proofErr w:type="spellStart"/>
      <w:r>
        <w:t>bisexual</w:t>
      </w:r>
      <w:proofErr w:type="spellEnd"/>
      <w:r>
        <w:t xml:space="preserve"> people </w:t>
      </w:r>
      <w:proofErr w:type="spellStart"/>
      <w:r>
        <w:t>being</w:t>
      </w:r>
      <w:proofErr w:type="spellEnd"/>
      <w:r>
        <w:t xml:space="preserve"> </w:t>
      </w:r>
      <w:proofErr w:type="spellStart"/>
      <w:r>
        <w:t>sexually</w:t>
      </w:r>
      <w:proofErr w:type="spellEnd"/>
      <w:r>
        <w:t xml:space="preserve"> </w:t>
      </w:r>
      <w:proofErr w:type="spellStart"/>
      <w:r>
        <w:t>irresponsible</w:t>
      </w:r>
      <w:proofErr w:type="spellEnd"/>
      <w:r>
        <w:t xml:space="preserve"> and </w:t>
      </w:r>
      <w:proofErr w:type="spellStart"/>
      <w:r>
        <w:t>obsessed</w:t>
      </w:r>
      <w:proofErr w:type="spellEnd"/>
      <w:r>
        <w:t xml:space="preserve"> </w:t>
      </w:r>
      <w:proofErr w:type="spellStart"/>
      <w:r>
        <w:lastRenderedPageBreak/>
        <w:t>with</w:t>
      </w:r>
      <w:proofErr w:type="spellEnd"/>
      <w:r>
        <w:t xml:space="preserve"> </w:t>
      </w:r>
      <w:proofErr w:type="spellStart"/>
      <w:r>
        <w:t>sex</w:t>
      </w:r>
      <w:proofErr w:type="spellEnd"/>
      <w:r>
        <w:t xml:space="preserve"> (Brewster &amp; </w:t>
      </w:r>
      <w:proofErr w:type="spellStart"/>
      <w:r>
        <w:t>Moradi</w:t>
      </w:r>
      <w:proofErr w:type="spellEnd"/>
      <w:r>
        <w:t xml:space="preserve">, 2010), </w:t>
      </w:r>
      <w:proofErr w:type="spellStart"/>
      <w:r>
        <w:t>being</w:t>
      </w:r>
      <w:proofErr w:type="spellEnd"/>
      <w:r>
        <w:t xml:space="preserve"> open to </w:t>
      </w:r>
      <w:proofErr w:type="spellStart"/>
      <w:r>
        <w:t>sexual</w:t>
      </w:r>
      <w:proofErr w:type="spellEnd"/>
      <w:r>
        <w:t xml:space="preserve"> </w:t>
      </w:r>
      <w:proofErr w:type="spellStart"/>
      <w:r>
        <w:t>advances</w:t>
      </w:r>
      <w:proofErr w:type="spellEnd"/>
      <w:r>
        <w:t xml:space="preserve"> and group </w:t>
      </w:r>
      <w:proofErr w:type="spellStart"/>
      <w:r>
        <w:t>sex</w:t>
      </w:r>
      <w:proofErr w:type="spellEnd"/>
      <w:r>
        <w:t xml:space="preserve"> as a </w:t>
      </w:r>
      <w:proofErr w:type="spellStart"/>
      <w:r>
        <w:t>function</w:t>
      </w:r>
      <w:proofErr w:type="spellEnd"/>
      <w:r>
        <w:t xml:space="preserve"> of </w:t>
      </w:r>
      <w:proofErr w:type="spellStart"/>
      <w:r>
        <w:t>being</w:t>
      </w:r>
      <w:proofErr w:type="spellEnd"/>
      <w:r>
        <w:t xml:space="preserve"> </w:t>
      </w:r>
      <w:proofErr w:type="spellStart"/>
      <w:r>
        <w:t>bisexual</w:t>
      </w:r>
      <w:proofErr w:type="spellEnd"/>
      <w:r>
        <w:t xml:space="preserve"> (</w:t>
      </w:r>
      <w:proofErr w:type="spellStart"/>
      <w:r>
        <w:t>Flanders</w:t>
      </w:r>
      <w:proofErr w:type="spellEnd"/>
      <w:r>
        <w:t xml:space="preserve">, </w:t>
      </w:r>
      <w:proofErr w:type="spellStart"/>
      <w:r>
        <w:t>LeBreton</w:t>
      </w:r>
      <w:proofErr w:type="spellEnd"/>
      <w:r>
        <w:t xml:space="preserve">, and Robinson, 2018), and </w:t>
      </w:r>
      <w:proofErr w:type="spellStart"/>
      <w:r>
        <w:t>automatically</w:t>
      </w:r>
      <w:proofErr w:type="spellEnd"/>
      <w:r>
        <w:t xml:space="preserve"> </w:t>
      </w:r>
      <w:proofErr w:type="spellStart"/>
      <w:r>
        <w:t>consenting</w:t>
      </w:r>
      <w:proofErr w:type="spellEnd"/>
      <w:r>
        <w:t xml:space="preserve"> to </w:t>
      </w:r>
      <w:proofErr w:type="spellStart"/>
      <w:r>
        <w:t>sexual</w:t>
      </w:r>
      <w:proofErr w:type="spellEnd"/>
      <w:r>
        <w:t xml:space="preserve"> </w:t>
      </w:r>
      <w:proofErr w:type="spellStart"/>
      <w:r>
        <w:t>activity</w:t>
      </w:r>
      <w:proofErr w:type="spellEnd"/>
      <w:r>
        <w:t xml:space="preserve"> </w:t>
      </w:r>
      <w:proofErr w:type="spellStart"/>
      <w:r>
        <w:t>because</w:t>
      </w:r>
      <w:proofErr w:type="spellEnd"/>
      <w:r>
        <w:t xml:space="preserve"> of </w:t>
      </w:r>
      <w:proofErr w:type="spellStart"/>
      <w:r>
        <w:t>identifying</w:t>
      </w:r>
      <w:proofErr w:type="spellEnd"/>
      <w:r>
        <w:t xml:space="preserve"> as </w:t>
      </w:r>
      <w:proofErr w:type="spellStart"/>
      <w:r>
        <w:t>bisexual</w:t>
      </w:r>
      <w:proofErr w:type="spellEnd"/>
      <w:r>
        <w:t xml:space="preserve"> (</w:t>
      </w:r>
      <w:proofErr w:type="spellStart"/>
      <w:r>
        <w:t>Flanders</w:t>
      </w:r>
      <w:proofErr w:type="spellEnd"/>
      <w:r>
        <w:t xml:space="preserve">, Ross, et al., 2017). </w:t>
      </w:r>
      <w:proofErr w:type="spellStart"/>
      <w:r>
        <w:t>These</w:t>
      </w:r>
      <w:proofErr w:type="spellEnd"/>
      <w:r>
        <w:t xml:space="preserve"> </w:t>
      </w:r>
      <w:proofErr w:type="spellStart"/>
      <w:r>
        <w:t>stereotypes</w:t>
      </w:r>
      <w:proofErr w:type="spellEnd"/>
      <w:r>
        <w:t xml:space="preserve"> </w:t>
      </w:r>
      <w:proofErr w:type="spellStart"/>
      <w:r>
        <w:t>sexually</w:t>
      </w:r>
      <w:proofErr w:type="spellEnd"/>
      <w:r>
        <w:t xml:space="preserve"> </w:t>
      </w:r>
      <w:proofErr w:type="spellStart"/>
      <w:r>
        <w:t>objectify</w:t>
      </w:r>
      <w:proofErr w:type="spellEnd"/>
      <w:r>
        <w:t xml:space="preserve"> </w:t>
      </w:r>
      <w:proofErr w:type="spellStart"/>
      <w:r>
        <w:t>bisexual</w:t>
      </w:r>
      <w:proofErr w:type="spellEnd"/>
      <w:r>
        <w:t xml:space="preserve"> </w:t>
      </w:r>
      <w:proofErr w:type="spellStart"/>
      <w:r>
        <w:t>women</w:t>
      </w:r>
      <w:proofErr w:type="spellEnd"/>
      <w:r>
        <w:t xml:space="preserve">, </w:t>
      </w:r>
      <w:proofErr w:type="spellStart"/>
      <w:r>
        <w:t>which</w:t>
      </w:r>
      <w:proofErr w:type="spellEnd"/>
      <w:r>
        <w:t xml:space="preserve"> </w:t>
      </w:r>
      <w:proofErr w:type="spellStart"/>
      <w:r>
        <w:t>is</w:t>
      </w:r>
      <w:proofErr w:type="spellEnd"/>
      <w:r>
        <w:t xml:space="preserve"> </w:t>
      </w:r>
      <w:proofErr w:type="spellStart"/>
      <w:r>
        <w:t>related</w:t>
      </w:r>
      <w:proofErr w:type="spellEnd"/>
      <w:r>
        <w:t xml:space="preserve"> to </w:t>
      </w:r>
      <w:proofErr w:type="spellStart"/>
      <w:r>
        <w:t>perpetuation</w:t>
      </w:r>
      <w:proofErr w:type="spellEnd"/>
      <w:r>
        <w:t xml:space="preserve"> of </w:t>
      </w:r>
      <w:proofErr w:type="spellStart"/>
      <w:r>
        <w:t>sexual</w:t>
      </w:r>
      <w:proofErr w:type="spellEnd"/>
      <w:r>
        <w:t xml:space="preserve"> violence (</w:t>
      </w:r>
      <w:proofErr w:type="spellStart"/>
      <w:r>
        <w:t>Awasthi</w:t>
      </w:r>
      <w:proofErr w:type="spellEnd"/>
      <w:r>
        <w:t xml:space="preserve">, </w:t>
      </w:r>
      <w:proofErr w:type="gramStart"/>
      <w:r>
        <w:t>2017;</w:t>
      </w:r>
      <w:proofErr w:type="gramEnd"/>
      <w:r>
        <w:t xml:space="preserve"> Gervais, </w:t>
      </w:r>
      <w:proofErr w:type="spellStart"/>
      <w:r>
        <w:t>DiLillo</w:t>
      </w:r>
      <w:proofErr w:type="spellEnd"/>
      <w:r>
        <w:t xml:space="preserve">, &amp; </w:t>
      </w:r>
      <w:proofErr w:type="spellStart"/>
      <w:r>
        <w:t>McChargue</w:t>
      </w:r>
      <w:proofErr w:type="spellEnd"/>
      <w:r>
        <w:t xml:space="preserve">, 2014; </w:t>
      </w:r>
      <w:proofErr w:type="spellStart"/>
      <w:r>
        <w:t>Haikalis</w:t>
      </w:r>
      <w:proofErr w:type="spellEnd"/>
      <w:r>
        <w:t xml:space="preserve">, </w:t>
      </w:r>
      <w:proofErr w:type="spellStart"/>
      <w:r>
        <w:t>DiLillo</w:t>
      </w:r>
      <w:proofErr w:type="spellEnd"/>
      <w:r>
        <w:t xml:space="preserve">, &amp; Gervais, 2017). </w:t>
      </w:r>
      <w:proofErr w:type="spellStart"/>
      <w:r>
        <w:t>Further</w:t>
      </w:r>
      <w:proofErr w:type="spellEnd"/>
      <w:r>
        <w:t xml:space="preserve">, </w:t>
      </w:r>
      <w:proofErr w:type="spellStart"/>
      <w:r>
        <w:t>previous</w:t>
      </w:r>
      <w:proofErr w:type="spellEnd"/>
      <w:r>
        <w:t xml:space="preserve"> qualitative </w:t>
      </w:r>
      <w:proofErr w:type="spellStart"/>
      <w:r>
        <w:t>research</w:t>
      </w:r>
      <w:proofErr w:type="spellEnd"/>
      <w:r>
        <w:t xml:space="preserve"> has </w:t>
      </w:r>
      <w:proofErr w:type="spellStart"/>
      <w:r>
        <w:t>found</w:t>
      </w:r>
      <w:proofErr w:type="spellEnd"/>
      <w:r>
        <w:t xml:space="preserve"> </w:t>
      </w:r>
      <w:proofErr w:type="spellStart"/>
      <w:r>
        <w:t>that</w:t>
      </w:r>
      <w:proofErr w:type="spellEnd"/>
      <w:r>
        <w:t xml:space="preserve"> </w:t>
      </w:r>
      <w:proofErr w:type="spellStart"/>
      <w:r>
        <w:t>young</w:t>
      </w:r>
      <w:proofErr w:type="spellEnd"/>
      <w:r>
        <w:t xml:space="preserve"> </w:t>
      </w:r>
      <w:proofErr w:type="spellStart"/>
      <w:r>
        <w:t>bisexual</w:t>
      </w:r>
      <w:proofErr w:type="spellEnd"/>
      <w:r>
        <w:t xml:space="preserve"> </w:t>
      </w:r>
      <w:proofErr w:type="spellStart"/>
      <w:r>
        <w:t>women</w:t>
      </w:r>
      <w:proofErr w:type="spellEnd"/>
      <w:r>
        <w:t xml:space="preserve"> report </w:t>
      </w:r>
      <w:proofErr w:type="spellStart"/>
      <w:r>
        <w:t>that</w:t>
      </w:r>
      <w:proofErr w:type="spellEnd"/>
      <w:r>
        <w:t xml:space="preserve"> </w:t>
      </w:r>
      <w:proofErr w:type="spellStart"/>
      <w:r>
        <w:t>these</w:t>
      </w:r>
      <w:proofErr w:type="spellEnd"/>
      <w:r>
        <w:t xml:space="preserve"> </w:t>
      </w:r>
      <w:proofErr w:type="spellStart"/>
      <w:r>
        <w:t>bisexual</w:t>
      </w:r>
      <w:proofErr w:type="spellEnd"/>
      <w:r>
        <w:t xml:space="preserve"> </w:t>
      </w:r>
      <w:proofErr w:type="spellStart"/>
      <w:r>
        <w:t>stereotypes</w:t>
      </w:r>
      <w:proofErr w:type="spellEnd"/>
      <w:r>
        <w:t xml:space="preserve"> </w:t>
      </w:r>
      <w:proofErr w:type="spellStart"/>
      <w:r>
        <w:t>impeded</w:t>
      </w:r>
      <w:proofErr w:type="spellEnd"/>
      <w:r>
        <w:t xml:space="preserve"> </w:t>
      </w:r>
      <w:proofErr w:type="spellStart"/>
      <w:r>
        <w:t>their</w:t>
      </w:r>
      <w:proofErr w:type="spellEnd"/>
      <w:r>
        <w:t xml:space="preserve"> </w:t>
      </w:r>
      <w:proofErr w:type="spellStart"/>
      <w:r>
        <w:t>ability</w:t>
      </w:r>
      <w:proofErr w:type="spellEnd"/>
      <w:r>
        <w:t xml:space="preserve"> to </w:t>
      </w:r>
      <w:proofErr w:type="spellStart"/>
      <w:r>
        <w:t>effectively</w:t>
      </w:r>
      <w:proofErr w:type="spellEnd"/>
      <w:r>
        <w:t xml:space="preserve"> </w:t>
      </w:r>
      <w:proofErr w:type="spellStart"/>
      <w:r>
        <w:t>navigate</w:t>
      </w:r>
      <w:proofErr w:type="spellEnd"/>
      <w:r>
        <w:t xml:space="preserve"> conversations about </w:t>
      </w:r>
      <w:proofErr w:type="spellStart"/>
      <w:r>
        <w:t>sexual</w:t>
      </w:r>
      <w:proofErr w:type="spellEnd"/>
      <w:r>
        <w:t xml:space="preserve"> consent (</w:t>
      </w:r>
      <w:proofErr w:type="spellStart"/>
      <w:r>
        <w:t>Flanders</w:t>
      </w:r>
      <w:proofErr w:type="spellEnd"/>
      <w:r>
        <w:t xml:space="preserve"> et al., 2017).</w:t>
      </w:r>
    </w:p>
    <w:p w14:paraId="6EB67092" w14:textId="20E46357" w:rsidR="003C0843" w:rsidRDefault="003C0843" w:rsidP="0041497F">
      <w:pPr>
        <w:pStyle w:val="Textbody"/>
      </w:pPr>
      <w:proofErr w:type="spellStart"/>
      <w:r>
        <w:t>Turell</w:t>
      </w:r>
      <w:proofErr w:type="spellEnd"/>
      <w:r>
        <w:t xml:space="preserve"> : </w:t>
      </w:r>
      <w:r>
        <w:t xml:space="preserve">National </w:t>
      </w:r>
      <w:proofErr w:type="spellStart"/>
      <w:r>
        <w:t>Intimate</w:t>
      </w:r>
      <w:proofErr w:type="spellEnd"/>
      <w:r>
        <w:t xml:space="preserve"> Partner and </w:t>
      </w:r>
      <w:proofErr w:type="spellStart"/>
      <w:r>
        <w:t>Sexual</w:t>
      </w:r>
      <w:proofErr w:type="spellEnd"/>
      <w:r>
        <w:t xml:space="preserve"> Violence Survey</w:t>
      </w:r>
      <w:r>
        <w:t xml:space="preserve"> 2010, bisexuel more </w:t>
      </w:r>
      <w:proofErr w:type="spellStart"/>
      <w:r>
        <w:t>likely</w:t>
      </w:r>
      <w:proofErr w:type="spellEnd"/>
      <w:r>
        <w:t xml:space="preserve"> </w:t>
      </w:r>
      <w:proofErr w:type="spellStart"/>
      <w:r>
        <w:t>than</w:t>
      </w:r>
      <w:proofErr w:type="spellEnd"/>
      <w:r>
        <w:t xml:space="preserve"> </w:t>
      </w:r>
      <w:proofErr w:type="spellStart"/>
      <w:r>
        <w:t>other</w:t>
      </w:r>
      <w:proofErr w:type="spellEnd"/>
      <w:r>
        <w:t xml:space="preserve"> orientation to </w:t>
      </w:r>
      <w:proofErr w:type="spellStart"/>
      <w:r>
        <w:t>experience</w:t>
      </w:r>
      <w:proofErr w:type="spellEnd"/>
      <w:r>
        <w:t xml:space="preserve"> IPV. Recherche exploratoire pour expliquer. Etudie lien entre IPV et stéréotypes et liens entre stéréotypes et modes de vie. Echantillon de convenance, recruté par fb. </w:t>
      </w:r>
      <w:proofErr w:type="spellStart"/>
      <w:proofErr w:type="gramStart"/>
      <w:r>
        <w:t>perpetrator</w:t>
      </w:r>
      <w:proofErr w:type="spellEnd"/>
      <w:proofErr w:type="gramEnd"/>
      <w:r>
        <w:t xml:space="preserve"> bi-</w:t>
      </w:r>
      <w:proofErr w:type="spellStart"/>
      <w:r>
        <w:t>negativity</w:t>
      </w:r>
      <w:proofErr w:type="spellEnd"/>
      <w:r>
        <w:t xml:space="preserve"> and </w:t>
      </w:r>
      <w:proofErr w:type="spellStart"/>
      <w:r>
        <w:t>perceived</w:t>
      </w:r>
      <w:proofErr w:type="spellEnd"/>
      <w:r>
        <w:t xml:space="preserve"> or real </w:t>
      </w:r>
      <w:proofErr w:type="spellStart"/>
      <w:r>
        <w:t>infidelity</w:t>
      </w:r>
      <w:proofErr w:type="spellEnd"/>
      <w:r>
        <w:t xml:space="preserve"> </w:t>
      </w:r>
      <w:proofErr w:type="spellStart"/>
      <w:r>
        <w:t>were</w:t>
      </w:r>
      <w:proofErr w:type="spellEnd"/>
      <w:r>
        <w:t xml:space="preserve"> the variables </w:t>
      </w:r>
      <w:proofErr w:type="spellStart"/>
      <w:r>
        <w:t>most</w:t>
      </w:r>
      <w:proofErr w:type="spellEnd"/>
      <w:r>
        <w:t xml:space="preserve"> </w:t>
      </w:r>
      <w:proofErr w:type="spellStart"/>
      <w:r>
        <w:t>related</w:t>
      </w:r>
      <w:proofErr w:type="spellEnd"/>
      <w:r>
        <w:t xml:space="preserve"> to </w:t>
      </w:r>
      <w:proofErr w:type="spellStart"/>
      <w:r>
        <w:t>perpetration</w:t>
      </w:r>
      <w:proofErr w:type="spellEnd"/>
      <w:r>
        <w:t xml:space="preserve"> and </w:t>
      </w:r>
      <w:proofErr w:type="spellStart"/>
      <w:r>
        <w:t>victimization</w:t>
      </w:r>
      <w:proofErr w:type="spellEnd"/>
      <w:r>
        <w:t xml:space="preserve">, </w:t>
      </w:r>
      <w:proofErr w:type="spellStart"/>
      <w:r>
        <w:t>especially</w:t>
      </w:r>
      <w:proofErr w:type="spellEnd"/>
      <w:r>
        <w:t xml:space="preserve"> if the </w:t>
      </w:r>
      <w:proofErr w:type="spellStart"/>
      <w:r>
        <w:t>perpetrator</w:t>
      </w:r>
      <w:proofErr w:type="spellEnd"/>
      <w:r>
        <w:t xml:space="preserve"> </w:t>
      </w:r>
      <w:proofErr w:type="spellStart"/>
      <w:r>
        <w:t>was</w:t>
      </w:r>
      <w:proofErr w:type="spellEnd"/>
      <w:r>
        <w:t xml:space="preserve"> male and </w:t>
      </w:r>
      <w:proofErr w:type="spellStart"/>
      <w:r>
        <w:t>both</w:t>
      </w:r>
      <w:proofErr w:type="spellEnd"/>
      <w:r>
        <w:t xml:space="preserve"> </w:t>
      </w:r>
      <w:proofErr w:type="spellStart"/>
      <w:r>
        <w:t>partners</w:t>
      </w:r>
      <w:proofErr w:type="spellEnd"/>
      <w:r>
        <w:t xml:space="preserve"> </w:t>
      </w:r>
      <w:proofErr w:type="spellStart"/>
      <w:r>
        <w:t>were</w:t>
      </w:r>
      <w:proofErr w:type="spellEnd"/>
      <w:r>
        <w:t xml:space="preserve"> </w:t>
      </w:r>
      <w:proofErr w:type="spellStart"/>
      <w:r>
        <w:t>bisexual</w:t>
      </w:r>
      <w:proofErr w:type="spellEnd"/>
      <w:r>
        <w:t>.</w:t>
      </w:r>
      <w:r>
        <w:t xml:space="preserve"> 4 modules : </w:t>
      </w:r>
      <w:proofErr w:type="spellStart"/>
      <w:r>
        <w:t>abes</w:t>
      </w:r>
      <w:proofErr w:type="spellEnd"/>
      <w:r>
        <w:t xml:space="preserve"> (anti bi </w:t>
      </w:r>
      <w:proofErr w:type="spellStart"/>
      <w:r>
        <w:t>scale</w:t>
      </w:r>
      <w:proofErr w:type="spellEnd"/>
      <w:r>
        <w:t xml:space="preserve">), un module victimisation, un module </w:t>
      </w:r>
      <w:proofErr w:type="spellStart"/>
      <w:r>
        <w:t>perpetuation</w:t>
      </w:r>
      <w:proofErr w:type="spellEnd"/>
      <w:r>
        <w:t xml:space="preserve">, un socio </w:t>
      </w:r>
      <w:proofErr w:type="spellStart"/>
      <w:r>
        <w:t>demo</w:t>
      </w:r>
      <w:proofErr w:type="spellEnd"/>
      <w:proofErr w:type="gramStart"/>
      <w:r>
        <w:t xml:space="preserve">. </w:t>
      </w:r>
      <w:r>
        <w:t>,</w:t>
      </w:r>
      <w:proofErr w:type="gramEnd"/>
      <w:r>
        <w:t xml:space="preserve"> bi-</w:t>
      </w:r>
      <w:proofErr w:type="spellStart"/>
      <w:r>
        <w:t>negativity</w:t>
      </w:r>
      <w:proofErr w:type="spellEnd"/>
      <w:r>
        <w:t xml:space="preserve"> and </w:t>
      </w:r>
      <w:proofErr w:type="spellStart"/>
      <w:r>
        <w:t>infidelity</w:t>
      </w:r>
      <w:proofErr w:type="spellEnd"/>
      <w:r>
        <w:t xml:space="preserve"> </w:t>
      </w:r>
      <w:proofErr w:type="spellStart"/>
      <w:r>
        <w:t>were</w:t>
      </w:r>
      <w:proofErr w:type="spellEnd"/>
      <w:r>
        <w:t xml:space="preserve"> the variables </w:t>
      </w:r>
      <w:proofErr w:type="spellStart"/>
      <w:r>
        <w:t>most</w:t>
      </w:r>
      <w:proofErr w:type="spellEnd"/>
      <w:r>
        <w:t xml:space="preserve"> </w:t>
      </w:r>
      <w:proofErr w:type="spellStart"/>
      <w:r>
        <w:t>related</w:t>
      </w:r>
      <w:proofErr w:type="spellEnd"/>
      <w:r>
        <w:t xml:space="preserve"> to </w:t>
      </w:r>
      <w:proofErr w:type="spellStart"/>
      <w:r>
        <w:t>perpetration</w:t>
      </w:r>
      <w:proofErr w:type="spellEnd"/>
      <w:r>
        <w:t xml:space="preserve"> and </w:t>
      </w:r>
      <w:proofErr w:type="spellStart"/>
      <w:r>
        <w:t>victimization</w:t>
      </w:r>
      <w:proofErr w:type="spellEnd"/>
      <w:r>
        <w:t xml:space="preserve">, </w:t>
      </w:r>
      <w:proofErr w:type="spellStart"/>
      <w:r>
        <w:t>especially</w:t>
      </w:r>
      <w:proofErr w:type="spellEnd"/>
      <w:r>
        <w:t xml:space="preserve"> if the </w:t>
      </w:r>
      <w:proofErr w:type="spellStart"/>
      <w:r>
        <w:t>perpetrator</w:t>
      </w:r>
      <w:proofErr w:type="spellEnd"/>
      <w:r>
        <w:t xml:space="preserve"> </w:t>
      </w:r>
      <w:proofErr w:type="spellStart"/>
      <w:r>
        <w:t>was</w:t>
      </w:r>
      <w:proofErr w:type="spellEnd"/>
      <w:r>
        <w:t xml:space="preserve"> male and </w:t>
      </w:r>
      <w:proofErr w:type="spellStart"/>
      <w:r>
        <w:t>both</w:t>
      </w:r>
      <w:proofErr w:type="spellEnd"/>
      <w:r>
        <w:t xml:space="preserve"> </w:t>
      </w:r>
      <w:proofErr w:type="spellStart"/>
      <w:r>
        <w:t>partners</w:t>
      </w:r>
      <w:proofErr w:type="spellEnd"/>
      <w:r>
        <w:t xml:space="preserve"> </w:t>
      </w:r>
      <w:proofErr w:type="spellStart"/>
      <w:r>
        <w:t>were</w:t>
      </w:r>
      <w:proofErr w:type="spellEnd"/>
      <w:r>
        <w:t xml:space="preserve"> </w:t>
      </w:r>
      <w:proofErr w:type="spellStart"/>
      <w:r>
        <w:t>bisexual</w:t>
      </w:r>
      <w:proofErr w:type="spellEnd"/>
      <w:r>
        <w:t>.</w:t>
      </w:r>
      <w:r>
        <w:t xml:space="preserve"> </w:t>
      </w:r>
      <w:r>
        <w:t xml:space="preserve">Of note </w:t>
      </w:r>
      <w:proofErr w:type="spellStart"/>
      <w:r>
        <w:t>is</w:t>
      </w:r>
      <w:proofErr w:type="spellEnd"/>
      <w:r>
        <w:t xml:space="preserve"> </w:t>
      </w:r>
      <w:proofErr w:type="spellStart"/>
      <w:r>
        <w:t>that</w:t>
      </w:r>
      <w:proofErr w:type="spellEnd"/>
      <w:r>
        <w:t xml:space="preserve"> </w:t>
      </w:r>
      <w:proofErr w:type="spellStart"/>
      <w:r>
        <w:t>infidelity</w:t>
      </w:r>
      <w:proofErr w:type="spellEnd"/>
      <w:r>
        <w:t xml:space="preserve"> as </w:t>
      </w:r>
      <w:proofErr w:type="gramStart"/>
      <w:r>
        <w:t>a</w:t>
      </w:r>
      <w:proofErr w:type="gramEnd"/>
      <w:r>
        <w:t xml:space="preserve"> practice and not </w:t>
      </w:r>
      <w:proofErr w:type="spellStart"/>
      <w:r>
        <w:t>just</w:t>
      </w:r>
      <w:proofErr w:type="spellEnd"/>
      <w:r>
        <w:t xml:space="preserve"> the </w:t>
      </w:r>
      <w:proofErr w:type="spellStart"/>
      <w:r>
        <w:t>stereotype</w:t>
      </w:r>
      <w:proofErr w:type="spellEnd"/>
      <w:r>
        <w:t xml:space="preserve"> </w:t>
      </w:r>
      <w:proofErr w:type="spellStart"/>
      <w:r>
        <w:t>was</w:t>
      </w:r>
      <w:proofErr w:type="spellEnd"/>
      <w:r>
        <w:t xml:space="preserve"> </w:t>
      </w:r>
      <w:proofErr w:type="spellStart"/>
      <w:r>
        <w:t>related</w:t>
      </w:r>
      <w:proofErr w:type="spellEnd"/>
      <w:r>
        <w:t xml:space="preserve"> to IPV. Hoang, Holloway, and Mendoza (2011) </w:t>
      </w:r>
      <w:proofErr w:type="spellStart"/>
      <w:r>
        <w:t>found</w:t>
      </w:r>
      <w:proofErr w:type="spellEnd"/>
      <w:r>
        <w:t xml:space="preserve"> a </w:t>
      </w:r>
      <w:proofErr w:type="spellStart"/>
      <w:r>
        <w:t>similar</w:t>
      </w:r>
      <w:proofErr w:type="spellEnd"/>
      <w:r>
        <w:t xml:space="preserve"> </w:t>
      </w:r>
      <w:proofErr w:type="spellStart"/>
      <w:r>
        <w:t>relationship</w:t>
      </w:r>
      <w:proofErr w:type="spellEnd"/>
      <w:r>
        <w:t xml:space="preserve"> </w:t>
      </w:r>
      <w:proofErr w:type="spellStart"/>
      <w:r>
        <w:t>between</w:t>
      </w:r>
      <w:proofErr w:type="spellEnd"/>
      <w:r>
        <w:t xml:space="preserve"> </w:t>
      </w:r>
      <w:proofErr w:type="spellStart"/>
      <w:r>
        <w:t>infidelity</w:t>
      </w:r>
      <w:proofErr w:type="spellEnd"/>
      <w:r>
        <w:t xml:space="preserve"> and </w:t>
      </w:r>
      <w:proofErr w:type="spellStart"/>
      <w:r>
        <w:t>higher</w:t>
      </w:r>
      <w:proofErr w:type="spellEnd"/>
      <w:r>
        <w:t xml:space="preserve"> </w:t>
      </w:r>
      <w:proofErr w:type="spellStart"/>
      <w:r>
        <w:t>biphobia</w:t>
      </w:r>
      <w:proofErr w:type="spellEnd"/>
      <w:r>
        <w:t xml:space="preserve"> scores in a </w:t>
      </w:r>
      <w:proofErr w:type="spellStart"/>
      <w:r>
        <w:t>sample</w:t>
      </w:r>
      <w:proofErr w:type="spellEnd"/>
      <w:r>
        <w:t xml:space="preserve"> of bi-</w:t>
      </w:r>
      <w:proofErr w:type="spellStart"/>
      <w:r>
        <w:t>identified</w:t>
      </w:r>
      <w:proofErr w:type="spellEnd"/>
      <w:r>
        <w:t xml:space="preserve"> </w:t>
      </w:r>
      <w:proofErr w:type="spellStart"/>
      <w:r>
        <w:t>women</w:t>
      </w:r>
      <w:proofErr w:type="spellEnd"/>
      <w:r>
        <w:t xml:space="preserve">. </w:t>
      </w:r>
      <w:proofErr w:type="spellStart"/>
      <w:r>
        <w:t>Klesse</w:t>
      </w:r>
      <w:proofErr w:type="spellEnd"/>
      <w:r>
        <w:t xml:space="preserve"> (2011) </w:t>
      </w:r>
      <w:proofErr w:type="spellStart"/>
      <w:r>
        <w:t>conceptualizes</w:t>
      </w:r>
      <w:proofErr w:type="spellEnd"/>
      <w:r>
        <w:t xml:space="preserve"> about the impact of unique power </w:t>
      </w:r>
      <w:proofErr w:type="spellStart"/>
      <w:r>
        <w:t>dynamics</w:t>
      </w:r>
      <w:proofErr w:type="spellEnd"/>
      <w:r>
        <w:t xml:space="preserve"> on </w:t>
      </w:r>
      <w:proofErr w:type="spellStart"/>
      <w:r>
        <w:t>bisexual</w:t>
      </w:r>
      <w:proofErr w:type="spellEnd"/>
      <w:r>
        <w:t xml:space="preserve"> </w:t>
      </w:r>
      <w:proofErr w:type="spellStart"/>
      <w:r>
        <w:t>relationships</w:t>
      </w:r>
      <w:proofErr w:type="spellEnd"/>
      <w:r>
        <w:t xml:space="preserve">, </w:t>
      </w:r>
      <w:proofErr w:type="spellStart"/>
      <w:r>
        <w:t>especially</w:t>
      </w:r>
      <w:proofErr w:type="spellEnd"/>
      <w:r>
        <w:t xml:space="preserve"> the </w:t>
      </w:r>
      <w:proofErr w:type="spellStart"/>
      <w:r>
        <w:t>tendency</w:t>
      </w:r>
      <w:proofErr w:type="spellEnd"/>
      <w:r>
        <w:t xml:space="preserve"> to </w:t>
      </w:r>
      <w:proofErr w:type="spellStart"/>
      <w:r>
        <w:t>oversexualize</w:t>
      </w:r>
      <w:proofErr w:type="spellEnd"/>
      <w:r>
        <w:t xml:space="preserve"> </w:t>
      </w:r>
      <w:proofErr w:type="spellStart"/>
      <w:r>
        <w:t>this</w:t>
      </w:r>
      <w:proofErr w:type="spellEnd"/>
      <w:r>
        <w:t xml:space="preserve"> </w:t>
      </w:r>
      <w:proofErr w:type="spellStart"/>
      <w:r>
        <w:t>identity</w:t>
      </w:r>
      <w:proofErr w:type="spellEnd"/>
      <w:r>
        <w:t xml:space="preserve">. This </w:t>
      </w:r>
      <w:proofErr w:type="spellStart"/>
      <w:r>
        <w:t>oversexualization</w:t>
      </w:r>
      <w:proofErr w:type="spellEnd"/>
      <w:r>
        <w:t xml:space="preserve"> tends to </w:t>
      </w:r>
      <w:proofErr w:type="spellStart"/>
      <w:r>
        <w:t>create</w:t>
      </w:r>
      <w:proofErr w:type="spellEnd"/>
      <w:r>
        <w:t xml:space="preserve"> a </w:t>
      </w:r>
      <w:proofErr w:type="spellStart"/>
      <w:r>
        <w:t>double</w:t>
      </w:r>
      <w:proofErr w:type="spellEnd"/>
      <w:r>
        <w:t xml:space="preserve"> stigma for </w:t>
      </w:r>
      <w:proofErr w:type="spellStart"/>
      <w:r>
        <w:t>those</w:t>
      </w:r>
      <w:proofErr w:type="spellEnd"/>
      <w:r>
        <w:t xml:space="preserve"> </w:t>
      </w:r>
      <w:proofErr w:type="spellStart"/>
      <w:r>
        <w:t>bisexual</w:t>
      </w:r>
      <w:proofErr w:type="spellEnd"/>
      <w:r>
        <w:t xml:space="preserve"> people </w:t>
      </w:r>
      <w:proofErr w:type="spellStart"/>
      <w:r>
        <w:t>who</w:t>
      </w:r>
      <w:proofErr w:type="spellEnd"/>
      <w:r>
        <w:t xml:space="preserve"> </w:t>
      </w:r>
      <w:proofErr w:type="spellStart"/>
      <w:r>
        <w:t>also</w:t>
      </w:r>
      <w:proofErr w:type="spellEnd"/>
      <w:r>
        <w:t xml:space="preserve"> are </w:t>
      </w:r>
      <w:proofErr w:type="spellStart"/>
      <w:r>
        <w:t>polyamorous</w:t>
      </w:r>
      <w:proofErr w:type="spellEnd"/>
      <w:r>
        <w:t xml:space="preserve"> (McLean, 2011).</w:t>
      </w:r>
      <w:r>
        <w:t xml:space="preserve"> </w:t>
      </w:r>
      <w:proofErr w:type="spellStart"/>
      <w:r>
        <w:t>Since</w:t>
      </w:r>
      <w:proofErr w:type="spellEnd"/>
      <w:r>
        <w:t xml:space="preserve"> the </w:t>
      </w:r>
      <w:proofErr w:type="spellStart"/>
      <w:r>
        <w:t>literature</w:t>
      </w:r>
      <w:proofErr w:type="spellEnd"/>
      <w:r>
        <w:t xml:space="preserve"> </w:t>
      </w:r>
      <w:proofErr w:type="spellStart"/>
      <w:r>
        <w:t>suggests</w:t>
      </w:r>
      <w:proofErr w:type="spellEnd"/>
      <w:r>
        <w:t xml:space="preserve"> </w:t>
      </w:r>
      <w:proofErr w:type="spellStart"/>
      <w:r>
        <w:t>that</w:t>
      </w:r>
      <w:proofErr w:type="spellEnd"/>
      <w:r>
        <w:t xml:space="preserve"> </w:t>
      </w:r>
      <w:proofErr w:type="spellStart"/>
      <w:r>
        <w:t>bisexual</w:t>
      </w:r>
      <w:proofErr w:type="spellEnd"/>
      <w:r>
        <w:t xml:space="preserve"> people </w:t>
      </w:r>
      <w:proofErr w:type="spellStart"/>
      <w:r>
        <w:t>also</w:t>
      </w:r>
      <w:proofErr w:type="spellEnd"/>
      <w:r>
        <w:t xml:space="preserve"> </w:t>
      </w:r>
      <w:proofErr w:type="spellStart"/>
      <w:r>
        <w:t>disproportionately</w:t>
      </w:r>
      <w:proofErr w:type="spellEnd"/>
      <w:r>
        <w:t xml:space="preserve"> </w:t>
      </w:r>
      <w:proofErr w:type="spellStart"/>
      <w:r>
        <w:t>embrace</w:t>
      </w:r>
      <w:proofErr w:type="spellEnd"/>
      <w:r>
        <w:t xml:space="preserve"> open and/or </w:t>
      </w:r>
      <w:proofErr w:type="spellStart"/>
      <w:r>
        <w:t>polyamorous</w:t>
      </w:r>
      <w:proofErr w:type="spellEnd"/>
      <w:r>
        <w:t xml:space="preserve"> </w:t>
      </w:r>
      <w:proofErr w:type="spellStart"/>
      <w:r>
        <w:t>relationships</w:t>
      </w:r>
      <w:proofErr w:type="spellEnd"/>
      <w:r>
        <w:t xml:space="preserve">, the </w:t>
      </w:r>
      <w:proofErr w:type="spellStart"/>
      <w:r>
        <w:t>complexities</w:t>
      </w:r>
      <w:proofErr w:type="spellEnd"/>
      <w:r>
        <w:t xml:space="preserve"> </w:t>
      </w:r>
      <w:proofErr w:type="spellStart"/>
      <w:r>
        <w:t>among</w:t>
      </w:r>
      <w:proofErr w:type="spellEnd"/>
      <w:r>
        <w:t xml:space="preserve"> </w:t>
      </w:r>
      <w:proofErr w:type="spellStart"/>
      <w:r>
        <w:t>stereotype</w:t>
      </w:r>
      <w:proofErr w:type="spellEnd"/>
      <w:r>
        <w:t xml:space="preserve">, </w:t>
      </w:r>
      <w:proofErr w:type="spellStart"/>
      <w:r>
        <w:t>lived</w:t>
      </w:r>
      <w:proofErr w:type="spellEnd"/>
      <w:r>
        <w:t xml:space="preserve"> </w:t>
      </w:r>
      <w:proofErr w:type="spellStart"/>
      <w:r>
        <w:t>experience</w:t>
      </w:r>
      <w:proofErr w:type="spellEnd"/>
      <w:r>
        <w:t xml:space="preserve">, and power/control </w:t>
      </w:r>
      <w:proofErr w:type="spellStart"/>
      <w:r>
        <w:t>dynamics</w:t>
      </w:r>
      <w:proofErr w:type="spellEnd"/>
      <w:r>
        <w:t xml:space="preserve"> as </w:t>
      </w:r>
      <w:proofErr w:type="spellStart"/>
      <w:r>
        <w:t>they</w:t>
      </w:r>
      <w:proofErr w:type="spellEnd"/>
      <w:r>
        <w:t xml:space="preserve"> relate to IPV </w:t>
      </w:r>
      <w:proofErr w:type="spellStart"/>
      <w:r>
        <w:t>seem</w:t>
      </w:r>
      <w:proofErr w:type="spellEnd"/>
      <w:r>
        <w:t xml:space="preserve"> to </w:t>
      </w:r>
      <w:proofErr w:type="spellStart"/>
      <w:r>
        <w:t>be</w:t>
      </w:r>
      <w:proofErr w:type="spellEnd"/>
      <w:r>
        <w:t xml:space="preserve"> key to </w:t>
      </w:r>
      <w:proofErr w:type="spellStart"/>
      <w:r>
        <w:t>this</w:t>
      </w:r>
      <w:proofErr w:type="spellEnd"/>
      <w:r>
        <w:t xml:space="preserve"> </w:t>
      </w:r>
      <w:proofErr w:type="spellStart"/>
      <w:r>
        <w:t>preliminary</w:t>
      </w:r>
      <w:proofErr w:type="spellEnd"/>
      <w:r>
        <w:t xml:space="preserve"> </w:t>
      </w:r>
      <w:proofErr w:type="spellStart"/>
      <w:r>
        <w:t>understanding</w:t>
      </w:r>
      <w:proofErr w:type="spellEnd"/>
      <w:r>
        <w:t xml:space="preserve">. That </w:t>
      </w:r>
      <w:proofErr w:type="spellStart"/>
      <w:r>
        <w:t>is</w:t>
      </w:r>
      <w:proofErr w:type="spellEnd"/>
      <w:r>
        <w:t xml:space="preserve">, if </w:t>
      </w:r>
      <w:proofErr w:type="spellStart"/>
      <w:r>
        <w:t>bisexual</w:t>
      </w:r>
      <w:proofErr w:type="spellEnd"/>
      <w:r>
        <w:t xml:space="preserve"> people more </w:t>
      </w:r>
      <w:proofErr w:type="spellStart"/>
      <w:r>
        <w:t>often</w:t>
      </w:r>
      <w:proofErr w:type="spellEnd"/>
      <w:r>
        <w:t xml:space="preserve"> engage in open/</w:t>
      </w:r>
      <w:proofErr w:type="spellStart"/>
      <w:r>
        <w:t>polyamorous</w:t>
      </w:r>
      <w:proofErr w:type="spellEnd"/>
      <w:r>
        <w:t xml:space="preserve"> </w:t>
      </w:r>
      <w:proofErr w:type="spellStart"/>
      <w:r>
        <w:t>relationships</w:t>
      </w:r>
      <w:proofErr w:type="spellEnd"/>
      <w:r>
        <w:t xml:space="preserve">, in </w:t>
      </w:r>
      <w:proofErr w:type="spellStart"/>
      <w:r>
        <w:t>theory</w:t>
      </w:r>
      <w:proofErr w:type="spellEnd"/>
      <w:r>
        <w:t xml:space="preserve"> effective communication about the </w:t>
      </w:r>
      <w:proofErr w:type="spellStart"/>
      <w:r>
        <w:t>parameters</w:t>
      </w:r>
      <w:proofErr w:type="spellEnd"/>
      <w:r>
        <w:t xml:space="preserve"> and </w:t>
      </w:r>
      <w:proofErr w:type="spellStart"/>
      <w:r>
        <w:t>agreed</w:t>
      </w:r>
      <w:proofErr w:type="spellEnd"/>
      <w:r>
        <w:t xml:space="preserve">-to </w:t>
      </w:r>
      <w:proofErr w:type="spellStart"/>
      <w:r>
        <w:t>rules</w:t>
      </w:r>
      <w:proofErr w:type="spellEnd"/>
      <w:r>
        <w:t xml:space="preserve"> </w:t>
      </w:r>
      <w:proofErr w:type="spellStart"/>
      <w:r>
        <w:t>should</w:t>
      </w:r>
      <w:proofErr w:type="spellEnd"/>
      <w:r>
        <w:t xml:space="preserve"> </w:t>
      </w:r>
      <w:proofErr w:type="spellStart"/>
      <w:r>
        <w:t>minimize</w:t>
      </w:r>
      <w:proofErr w:type="spellEnd"/>
      <w:r>
        <w:t xml:space="preserve"> </w:t>
      </w:r>
      <w:proofErr w:type="spellStart"/>
      <w:r>
        <w:t>problems</w:t>
      </w:r>
      <w:proofErr w:type="spellEnd"/>
      <w:r>
        <w:t xml:space="preserve">. In practice, </w:t>
      </w:r>
      <w:proofErr w:type="spellStart"/>
      <w:r>
        <w:t>however</w:t>
      </w:r>
      <w:proofErr w:type="spellEnd"/>
      <w:r>
        <w:t xml:space="preserve">, </w:t>
      </w:r>
      <w:proofErr w:type="spellStart"/>
      <w:r>
        <w:t>human</w:t>
      </w:r>
      <w:proofErr w:type="spellEnd"/>
      <w:r>
        <w:t xml:space="preserve"> nature </w:t>
      </w:r>
      <w:proofErr w:type="spellStart"/>
      <w:r>
        <w:t>such</w:t>
      </w:r>
      <w:proofErr w:type="spellEnd"/>
      <w:r>
        <w:t xml:space="preserve"> as </w:t>
      </w:r>
      <w:proofErr w:type="spellStart"/>
      <w:r>
        <w:t>jealousy</w:t>
      </w:r>
      <w:proofErr w:type="spellEnd"/>
      <w:r>
        <w:t xml:space="preserve"> or </w:t>
      </w:r>
      <w:proofErr w:type="spellStart"/>
      <w:r>
        <w:t>lack</w:t>
      </w:r>
      <w:proofErr w:type="spellEnd"/>
      <w:r>
        <w:t xml:space="preserve"> of effective communication </w:t>
      </w:r>
      <w:proofErr w:type="spellStart"/>
      <w:r>
        <w:t>skills</w:t>
      </w:r>
      <w:proofErr w:type="spellEnd"/>
      <w:r>
        <w:t xml:space="preserve"> </w:t>
      </w:r>
      <w:proofErr w:type="spellStart"/>
      <w:r>
        <w:t>may</w:t>
      </w:r>
      <w:proofErr w:type="spellEnd"/>
      <w:r>
        <w:t xml:space="preserve"> lead to control </w:t>
      </w:r>
      <w:proofErr w:type="spellStart"/>
      <w:r>
        <w:t>dynamics</w:t>
      </w:r>
      <w:proofErr w:type="spellEnd"/>
      <w:r>
        <w:t xml:space="preserve"> </w:t>
      </w:r>
      <w:proofErr w:type="spellStart"/>
      <w:r>
        <w:t>that</w:t>
      </w:r>
      <w:proofErr w:type="spellEnd"/>
      <w:r>
        <w:t xml:space="preserve"> </w:t>
      </w:r>
      <w:proofErr w:type="spellStart"/>
      <w:r>
        <w:t>may</w:t>
      </w:r>
      <w:proofErr w:type="spellEnd"/>
      <w:r>
        <w:t xml:space="preserve"> </w:t>
      </w:r>
      <w:proofErr w:type="spellStart"/>
      <w:r>
        <w:t>manifest</w:t>
      </w:r>
      <w:proofErr w:type="spellEnd"/>
      <w:r>
        <w:t xml:space="preserve"> </w:t>
      </w:r>
      <w:proofErr w:type="spellStart"/>
      <w:r>
        <w:t>themselves</w:t>
      </w:r>
      <w:proofErr w:type="spellEnd"/>
      <w:r>
        <w:t xml:space="preserve"> in IPV. In the abstract, open and/or </w:t>
      </w:r>
      <w:proofErr w:type="spellStart"/>
      <w:r>
        <w:t>polyamorous</w:t>
      </w:r>
      <w:proofErr w:type="spellEnd"/>
      <w:r>
        <w:t xml:space="preserve"> </w:t>
      </w:r>
      <w:proofErr w:type="spellStart"/>
      <w:r>
        <w:t>relationships</w:t>
      </w:r>
      <w:proofErr w:type="spellEnd"/>
      <w:r>
        <w:t xml:space="preserve"> </w:t>
      </w:r>
      <w:proofErr w:type="spellStart"/>
      <w:r>
        <w:t>may</w:t>
      </w:r>
      <w:proofErr w:type="spellEnd"/>
      <w:r>
        <w:t xml:space="preserve"> </w:t>
      </w:r>
      <w:proofErr w:type="spellStart"/>
      <w:r>
        <w:t>provide</w:t>
      </w:r>
      <w:proofErr w:type="spellEnd"/>
      <w:r>
        <w:t xml:space="preserve"> a good fit for </w:t>
      </w:r>
      <w:proofErr w:type="spellStart"/>
      <w:r>
        <w:t>bisexual</w:t>
      </w:r>
      <w:proofErr w:type="spellEnd"/>
      <w:r>
        <w:t xml:space="preserve"> people, by </w:t>
      </w:r>
      <w:proofErr w:type="spellStart"/>
      <w:r>
        <w:t>preventing</w:t>
      </w:r>
      <w:proofErr w:type="spellEnd"/>
      <w:r>
        <w:t xml:space="preserve"> </w:t>
      </w:r>
      <w:proofErr w:type="spellStart"/>
      <w:r>
        <w:t>erasure</w:t>
      </w:r>
      <w:proofErr w:type="spellEnd"/>
      <w:r>
        <w:t xml:space="preserve"> and/or </w:t>
      </w:r>
      <w:proofErr w:type="spellStart"/>
      <w:r>
        <w:t>reinforcing</w:t>
      </w:r>
      <w:proofErr w:type="spellEnd"/>
      <w:r>
        <w:t xml:space="preserve"> a </w:t>
      </w:r>
      <w:proofErr w:type="spellStart"/>
      <w:r>
        <w:t>fluidity</w:t>
      </w:r>
      <w:proofErr w:type="spellEnd"/>
      <w:r>
        <w:t xml:space="preserve"> of </w:t>
      </w:r>
      <w:proofErr w:type="spellStart"/>
      <w:r>
        <w:t>sexuality</w:t>
      </w:r>
      <w:proofErr w:type="spellEnd"/>
      <w:r>
        <w:t xml:space="preserve">. Our </w:t>
      </w:r>
      <w:proofErr w:type="spellStart"/>
      <w:r>
        <w:t>findings</w:t>
      </w:r>
      <w:proofErr w:type="spellEnd"/>
      <w:r>
        <w:t xml:space="preserve">, congruent </w:t>
      </w:r>
      <w:proofErr w:type="spellStart"/>
      <w:r>
        <w:t>with</w:t>
      </w:r>
      <w:proofErr w:type="spellEnd"/>
      <w:r>
        <w:t xml:space="preserve"> </w:t>
      </w:r>
      <w:proofErr w:type="spellStart"/>
      <w:r>
        <w:t>much</w:t>
      </w:r>
      <w:proofErr w:type="spellEnd"/>
      <w:r>
        <w:t xml:space="preserve"> of </w:t>
      </w:r>
      <w:r>
        <w:lastRenderedPageBreak/>
        <w:t xml:space="preserve">the extant </w:t>
      </w:r>
      <w:proofErr w:type="spellStart"/>
      <w:r>
        <w:t>literature</w:t>
      </w:r>
      <w:proofErr w:type="spellEnd"/>
      <w:r>
        <w:t xml:space="preserve"> on </w:t>
      </w:r>
      <w:proofErr w:type="spellStart"/>
      <w:r>
        <w:t>polyamory</w:t>
      </w:r>
      <w:proofErr w:type="spellEnd"/>
      <w:r>
        <w:t xml:space="preserve"> </w:t>
      </w:r>
      <w:proofErr w:type="spellStart"/>
      <w:r>
        <w:t>among</w:t>
      </w:r>
      <w:proofErr w:type="spellEnd"/>
      <w:r>
        <w:t xml:space="preserve"> </w:t>
      </w:r>
      <w:proofErr w:type="spellStart"/>
      <w:r>
        <w:t>bisexual</w:t>
      </w:r>
      <w:proofErr w:type="spellEnd"/>
      <w:r>
        <w:t xml:space="preserve"> people, </w:t>
      </w:r>
      <w:proofErr w:type="spellStart"/>
      <w:r>
        <w:t>suggest</w:t>
      </w:r>
      <w:proofErr w:type="spellEnd"/>
      <w:r>
        <w:t xml:space="preserve"> </w:t>
      </w:r>
      <w:proofErr w:type="spellStart"/>
      <w:r>
        <w:t>they</w:t>
      </w:r>
      <w:proofErr w:type="spellEnd"/>
      <w:r>
        <w:t xml:space="preserve"> </w:t>
      </w:r>
      <w:proofErr w:type="spellStart"/>
      <w:r>
        <w:t>work</w:t>
      </w:r>
      <w:proofErr w:type="spellEnd"/>
      <w:r>
        <w:t xml:space="preserve"> </w:t>
      </w:r>
      <w:proofErr w:type="spellStart"/>
      <w:r>
        <w:t>better</w:t>
      </w:r>
      <w:proofErr w:type="spellEnd"/>
      <w:r>
        <w:t xml:space="preserve"> in </w:t>
      </w:r>
      <w:proofErr w:type="spellStart"/>
      <w:r>
        <w:t>theory</w:t>
      </w:r>
      <w:proofErr w:type="spellEnd"/>
      <w:r>
        <w:t xml:space="preserve"> </w:t>
      </w:r>
      <w:proofErr w:type="spellStart"/>
      <w:r>
        <w:t>than</w:t>
      </w:r>
      <w:proofErr w:type="spellEnd"/>
      <w:r>
        <w:t xml:space="preserve"> in practice.</w:t>
      </w:r>
      <w:r>
        <w:t xml:space="preserve"> </w:t>
      </w:r>
      <w:r>
        <w:t xml:space="preserve">The </w:t>
      </w:r>
      <w:proofErr w:type="spellStart"/>
      <w:r>
        <w:t>counterintuitive</w:t>
      </w:r>
      <w:proofErr w:type="spellEnd"/>
      <w:r>
        <w:t xml:space="preserve"> </w:t>
      </w:r>
      <w:proofErr w:type="spellStart"/>
      <w:r>
        <w:t>finding</w:t>
      </w:r>
      <w:proofErr w:type="spellEnd"/>
      <w:r>
        <w:t xml:space="preserve"> of </w:t>
      </w:r>
      <w:proofErr w:type="spellStart"/>
      <w:r>
        <w:t>higher</w:t>
      </w:r>
      <w:proofErr w:type="spellEnd"/>
      <w:r>
        <w:t xml:space="preserve"> </w:t>
      </w:r>
      <w:proofErr w:type="spellStart"/>
      <w:r>
        <w:t>risk</w:t>
      </w:r>
      <w:proofErr w:type="spellEnd"/>
      <w:r>
        <w:t xml:space="preserve"> for IPV </w:t>
      </w:r>
      <w:proofErr w:type="spellStart"/>
      <w:r>
        <w:t>victimization</w:t>
      </w:r>
      <w:proofErr w:type="spellEnd"/>
      <w:r>
        <w:t xml:space="preserve"> </w:t>
      </w:r>
      <w:proofErr w:type="spellStart"/>
      <w:r>
        <w:t>if</w:t>
      </w:r>
      <w:proofErr w:type="spellEnd"/>
      <w:r>
        <w:t xml:space="preserve"> the participant </w:t>
      </w:r>
      <w:proofErr w:type="spellStart"/>
      <w:r>
        <w:t>was</w:t>
      </w:r>
      <w:proofErr w:type="spellEnd"/>
      <w:r>
        <w:t xml:space="preserve"> </w:t>
      </w:r>
      <w:proofErr w:type="spellStart"/>
      <w:r>
        <w:t>involved</w:t>
      </w:r>
      <w:proofErr w:type="spellEnd"/>
      <w:r>
        <w:t xml:space="preserve"> in </w:t>
      </w:r>
      <w:proofErr w:type="spellStart"/>
      <w:r>
        <w:t>bisexual</w:t>
      </w:r>
      <w:proofErr w:type="spellEnd"/>
      <w:r>
        <w:t xml:space="preserve"> </w:t>
      </w:r>
      <w:proofErr w:type="spellStart"/>
      <w:r>
        <w:t>community</w:t>
      </w:r>
      <w:proofErr w:type="spellEnd"/>
      <w:r>
        <w:t xml:space="preserve"> </w:t>
      </w:r>
      <w:proofErr w:type="spellStart"/>
      <w:r>
        <w:t>may</w:t>
      </w:r>
      <w:proofErr w:type="spellEnd"/>
      <w:r>
        <w:t xml:space="preserve"> </w:t>
      </w:r>
      <w:proofErr w:type="spellStart"/>
      <w:r>
        <w:t>also</w:t>
      </w:r>
      <w:proofErr w:type="spellEnd"/>
      <w:r>
        <w:t xml:space="preserve"> </w:t>
      </w:r>
      <w:proofErr w:type="spellStart"/>
      <w:r>
        <w:t>be</w:t>
      </w:r>
      <w:proofErr w:type="spellEnd"/>
      <w:r>
        <w:t xml:space="preserve"> </w:t>
      </w:r>
      <w:proofErr w:type="spellStart"/>
      <w:r>
        <w:t>explained</w:t>
      </w:r>
      <w:proofErr w:type="spellEnd"/>
      <w:r>
        <w:t xml:space="preserve"> by </w:t>
      </w:r>
      <w:proofErr w:type="spellStart"/>
      <w:r>
        <w:t>jealousy</w:t>
      </w:r>
      <w:proofErr w:type="spellEnd"/>
      <w:r>
        <w:t xml:space="preserve">. If </w:t>
      </w:r>
      <w:proofErr w:type="spellStart"/>
      <w:r>
        <w:t>greater</w:t>
      </w:r>
      <w:proofErr w:type="spellEnd"/>
      <w:r>
        <w:t xml:space="preserve"> </w:t>
      </w:r>
      <w:proofErr w:type="spellStart"/>
      <w:r>
        <w:t>community</w:t>
      </w:r>
      <w:proofErr w:type="spellEnd"/>
      <w:r>
        <w:t xml:space="preserve"> </w:t>
      </w:r>
      <w:proofErr w:type="spellStart"/>
      <w:r>
        <w:t>involvement</w:t>
      </w:r>
      <w:proofErr w:type="spellEnd"/>
      <w:r>
        <w:t xml:space="preserve"> </w:t>
      </w:r>
      <w:proofErr w:type="spellStart"/>
      <w:r>
        <w:t>creates</w:t>
      </w:r>
      <w:proofErr w:type="spellEnd"/>
      <w:r>
        <w:t xml:space="preserve"> </w:t>
      </w:r>
      <w:proofErr w:type="spellStart"/>
      <w:r>
        <w:t>access</w:t>
      </w:r>
      <w:proofErr w:type="spellEnd"/>
      <w:r>
        <w:t xml:space="preserve"> to </w:t>
      </w:r>
      <w:proofErr w:type="spellStart"/>
      <w:r>
        <w:t>potential</w:t>
      </w:r>
      <w:proofErr w:type="spellEnd"/>
      <w:r>
        <w:t xml:space="preserve"> alternative </w:t>
      </w:r>
      <w:proofErr w:type="spellStart"/>
      <w:r>
        <w:t>sexual</w:t>
      </w:r>
      <w:proofErr w:type="spellEnd"/>
      <w:r>
        <w:t xml:space="preserve"> </w:t>
      </w:r>
      <w:proofErr w:type="spellStart"/>
      <w:r>
        <w:t>partners</w:t>
      </w:r>
      <w:proofErr w:type="spellEnd"/>
      <w:r>
        <w:t xml:space="preserve">, </w:t>
      </w:r>
      <w:proofErr w:type="spellStart"/>
      <w:r>
        <w:t>jealousy</w:t>
      </w:r>
      <w:proofErr w:type="spellEnd"/>
      <w:r>
        <w:t xml:space="preserve"> of </w:t>
      </w:r>
      <w:proofErr w:type="spellStart"/>
      <w:r>
        <w:t>this</w:t>
      </w:r>
      <w:proofErr w:type="spellEnd"/>
      <w:r>
        <w:t xml:space="preserve"> </w:t>
      </w:r>
      <w:proofErr w:type="spellStart"/>
      <w:r>
        <w:t>possibility</w:t>
      </w:r>
      <w:proofErr w:type="spellEnd"/>
      <w:r>
        <w:t xml:space="preserve"> </w:t>
      </w:r>
      <w:proofErr w:type="spellStart"/>
      <w:r>
        <w:t>may</w:t>
      </w:r>
      <w:proofErr w:type="spellEnd"/>
      <w:r>
        <w:t xml:space="preserve"> </w:t>
      </w:r>
      <w:proofErr w:type="spellStart"/>
      <w:r>
        <w:t>contribute</w:t>
      </w:r>
      <w:proofErr w:type="spellEnd"/>
      <w:r>
        <w:t xml:space="preserve"> to IPV.</w:t>
      </w:r>
    </w:p>
    <w:p w14:paraId="1BBBB84A" w14:textId="411AD650" w:rsidR="00A16CE8" w:rsidRDefault="00A16CE8" w:rsidP="00DE1CBA">
      <w:pPr>
        <w:pStyle w:val="Textbody"/>
      </w:pPr>
      <w:r>
        <w:t xml:space="preserve">La situation des bisexuel∙les dans les violences conjugales est particulièrement intéressante, les études anglo-saxonnes montrent </w:t>
      </w:r>
      <w:r w:rsidR="00315AAD">
        <w:t>des prévalences plus importantes</w:t>
      </w:r>
      <w:r>
        <w:t xml:space="preserve"> que chez les hétérosexuelles et lesbiennes (</w:t>
      </w:r>
      <w:r w:rsidRPr="00A16CE8">
        <w:rPr>
          <w:highlight w:val="yellow"/>
        </w:rPr>
        <w:t xml:space="preserve">reprendre toutes </w:t>
      </w:r>
      <w:proofErr w:type="spellStart"/>
      <w:r w:rsidRPr="00A16CE8">
        <w:rPr>
          <w:highlight w:val="yellow"/>
        </w:rPr>
        <w:t>ref</w:t>
      </w:r>
      <w:proofErr w:type="spellEnd"/>
      <w:r w:rsidRPr="00A16CE8">
        <w:rPr>
          <w:highlight w:val="yellow"/>
        </w:rPr>
        <w:t xml:space="preserve"> et faire revue littérature courte).</w:t>
      </w:r>
    </w:p>
    <w:p w14:paraId="035AA2B7" w14:textId="0E34C6E3" w:rsidR="00A16CE8" w:rsidRDefault="00A16CE8" w:rsidP="009B6ACB">
      <w:pPr>
        <w:pStyle w:val="Textbody"/>
      </w:pPr>
      <w:r>
        <w:t xml:space="preserve">On pose l’hypothèse qu’elles déclarent plus de violence quand elles sont en couple avec des </w:t>
      </w:r>
      <w:commentRangeStart w:id="2"/>
      <w:r>
        <w:t>hommes</w:t>
      </w:r>
      <w:commentRangeEnd w:id="2"/>
      <w:r w:rsidR="000C0407">
        <w:rPr>
          <w:rStyle w:val="Marquedecommentaire"/>
          <w:rFonts w:ascii="Aptos" w:eastAsia="Aptos" w:hAnsi="Aptos" w:cs="F"/>
        </w:rPr>
        <w:commentReference w:id="2"/>
      </w:r>
      <w:r>
        <w:t xml:space="preserve">. Toutefois on suppose que </w:t>
      </w:r>
      <w:r w:rsidR="000C0407">
        <w:t xml:space="preserve">leur déclaration ne se réduit pas au type de couple. En effet on veut observer s’il y a une spécificité des violences déclarées par rapport aux hétérosexuelles quand elles sont en couple avec un homme. Pour cela nous utiliserons la base en population générale. Pour la comparaison en couple de même sexe il faudra s’intéresser à l’échantillon de convenance. L’approche de Tania part d’abord d’une comparaison des violences déclarées par les femmes en couple de même sexe et en couple de sexe différent, au cours de la vie avant les 12 mois précédant l’enquête, </w:t>
      </w:r>
      <w:r w:rsidR="008745E0">
        <w:t>quel que</w:t>
      </w:r>
      <w:r w:rsidR="000C0407">
        <w:t xml:space="preserve"> soit l’identification sexuelle actuelle. Cela lui permet d’observer les faits et types de violences commises par les hommes et par les femmes sur les femmes et leurs conséquences. Elle s’intéresse ensuite aux violences déclarées selon l’identification sexuelle actuelle. En agglomérant les deux bases et en prenant les violences au cours de la vie avant les 12 mois précédant l’enquête elle propose une </w:t>
      </w:r>
      <w:proofErr w:type="spellStart"/>
      <w:r w:rsidR="000C0407">
        <w:t>cah</w:t>
      </w:r>
      <w:proofErr w:type="spellEnd"/>
      <w:r w:rsidR="000C0407">
        <w:t xml:space="preserve"> qui prend en compte la gravité, la nature et le cumul potentiel de types de violence (poly-victimation). Ici le point d’entrée sera toujours l’identification, même quand une séparation par type de couple est faite, dans Virage LGBT par exemple, elle s’appuiera sur les personnes en couple au moment de l’enquête, se déclarant bis. Plutôt qu’un écart de déclaration nous cherchons à comprendre les formes et faits de violence déclarées par les bies. </w:t>
      </w:r>
    </w:p>
    <w:p w14:paraId="19BEAB0A" w14:textId="249A026D" w:rsidR="008745E0" w:rsidRDefault="008745E0" w:rsidP="009B6ACB">
      <w:pPr>
        <w:pStyle w:val="Textbody"/>
      </w:pPr>
      <w:r w:rsidRPr="008745E0">
        <w:rPr>
          <w:highlight w:val="yellow"/>
        </w:rPr>
        <w:t>Topo sur les limites / avantages à prendre les 12 derniers mois (voir livre Virage).</w:t>
      </w:r>
      <w:r>
        <w:t xml:space="preserve"> </w:t>
      </w:r>
    </w:p>
    <w:p w14:paraId="435BCEEA" w14:textId="72F38359" w:rsidR="00F3048A" w:rsidRDefault="00F3048A" w:rsidP="009B6ACB">
      <w:pPr>
        <w:pStyle w:val="Textbody"/>
      </w:pPr>
      <w:r>
        <w:t xml:space="preserve">Mettre quelque part les limites du questionnaire (pas de question sur la perpétuation des violences). Reprendre le rendu violences.  </w:t>
      </w:r>
    </w:p>
    <w:p w14:paraId="523CA5B7" w14:textId="26D3C0D9" w:rsidR="004C7E05" w:rsidRDefault="00F3048A" w:rsidP="004D095E">
      <w:pPr>
        <w:pStyle w:val="Titre2"/>
        <w:numPr>
          <w:ilvl w:val="0"/>
          <w:numId w:val="33"/>
        </w:numPr>
      </w:pPr>
      <w:r>
        <w:lastRenderedPageBreak/>
        <w:t xml:space="preserve">Les violences psychologiques déclarées par les bisexuelles en population générale </w:t>
      </w:r>
    </w:p>
    <w:p w14:paraId="3F08F67C" w14:textId="1F0953F8" w:rsidR="003C06C6" w:rsidRDefault="003C06C6" w:rsidP="003C06C6">
      <w:pPr>
        <w:pStyle w:val="Textbody"/>
      </w:pPr>
      <w:r>
        <w:t xml:space="preserve">Nous commençons par observer des indicateurs globaux de violence, construits post-enquête sur la base en population générale. Ils sont particulièrement utiles pour aborder nos effectifs réduits avant d'entrer dans le détail des types de violence. </w:t>
      </w:r>
      <w:commentRangeStart w:id="3"/>
      <w:r>
        <w:t xml:space="preserve">Nous n'avons pas le détail de construction de ces indicateurs </w:t>
      </w:r>
      <w:commentRangeEnd w:id="3"/>
      <w:r w:rsidR="00A16CE8">
        <w:rPr>
          <w:rStyle w:val="Marquedecommentaire"/>
          <w:rFonts w:ascii="Aptos" w:eastAsia="Aptos" w:hAnsi="Aptos" w:cs="F"/>
        </w:rPr>
        <w:commentReference w:id="3"/>
      </w:r>
      <w:r>
        <w:t>; ils reposent sur les modules couple, ex-conjoint·e dans les douze derniers mois et au cours de la vie (avant les douze derniers mois). Les questions des différents modules permettent d'établir différents niveaux de violence, que nous réunissons ici en une occurrence simple oui/non, pour correspondre à nos effectifs</w:t>
      </w:r>
      <w:r w:rsidR="002333BC">
        <w:t>.</w:t>
      </w:r>
      <w:r w:rsidR="009B6ACB">
        <w:t xml:space="preserve"> </w:t>
      </w:r>
    </w:p>
    <w:p w14:paraId="5204017D" w14:textId="16FE90E2" w:rsidR="007118E3" w:rsidRDefault="00B20AF8">
      <w:pPr>
        <w:pStyle w:val="Table"/>
      </w:pPr>
      <w:r>
        <w:t>Table </w:t>
      </w:r>
      <w:r w:rsidR="005D5189">
        <w:t>12</w:t>
      </w:r>
      <w:r w:rsidR="00DC2108">
        <w:t>a</w:t>
      </w:r>
      <w:r>
        <w:t xml:space="preserve"> : </w:t>
      </w:r>
      <w:r w:rsidR="005D5189" w:rsidRPr="005D5189">
        <w:t>Indicateur global de violence dans le couple dans les 12 derniers mois</w:t>
      </w:r>
      <w:r>
        <w:t>.</w:t>
      </w:r>
    </w:p>
    <w:tbl>
      <w:tblPr>
        <w:tblW w:w="5000" w:type="pct"/>
        <w:jc w:val="center"/>
        <w:tblLayout w:type="fixed"/>
        <w:tblLook w:val="0420" w:firstRow="1" w:lastRow="0" w:firstColumn="0" w:lastColumn="0" w:noHBand="0" w:noVBand="1"/>
      </w:tblPr>
      <w:tblGrid>
        <w:gridCol w:w="2431"/>
        <w:gridCol w:w="1158"/>
        <w:gridCol w:w="1157"/>
        <w:gridCol w:w="1157"/>
        <w:gridCol w:w="1157"/>
        <w:gridCol w:w="1157"/>
        <w:gridCol w:w="1157"/>
      </w:tblGrid>
      <w:tr w:rsidR="009E54A4" w:rsidRPr="005D5189" w14:paraId="15FDE051" w14:textId="77777777" w:rsidTr="009E54A4">
        <w:trPr>
          <w:tblHeader/>
          <w:jc w:val="center"/>
        </w:trPr>
        <w:tc>
          <w:tcPr>
            <w:tcW w:w="2438"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6E6D9528" w14:textId="77777777" w:rsidR="009E54A4" w:rsidRPr="005D5189" w:rsidRDefault="009E54A4" w:rsidP="003319FD">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83"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B02FD0" w14:textId="2FD3DA33" w:rsidR="009E54A4" w:rsidRPr="005D5189" w:rsidRDefault="009E54A4"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Femmes</w:t>
            </w:r>
          </w:p>
        </w:tc>
        <w:tc>
          <w:tcPr>
            <w:tcW w:w="348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5FEF32F6" w14:textId="1C5F2CDD" w:rsidR="009E54A4" w:rsidRPr="005D5189" w:rsidRDefault="009E54A4"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Hommes</w:t>
            </w:r>
          </w:p>
        </w:tc>
      </w:tr>
      <w:tr w:rsidR="005D5189" w:rsidRPr="005D5189" w14:paraId="5371783E" w14:textId="77777777" w:rsidTr="009E54A4">
        <w:trPr>
          <w:tblHeader/>
          <w:jc w:val="center"/>
        </w:trPr>
        <w:tc>
          <w:tcPr>
            <w:tcW w:w="2438"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8E899DC" w14:textId="6329A7C8" w:rsidR="005D5189" w:rsidRPr="005D5189" w:rsidRDefault="005D5189" w:rsidP="005D5189">
            <w:pPr>
              <w:pBdr>
                <w:top w:val="none" w:sz="0" w:space="0" w:color="000000"/>
                <w:left w:val="none" w:sz="0" w:space="0" w:color="000000"/>
                <w:bottom w:val="none" w:sz="0" w:space="0" w:color="000000"/>
                <w:right w:val="none" w:sz="0" w:space="0" w:color="000000"/>
              </w:pBdr>
              <w:spacing w:before="40" w:after="40"/>
              <w:ind w:right="100"/>
              <w:rPr>
                <w:rFonts w:ascii="Times New Roman" w:eastAsia="Arial" w:hAnsi="Times New Roman" w:cs="Times New Roman"/>
                <w:color w:val="000000"/>
                <w:sz w:val="14"/>
                <w:szCs w:val="14"/>
              </w:rPr>
            </w:pP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E637BAB"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(64)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8C1495"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(75)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DFE5A38" w14:textId="5081C360"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125)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970141"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(89)</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17E52A"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(34)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52BF7232" w14:textId="1D311D88" w:rsidR="005D5189" w:rsidRPr="005D5189" w:rsidRDefault="005D5189"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(8</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038)</w:t>
            </w:r>
            <w:r w:rsidRPr="005D5189">
              <w:rPr>
                <w:rFonts w:ascii="Times New Roman" w:eastAsia="Arial" w:hAnsi="Times New Roman" w:cs="Times New Roman"/>
                <w:color w:val="000000"/>
                <w:sz w:val="14"/>
                <w:szCs w:val="14"/>
                <w:vertAlign w:val="superscript"/>
              </w:rPr>
              <w:t>1</w:t>
            </w:r>
          </w:p>
        </w:tc>
      </w:tr>
      <w:tr w:rsidR="009E54A4" w:rsidRPr="005D5189" w14:paraId="350C2715" w14:textId="77777777" w:rsidTr="009E54A4">
        <w:trPr>
          <w:jc w:val="center"/>
        </w:trPr>
        <w:tc>
          <w:tcPr>
            <w:tcW w:w="9404"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2436F0C0" w14:textId="4C90FA86" w:rsidR="009E54A4" w:rsidRPr="005D5189" w:rsidRDefault="009E54A4" w:rsidP="009E54A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5D5189">
              <w:rPr>
                <w:rFonts w:ascii="Times New Roman" w:eastAsia="Arial" w:hAnsi="Times New Roman" w:cs="Times New Roman"/>
                <w:bCs/>
                <w:i/>
                <w:iCs/>
                <w:color w:val="000000"/>
                <w:sz w:val="14"/>
                <w:szCs w:val="14"/>
              </w:rPr>
              <w:t>Violence dans le couple au cours des 12 derniers mois</w:t>
            </w:r>
          </w:p>
        </w:tc>
      </w:tr>
      <w:tr w:rsidR="005D5189" w:rsidRPr="005D5189" w14:paraId="3E5F3342" w14:textId="77777777" w:rsidTr="009E54A4">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2E440EBF"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Oui</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03F67F1F" w14:textId="718D4A1A"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(2)</w:t>
            </w:r>
            <w:r w:rsidRPr="005D5189">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sidRPr="005D5189">
              <w:rPr>
                <w:rFonts w:ascii="Times New Roman" w:eastAsia="Arial" w:hAnsi="Times New Roman" w:cs="Times New Roman"/>
                <w:color w:val="000000"/>
                <w:sz w:val="14"/>
                <w:szCs w:val="14"/>
                <w:vertAlign w:val="superscript"/>
              </w:rPr>
              <w:t>3</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277718D" w14:textId="0F39C071"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20.9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(14)</w:t>
            </w:r>
            <w:r w:rsidRPr="005D5189">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B4BE4EB" w14:textId="068E4F21"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5.2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(540)</w:t>
            </w:r>
            <w:r w:rsidRPr="005D5189">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736AB2B6" w14:textId="09653D4D"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(4)</w:t>
            </w:r>
            <w:r w:rsidRPr="005D5189">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F56F4D0" w14:textId="79D06651"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12.5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35]</w:t>
            </w:r>
          </w:p>
        </w:tc>
        <w:tc>
          <w:tcPr>
            <w:tcW w:w="1161"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25FAC3C7" w14:textId="3149E1A9"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(315)</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4.2]</w:t>
            </w:r>
          </w:p>
        </w:tc>
      </w:tr>
      <w:tr w:rsidR="005D5189" w:rsidRPr="005D5189" w14:paraId="23C16683" w14:textId="77777777" w:rsidTr="00DC2108">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653E49FC" w14:textId="77777777"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Non</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1A92EAD" w14:textId="0FF0AA6F"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98.4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(62)</w:t>
            </w:r>
            <w:r w:rsidRPr="005D5189">
              <w:rPr>
                <w:rFonts w:ascii="Times New Roman" w:eastAsia="Arial" w:hAnsi="Times New Roman" w:cs="Times New Roman"/>
                <w:color w:val="000000"/>
                <w:sz w:val="14"/>
                <w:szCs w:val="14"/>
              </w:rPr>
              <w:br/>
              <w:t>[93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100]</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72706C6D" w14:textId="6A5EA9B7"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79.1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(61)</w:t>
            </w:r>
            <w:r w:rsidRPr="005D5189">
              <w:rPr>
                <w:rFonts w:ascii="Times New Roman" w:eastAsia="Arial" w:hAnsi="Times New Roman" w:cs="Times New Roman"/>
                <w:color w:val="000000"/>
                <w:sz w:val="14"/>
                <w:szCs w:val="14"/>
              </w:rPr>
              <w:br/>
              <w:t>[64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DFC79AC" w14:textId="4E01AAC6"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94.8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(9,577)</w:t>
            </w:r>
            <w:r w:rsidRPr="005D5189">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D2C0EE9" w14:textId="41FC1E4D"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96.9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(85)</w:t>
            </w:r>
            <w:r w:rsidRPr="005D5189">
              <w:rPr>
                <w:rFonts w:ascii="Times New Roman" w:eastAsia="Arial" w:hAnsi="Times New Roman" w:cs="Times New Roman"/>
                <w:color w:val="000000"/>
                <w:sz w:val="14"/>
                <w:szCs w:val="14"/>
              </w:rPr>
              <w:br/>
              <w:t>[91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0E44C535" w14:textId="0608B9FC"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87.5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w:t>
            </w:r>
            <w:r w:rsidRPr="005D5189">
              <w:rPr>
                <w:rFonts w:ascii="Times New Roman" w:eastAsia="Arial" w:hAnsi="Times New Roman" w:cs="Times New Roman"/>
                <w:color w:val="000000"/>
                <w:sz w:val="14"/>
                <w:szCs w:val="14"/>
              </w:rPr>
              <w:br/>
              <w:t>[65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96]</w:t>
            </w:r>
          </w:p>
        </w:tc>
        <w:tc>
          <w:tcPr>
            <w:tcW w:w="1161" w:type="dxa"/>
            <w:tcBorders>
              <w:left w:val="single" w:sz="4" w:space="0" w:color="auto"/>
              <w:right w:val="single" w:sz="12" w:space="0" w:color="auto"/>
            </w:tcBorders>
            <w:shd w:val="clear" w:color="auto" w:fill="FFFFFF"/>
            <w:tcMar>
              <w:top w:w="0" w:type="dxa"/>
              <w:left w:w="0" w:type="dxa"/>
              <w:bottom w:w="0" w:type="dxa"/>
              <w:right w:w="0" w:type="dxa"/>
            </w:tcMar>
          </w:tcPr>
          <w:p w14:paraId="7F4E3D72" w14:textId="29738695" w:rsidR="005D5189" w:rsidRPr="005D5189" w:rsidRDefault="005D5189"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(7,708)</w:t>
            </w:r>
            <w:r w:rsidRPr="005D5189">
              <w:rPr>
                <w:rFonts w:ascii="Times New Roman" w:eastAsia="Arial" w:hAnsi="Times New Roman" w:cs="Times New Roman"/>
                <w:color w:val="000000"/>
                <w:sz w:val="14"/>
                <w:szCs w:val="14"/>
              </w:rPr>
              <w:br/>
              <w:t>[96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97]</w:t>
            </w:r>
          </w:p>
        </w:tc>
      </w:tr>
      <w:tr w:rsidR="009E54A4" w:rsidRPr="005D5189" w14:paraId="5B85C979" w14:textId="77777777" w:rsidTr="00DC2108">
        <w:trPr>
          <w:jc w:val="center"/>
        </w:trPr>
        <w:tc>
          <w:tcPr>
            <w:tcW w:w="2438"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4B782335" w14:textId="2814F127" w:rsidR="009E54A4" w:rsidRPr="005D5189" w:rsidRDefault="009E54A4" w:rsidP="00DC2108">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5D5189">
              <w:rPr>
                <w:rFonts w:ascii="Times New Roman" w:eastAsia="Arial" w:hAnsi="Times New Roman" w:cs="Times New Roman"/>
                <w:i/>
                <w:iCs/>
                <w:color w:val="000000"/>
                <w:sz w:val="14"/>
                <w:szCs w:val="14"/>
              </w:rPr>
              <w:t>P-valeur</w:t>
            </w:r>
          </w:p>
        </w:tc>
        <w:tc>
          <w:tcPr>
            <w:tcW w:w="3483"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3D31AF88" w14:textId="13598F0B" w:rsidR="009E54A4" w:rsidRPr="005D5189" w:rsidRDefault="009E54A4" w:rsidP="005D51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&lt;0.001</w:t>
            </w:r>
            <w:r w:rsidRPr="005D5189">
              <w:rPr>
                <w:rFonts w:ascii="Times New Roman" w:eastAsia="Arial" w:hAnsi="Times New Roman" w:cs="Times New Roman"/>
                <w:i/>
                <w:iCs/>
                <w:color w:val="000000"/>
                <w:sz w:val="14"/>
                <w:szCs w:val="14"/>
                <w:vertAlign w:val="superscript"/>
              </w:rPr>
              <w:t>2</w:t>
            </w:r>
          </w:p>
        </w:tc>
        <w:tc>
          <w:tcPr>
            <w:tcW w:w="348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3A9D3FAE" w14:textId="1422D360" w:rsidR="009E54A4" w:rsidRPr="005D5189" w:rsidRDefault="009E54A4" w:rsidP="005D5189">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0.064</w:t>
            </w:r>
            <w:r w:rsidRPr="005D5189">
              <w:rPr>
                <w:rFonts w:ascii="Times New Roman" w:eastAsia="Arial" w:hAnsi="Times New Roman" w:cs="Times New Roman"/>
                <w:i/>
                <w:iCs/>
                <w:color w:val="000000"/>
                <w:sz w:val="14"/>
                <w:szCs w:val="14"/>
                <w:vertAlign w:val="superscript"/>
              </w:rPr>
              <w:t>2</w:t>
            </w:r>
          </w:p>
        </w:tc>
      </w:tr>
      <w:tr w:rsidR="009E54A4" w:rsidRPr="005D5189" w14:paraId="2DAD15C8" w14:textId="77777777" w:rsidTr="00DC2108">
        <w:trPr>
          <w:jc w:val="center"/>
        </w:trPr>
        <w:tc>
          <w:tcPr>
            <w:tcW w:w="9404"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4A78ECAE" w14:textId="77777777" w:rsidR="009E54A4" w:rsidRP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1C1C9C51" w14:textId="77777777" w:rsidR="009E54A4" w:rsidRP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74DD0040" w14:textId="77777777" w:rsid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514F7B95" w14:textId="77777777" w:rsid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5C3C41C3" w14:textId="77777777" w:rsid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1DB46C57" w14:textId="7DC07B04" w:rsidR="009E54A4" w:rsidRPr="009E54A4" w:rsidRDefault="009E54A4" w:rsidP="009E54A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3C760852" w14:textId="5B3AF6C0" w:rsidR="007118E3" w:rsidRDefault="007118E3" w:rsidP="009B6ACB"/>
    <w:p w14:paraId="1DD0088B" w14:textId="77777777" w:rsidR="003C06C6" w:rsidRDefault="003C06C6" w:rsidP="00DC2108">
      <w:pPr>
        <w:pStyle w:val="Textbody"/>
      </w:pPr>
      <w:r>
        <w:t>Les femmes bisexuelles déclarent, au global, plus de violences dans le couple au cours des douze derniers mois que les hétérosexuelles et les lesbiennes : 20,9 % contre 5,2 % et 1,6 %. Chez les hommes, le résultat n'est pas significatif.</w:t>
      </w:r>
    </w:p>
    <w:p w14:paraId="768E4226" w14:textId="77777777" w:rsidR="003C06C6" w:rsidRDefault="003C06C6" w:rsidP="003C06C6">
      <w:pPr>
        <w:pStyle w:val="NormalWeb"/>
      </w:pPr>
      <w:r>
        <w:t>Nous nous demandons maintenant si cette tendance se confirme au cours de la vie.</w:t>
      </w:r>
    </w:p>
    <w:p w14:paraId="5B8D4BD4" w14:textId="44778901" w:rsidR="00DC2108" w:rsidRPr="00DC2108" w:rsidRDefault="00DC2108" w:rsidP="00DC2108">
      <w:pPr>
        <w:pStyle w:val="Table"/>
      </w:pPr>
      <w:commentRangeStart w:id="4"/>
      <w:r>
        <w:t xml:space="preserve">Table 12b : </w:t>
      </w:r>
      <w:r w:rsidRPr="005D5189">
        <w:t xml:space="preserve">Indicateur global de violence dans le couple </w:t>
      </w:r>
      <w:r>
        <w:t>avant</w:t>
      </w:r>
      <w:r w:rsidRPr="005D5189">
        <w:t xml:space="preserve"> les 12 derniers mois</w:t>
      </w:r>
      <w:r>
        <w:t>.</w:t>
      </w:r>
      <w:commentRangeEnd w:id="4"/>
      <w:r w:rsidR="008745E0">
        <w:rPr>
          <w:rStyle w:val="Marquedecommentaire"/>
          <w:rFonts w:ascii="Aptos" w:eastAsia="Aptos" w:hAnsi="Aptos" w:cs="F"/>
          <w:i w:val="0"/>
        </w:rPr>
        <w:commentReference w:id="4"/>
      </w:r>
    </w:p>
    <w:tbl>
      <w:tblPr>
        <w:tblW w:w="4974" w:type="pct"/>
        <w:jc w:val="center"/>
        <w:tblLook w:val="0420" w:firstRow="1" w:lastRow="0" w:firstColumn="0" w:lastColumn="0" w:noHBand="0" w:noVBand="1"/>
      </w:tblPr>
      <w:tblGrid>
        <w:gridCol w:w="2400"/>
        <w:gridCol w:w="1154"/>
        <w:gridCol w:w="1154"/>
        <w:gridCol w:w="1154"/>
        <w:gridCol w:w="1154"/>
        <w:gridCol w:w="1154"/>
        <w:gridCol w:w="1155"/>
      </w:tblGrid>
      <w:tr w:rsidR="00DC2108" w14:paraId="5DB784DC" w14:textId="77777777" w:rsidTr="003C06C6">
        <w:trPr>
          <w:tblHeader/>
          <w:jc w:val="center"/>
        </w:trPr>
        <w:tc>
          <w:tcPr>
            <w:tcW w:w="2400"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0251B3D0"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62"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39580F" w14:textId="268D81D1"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Femmes</w:t>
            </w:r>
          </w:p>
        </w:tc>
        <w:tc>
          <w:tcPr>
            <w:tcW w:w="346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437AB8D0" w14:textId="419DEB90"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Hommes</w:t>
            </w:r>
          </w:p>
        </w:tc>
      </w:tr>
      <w:tr w:rsidR="00DC2108" w14:paraId="748F15E2" w14:textId="77777777" w:rsidTr="003C06C6">
        <w:trPr>
          <w:tblHeader/>
          <w:jc w:val="center"/>
        </w:trPr>
        <w:tc>
          <w:tcPr>
            <w:tcW w:w="2400"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141ED29" w14:textId="6EEABDE5"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9343675"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(90)</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19E405"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(126)</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4D7288" w14:textId="53203CF9"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(14</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573)</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CD90AD"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(152)</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C341410"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(76)</w:t>
            </w:r>
            <w:r w:rsidRPr="00DC2108">
              <w:rPr>
                <w:rFonts w:ascii="Times New Roman" w:eastAsia="Arial" w:hAnsi="Times New Roman" w:cs="Times New Roman"/>
                <w:color w:val="000000"/>
                <w:sz w:val="14"/>
                <w:szCs w:val="14"/>
                <w:vertAlign w:val="superscript"/>
              </w:rPr>
              <w:t>1</w:t>
            </w:r>
          </w:p>
        </w:tc>
        <w:tc>
          <w:tcPr>
            <w:tcW w:w="1155"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74F29422" w14:textId="4E8EB0C4"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700)</w:t>
            </w:r>
            <w:r w:rsidRPr="00DC2108">
              <w:rPr>
                <w:rFonts w:ascii="Times New Roman" w:eastAsia="Arial" w:hAnsi="Times New Roman" w:cs="Times New Roman"/>
                <w:color w:val="000000"/>
                <w:sz w:val="14"/>
                <w:szCs w:val="14"/>
                <w:vertAlign w:val="superscript"/>
              </w:rPr>
              <w:t>1</w:t>
            </w:r>
          </w:p>
        </w:tc>
      </w:tr>
      <w:tr w:rsidR="00DC2108" w14:paraId="77FDD9DD" w14:textId="77777777" w:rsidTr="003C06C6">
        <w:trPr>
          <w:jc w:val="center"/>
        </w:trPr>
        <w:tc>
          <w:tcPr>
            <w:tcW w:w="9325"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75BD7F43" w14:textId="6BF5020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DC2108">
              <w:rPr>
                <w:rFonts w:ascii="Times New Roman" w:eastAsia="Arial" w:hAnsi="Times New Roman" w:cs="Times New Roman"/>
                <w:bCs/>
                <w:i/>
                <w:iCs/>
                <w:color w:val="000000"/>
                <w:sz w:val="14"/>
                <w:szCs w:val="14"/>
              </w:rPr>
              <w:t>Violence dans le couple (</w:t>
            </w:r>
            <w:proofErr w:type="spellStart"/>
            <w:r w:rsidRPr="00DC2108">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e</w:t>
            </w:r>
            <w:proofErr w:type="spellEnd"/>
            <w:r w:rsidRPr="00DC2108">
              <w:rPr>
                <w:rFonts w:ascii="Times New Roman" w:eastAsia="Arial" w:hAnsi="Times New Roman" w:cs="Times New Roman"/>
                <w:bCs/>
                <w:i/>
                <w:iCs/>
                <w:color w:val="000000"/>
                <w:sz w:val="14"/>
                <w:szCs w:val="14"/>
              </w:rPr>
              <w:t xml:space="preserve"> </w:t>
            </w:r>
            <w:proofErr w:type="spellStart"/>
            <w:r w:rsidRPr="00DC2108">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le</w:t>
            </w:r>
            <w:proofErr w:type="spellEnd"/>
            <w:r w:rsidRPr="00DC2108">
              <w:rPr>
                <w:rFonts w:ascii="Times New Roman" w:eastAsia="Arial" w:hAnsi="Times New Roman" w:cs="Times New Roman"/>
                <w:bCs/>
                <w:i/>
                <w:iCs/>
                <w:color w:val="000000"/>
                <w:sz w:val="14"/>
                <w:szCs w:val="14"/>
              </w:rPr>
              <w:t xml:space="preserve"> ou ex) avant les 12 derniers mois</w:t>
            </w:r>
          </w:p>
        </w:tc>
      </w:tr>
      <w:tr w:rsidR="00DC2108" w14:paraId="55D8C92E" w14:textId="77777777" w:rsidTr="003C06C6">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609BE387"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lastRenderedPageBreak/>
              <w:t>Oui</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5774A6B5"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w:t>
            </w:r>
            <w:r w:rsidRPr="00DC2108">
              <w:rPr>
                <w:rFonts w:ascii="Times New Roman" w:eastAsia="Arial" w:hAnsi="Times New Roman" w:cs="Times New Roman"/>
                <w:color w:val="000000"/>
                <w:sz w:val="14"/>
                <w:szCs w:val="14"/>
              </w:rPr>
              <w:br/>
              <w:t>(8)</w:t>
            </w:r>
            <w:r w:rsidRPr="00DC2108">
              <w:rPr>
                <w:rFonts w:ascii="Times New Roman" w:eastAsia="Arial" w:hAnsi="Times New Roman" w:cs="Times New Roman"/>
                <w:color w:val="000000"/>
                <w:sz w:val="14"/>
                <w:szCs w:val="14"/>
              </w:rPr>
              <w:br/>
              <w:t>[3.3-24]</w:t>
            </w:r>
            <w:r w:rsidRPr="00DC2108">
              <w:rPr>
                <w:rFonts w:ascii="Times New Roman" w:eastAsia="Arial" w:hAnsi="Times New Roman" w:cs="Times New Roman"/>
                <w:color w:val="000000"/>
                <w:sz w:val="14"/>
                <w:szCs w:val="14"/>
                <w:vertAlign w:val="superscript"/>
              </w:rPr>
              <w:t>3</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312C407A"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15.8%</w:t>
            </w:r>
            <w:r w:rsidRPr="00DC2108">
              <w:rPr>
                <w:rFonts w:ascii="Times New Roman" w:eastAsia="Arial" w:hAnsi="Times New Roman" w:cs="Times New Roman"/>
                <w:color w:val="000000"/>
                <w:sz w:val="14"/>
                <w:szCs w:val="14"/>
              </w:rPr>
              <w:br/>
              <w:t>(21)</w:t>
            </w:r>
            <w:r w:rsidRPr="00DC2108">
              <w:rPr>
                <w:rFonts w:ascii="Times New Roman" w:eastAsia="Arial" w:hAnsi="Times New Roman" w:cs="Times New Roman"/>
                <w:color w:val="000000"/>
                <w:sz w:val="14"/>
                <w:szCs w:val="14"/>
              </w:rPr>
              <w:br/>
              <w:t>[9.6-25]</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09B2502E"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6.1%</w:t>
            </w:r>
            <w:r w:rsidRPr="00DC2108">
              <w:rPr>
                <w:rFonts w:ascii="Times New Roman" w:eastAsia="Arial" w:hAnsi="Times New Roman" w:cs="Times New Roman"/>
                <w:color w:val="000000"/>
                <w:sz w:val="14"/>
                <w:szCs w:val="14"/>
              </w:rPr>
              <w:br/>
              <w:t>(1,032)</w:t>
            </w:r>
            <w:r w:rsidRPr="00DC2108">
              <w:rPr>
                <w:rFonts w:ascii="Times New Roman" w:eastAsia="Arial" w:hAnsi="Times New Roman" w:cs="Times New Roman"/>
                <w:color w:val="000000"/>
                <w:sz w:val="14"/>
                <w:szCs w:val="14"/>
              </w:rPr>
              <w:br/>
              <w:t>[5.6-6.6]</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CEF9E4E"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5.0%</w:t>
            </w:r>
            <w:r w:rsidRPr="00DC2108">
              <w:rPr>
                <w:rFonts w:ascii="Times New Roman" w:eastAsia="Arial" w:hAnsi="Times New Roman" w:cs="Times New Roman"/>
                <w:color w:val="000000"/>
                <w:sz w:val="14"/>
                <w:szCs w:val="14"/>
              </w:rPr>
              <w:br/>
              <w:t>(7)</w:t>
            </w:r>
            <w:r w:rsidRPr="00DC2108">
              <w:rPr>
                <w:rFonts w:ascii="Times New Roman" w:eastAsia="Arial" w:hAnsi="Times New Roman" w:cs="Times New Roman"/>
                <w:color w:val="000000"/>
                <w:sz w:val="14"/>
                <w:szCs w:val="14"/>
              </w:rPr>
              <w:br/>
              <w:t>[2.0-12]</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1F98FDBD"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9.6%</w:t>
            </w:r>
            <w:r w:rsidRPr="00DC2108">
              <w:rPr>
                <w:rFonts w:ascii="Times New Roman" w:eastAsia="Arial" w:hAnsi="Times New Roman" w:cs="Times New Roman"/>
                <w:color w:val="000000"/>
                <w:sz w:val="14"/>
                <w:szCs w:val="14"/>
              </w:rPr>
              <w:br/>
              <w:t>(4)</w:t>
            </w:r>
            <w:r w:rsidRPr="00DC2108">
              <w:rPr>
                <w:rFonts w:ascii="Times New Roman" w:eastAsia="Arial" w:hAnsi="Times New Roman" w:cs="Times New Roman"/>
                <w:color w:val="000000"/>
                <w:sz w:val="14"/>
                <w:szCs w:val="14"/>
              </w:rPr>
              <w:br/>
              <w:t>[3.4-24]</w:t>
            </w:r>
          </w:p>
        </w:tc>
        <w:tc>
          <w:tcPr>
            <w:tcW w:w="1155"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4B4B089C"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2.2%</w:t>
            </w:r>
            <w:r w:rsidRPr="00DC2108">
              <w:rPr>
                <w:rFonts w:ascii="Times New Roman" w:eastAsia="Arial" w:hAnsi="Times New Roman" w:cs="Times New Roman"/>
                <w:color w:val="000000"/>
                <w:sz w:val="14"/>
                <w:szCs w:val="14"/>
              </w:rPr>
              <w:br/>
              <w:t>(266)</w:t>
            </w:r>
            <w:r w:rsidRPr="00DC2108">
              <w:rPr>
                <w:rFonts w:ascii="Times New Roman" w:eastAsia="Arial" w:hAnsi="Times New Roman" w:cs="Times New Roman"/>
                <w:color w:val="000000"/>
                <w:sz w:val="14"/>
                <w:szCs w:val="14"/>
              </w:rPr>
              <w:br/>
              <w:t>[1.9-2.5]</w:t>
            </w:r>
          </w:p>
        </w:tc>
      </w:tr>
      <w:tr w:rsidR="00DC2108" w14:paraId="7D1CBBF3" w14:textId="77777777" w:rsidTr="003C06C6">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78AAC439"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Non</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A36A8BB"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90.5%</w:t>
            </w:r>
            <w:r w:rsidRPr="00DC2108">
              <w:rPr>
                <w:rFonts w:ascii="Times New Roman" w:eastAsia="Arial" w:hAnsi="Times New Roman" w:cs="Times New Roman"/>
                <w:color w:val="000000"/>
                <w:sz w:val="14"/>
                <w:szCs w:val="14"/>
              </w:rPr>
              <w:br/>
              <w:t>(82)</w:t>
            </w:r>
            <w:r w:rsidRPr="00DC2108">
              <w:rPr>
                <w:rFonts w:ascii="Times New Roman" w:eastAsia="Arial" w:hAnsi="Times New Roman" w:cs="Times New Roman"/>
                <w:color w:val="000000"/>
                <w:sz w:val="14"/>
                <w:szCs w:val="14"/>
              </w:rPr>
              <w:br/>
              <w:t>[76-97]</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2DF3E8AC"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84.2%</w:t>
            </w:r>
            <w:r w:rsidRPr="00DC2108">
              <w:rPr>
                <w:rFonts w:ascii="Times New Roman" w:eastAsia="Arial" w:hAnsi="Times New Roman" w:cs="Times New Roman"/>
                <w:color w:val="000000"/>
                <w:sz w:val="14"/>
                <w:szCs w:val="14"/>
              </w:rPr>
              <w:br/>
              <w:t>(105)</w:t>
            </w:r>
            <w:r w:rsidRPr="00DC2108">
              <w:rPr>
                <w:rFonts w:ascii="Times New Roman" w:eastAsia="Arial" w:hAnsi="Times New Roman" w:cs="Times New Roman"/>
                <w:color w:val="000000"/>
                <w:sz w:val="14"/>
                <w:szCs w:val="14"/>
              </w:rPr>
              <w:br/>
              <w:t>[75-90]</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0131E70E"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93.9%</w:t>
            </w:r>
            <w:r w:rsidRPr="00DC2108">
              <w:rPr>
                <w:rFonts w:ascii="Times New Roman" w:eastAsia="Arial" w:hAnsi="Times New Roman" w:cs="Times New Roman"/>
                <w:color w:val="000000"/>
                <w:sz w:val="14"/>
                <w:szCs w:val="14"/>
              </w:rPr>
              <w:br/>
              <w:t>(13,537)</w:t>
            </w:r>
            <w:r w:rsidRPr="00DC2108">
              <w:rPr>
                <w:rFonts w:ascii="Times New Roman" w:eastAsia="Arial" w:hAnsi="Times New Roman" w:cs="Times New Roman"/>
                <w:color w:val="000000"/>
                <w:sz w:val="14"/>
                <w:szCs w:val="14"/>
              </w:rPr>
              <w:br/>
              <w:t>[93-94]</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0C934E7"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95.0%</w:t>
            </w:r>
            <w:r w:rsidRPr="00DC2108">
              <w:rPr>
                <w:rFonts w:ascii="Times New Roman" w:eastAsia="Arial" w:hAnsi="Times New Roman" w:cs="Times New Roman"/>
                <w:color w:val="000000"/>
                <w:sz w:val="14"/>
                <w:szCs w:val="14"/>
              </w:rPr>
              <w:br/>
              <w:t>(145)</w:t>
            </w:r>
            <w:r w:rsidRPr="00DC2108">
              <w:rPr>
                <w:rFonts w:ascii="Times New Roman" w:eastAsia="Arial" w:hAnsi="Times New Roman" w:cs="Times New Roman"/>
                <w:color w:val="000000"/>
                <w:sz w:val="14"/>
                <w:szCs w:val="14"/>
              </w:rPr>
              <w:br/>
              <w:t>[88-98]</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01FF5551"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90.4%</w:t>
            </w:r>
            <w:r w:rsidRPr="00DC2108">
              <w:rPr>
                <w:rFonts w:ascii="Times New Roman" w:eastAsia="Arial" w:hAnsi="Times New Roman" w:cs="Times New Roman"/>
                <w:color w:val="000000"/>
                <w:sz w:val="14"/>
                <w:szCs w:val="14"/>
              </w:rPr>
              <w:br/>
              <w:t>(72)</w:t>
            </w:r>
            <w:r w:rsidRPr="00DC2108">
              <w:rPr>
                <w:rFonts w:ascii="Times New Roman" w:eastAsia="Arial" w:hAnsi="Times New Roman" w:cs="Times New Roman"/>
                <w:color w:val="000000"/>
                <w:sz w:val="14"/>
                <w:szCs w:val="14"/>
              </w:rPr>
              <w:br/>
              <w:t>[76-97]</w:t>
            </w:r>
          </w:p>
        </w:tc>
        <w:tc>
          <w:tcPr>
            <w:tcW w:w="1155" w:type="dxa"/>
            <w:tcBorders>
              <w:left w:val="single" w:sz="4" w:space="0" w:color="auto"/>
              <w:right w:val="single" w:sz="12" w:space="0" w:color="auto"/>
            </w:tcBorders>
            <w:shd w:val="clear" w:color="auto" w:fill="FFFFFF"/>
            <w:tcMar>
              <w:top w:w="0" w:type="dxa"/>
              <w:left w:w="0" w:type="dxa"/>
              <w:bottom w:w="0" w:type="dxa"/>
              <w:right w:w="0" w:type="dxa"/>
            </w:tcMar>
          </w:tcPr>
          <w:p w14:paraId="3B78BE45" w14:textId="77777777"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97.8%</w:t>
            </w:r>
            <w:r w:rsidRPr="00DC2108">
              <w:rPr>
                <w:rFonts w:ascii="Times New Roman" w:eastAsia="Arial" w:hAnsi="Times New Roman" w:cs="Times New Roman"/>
                <w:color w:val="000000"/>
                <w:sz w:val="14"/>
                <w:szCs w:val="14"/>
              </w:rPr>
              <w:br/>
              <w:t>(10,433)</w:t>
            </w:r>
            <w:r w:rsidRPr="00DC2108">
              <w:rPr>
                <w:rFonts w:ascii="Times New Roman" w:eastAsia="Arial" w:hAnsi="Times New Roman" w:cs="Times New Roman"/>
                <w:color w:val="000000"/>
                <w:sz w:val="14"/>
                <w:szCs w:val="14"/>
              </w:rPr>
              <w:br/>
              <w:t>[97-98]</w:t>
            </w:r>
          </w:p>
        </w:tc>
      </w:tr>
      <w:tr w:rsidR="00DC2108" w14:paraId="51568690" w14:textId="77777777" w:rsidTr="003C06C6">
        <w:trPr>
          <w:jc w:val="center"/>
        </w:trPr>
        <w:tc>
          <w:tcPr>
            <w:tcW w:w="2400"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21C110F3" w14:textId="055D2CEA"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P-valeur</w:t>
            </w:r>
          </w:p>
        </w:tc>
        <w:tc>
          <w:tcPr>
            <w:tcW w:w="3462"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4C12CA18" w14:textId="0199C812"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0.004</w:t>
            </w:r>
            <w:r w:rsidR="002333BC" w:rsidRPr="005D5189">
              <w:rPr>
                <w:rFonts w:ascii="Times New Roman" w:eastAsia="Arial" w:hAnsi="Times New Roman" w:cs="Times New Roman"/>
                <w:i/>
                <w:iCs/>
                <w:color w:val="000000"/>
                <w:sz w:val="14"/>
                <w:szCs w:val="14"/>
                <w:vertAlign w:val="superscript"/>
              </w:rPr>
              <w:t>2</w:t>
            </w:r>
          </w:p>
        </w:tc>
        <w:tc>
          <w:tcPr>
            <w:tcW w:w="346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66358BDE" w14:textId="039D0746" w:rsidR="00DC2108" w:rsidRPr="00DC2108" w:rsidRDefault="00DC2108" w:rsidP="00DC2108">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0.001</w:t>
            </w:r>
            <w:r w:rsidR="002333BC" w:rsidRPr="005D5189">
              <w:rPr>
                <w:rFonts w:ascii="Times New Roman" w:eastAsia="Arial" w:hAnsi="Times New Roman" w:cs="Times New Roman"/>
                <w:i/>
                <w:iCs/>
                <w:color w:val="000000"/>
                <w:sz w:val="14"/>
                <w:szCs w:val="14"/>
                <w:vertAlign w:val="superscript"/>
              </w:rPr>
              <w:t>2</w:t>
            </w:r>
          </w:p>
        </w:tc>
      </w:tr>
      <w:tr w:rsidR="00DC2108" w14:paraId="103D744F" w14:textId="77777777" w:rsidTr="003C06C6">
        <w:trPr>
          <w:jc w:val="center"/>
        </w:trPr>
        <w:tc>
          <w:tcPr>
            <w:tcW w:w="9325"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158BD287" w14:textId="77777777" w:rsidR="00DC2108" w:rsidRPr="009E54A4" w:rsidRDefault="00DC2108" w:rsidP="00DC2108">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30184269" w14:textId="77777777" w:rsidR="00DC2108" w:rsidRPr="009E54A4" w:rsidRDefault="00DC2108" w:rsidP="00DC2108">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2DB886EB" w14:textId="77777777" w:rsidR="00DC2108" w:rsidRDefault="00DC2108" w:rsidP="00DC2108">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1B1CB7DF" w14:textId="77777777" w:rsidR="00DC2108" w:rsidRDefault="00DC2108" w:rsidP="00DC2108">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37C698F7" w14:textId="77777777" w:rsidR="00DC2108" w:rsidRDefault="00DC2108" w:rsidP="00DC2108">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57E1E5E5" w14:textId="58E702FC" w:rsidR="00DC2108" w:rsidRPr="00DC2108" w:rsidRDefault="00DC2108" w:rsidP="00DC2108">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576C55BD" w14:textId="5167CEAE" w:rsidR="003C06C6" w:rsidRDefault="003C06C6" w:rsidP="003C06C6">
      <w:pPr>
        <w:pStyle w:val="NormalWeb"/>
        <w:spacing w:line="360" w:lineRule="auto"/>
        <w:jc w:val="both"/>
      </w:pPr>
      <w:r>
        <w:t xml:space="preserve">Les bisexuelles déclarent également plus de violences avant les douze derniers mois, mais le résultat n'est ici significatif que par rapport aux hétérosexuelles : 15,8 % contre 6,1 %. Les résultats deviennent en revanche significatifs chez les hommes, les bisexuels </w:t>
      </w:r>
      <w:r w:rsidR="008745E0">
        <w:t xml:space="preserve">(n = 4) </w:t>
      </w:r>
      <w:r>
        <w:t>déclarant plus de violence dans le couple que les hétérosexuels (9,6 % contre 2,2 %). Ces indicateurs globaux ne nous disent en revanche rien du type de violence déclaré — physique, psychologique ou sexuelle.</w:t>
      </w:r>
    </w:p>
    <w:p w14:paraId="72220FD2" w14:textId="748906EB" w:rsidR="003C06C6" w:rsidRDefault="003C06C6" w:rsidP="003C06C6">
      <w:pPr>
        <w:pStyle w:val="NormalWeb"/>
        <w:spacing w:line="360" w:lineRule="auto"/>
        <w:jc w:val="both"/>
      </w:pPr>
      <w:r>
        <w:t xml:space="preserve">À noter qu'à ce stade, les déclarations de violence des lesbiennes, gays et </w:t>
      </w:r>
      <w:r w:rsidR="008745E0">
        <w:t>hommes bis</w:t>
      </w:r>
      <w:r>
        <w:t xml:space="preserve"> ne dépassent pas dix individus en population générale, ce qui limite fortement la production de résultats statistiques robustes. Nous utilisons donc dans un premier temps l'enquête PG pour comparer les bisexuelles aux hétérosexuelles, avant d'approfondir l'étude des autres groupes à l'aide de l'enquête LGBT.</w:t>
      </w:r>
    </w:p>
    <w:p w14:paraId="489062E6" w14:textId="6B4CCA36" w:rsidR="00E441B7" w:rsidRDefault="00E441B7" w:rsidP="00E441B7">
      <w:pPr>
        <w:pStyle w:val="Table"/>
      </w:pPr>
      <w:r>
        <w:t>Table 13a : Types de</w:t>
      </w:r>
      <w:r w:rsidRPr="005D5189">
        <w:t xml:space="preserve"> violence dans le couple </w:t>
      </w:r>
      <w:r w:rsidR="00241B01">
        <w:t>dans</w:t>
      </w:r>
      <w:r w:rsidRPr="005D5189">
        <w:t xml:space="preserve"> les 12 derniers mois</w:t>
      </w:r>
      <w:r>
        <w:t>.</w:t>
      </w:r>
    </w:p>
    <w:tbl>
      <w:tblPr>
        <w:tblW w:w="5000" w:type="pct"/>
        <w:jc w:val="center"/>
        <w:tblLook w:val="0420" w:firstRow="1" w:lastRow="0" w:firstColumn="0" w:lastColumn="0" w:noHBand="0" w:noVBand="1"/>
      </w:tblPr>
      <w:tblGrid>
        <w:gridCol w:w="2404"/>
        <w:gridCol w:w="2956"/>
        <w:gridCol w:w="2956"/>
        <w:gridCol w:w="1068"/>
      </w:tblGrid>
      <w:tr w:rsidR="00F23351" w14:paraId="65E56AEB" w14:textId="77777777" w:rsidTr="00F23351">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89D79D" w14:textId="77777777" w:rsidR="00F23351" w:rsidRPr="00F23351" w:rsidRDefault="00F23351" w:rsidP="003319FD">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150" w:type="pct"/>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810CC4" w14:textId="656FD550" w:rsidR="00F23351" w:rsidRPr="00F23351" w:rsidRDefault="00F23351"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F23351">
              <w:rPr>
                <w:rFonts w:ascii="Times New Roman" w:eastAsia="Arial" w:hAnsi="Times New Roman" w:cs="Times New Roman"/>
                <w:b/>
                <w:color w:val="000000"/>
                <w:sz w:val="14"/>
                <w:szCs w:val="14"/>
              </w:rPr>
              <w:t>Virage PG — Femmes</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1D36563" w14:textId="77777777" w:rsidR="00F23351" w:rsidRPr="00F23351" w:rsidRDefault="00F23351"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F23351" w14:paraId="18245E25" w14:textId="77777777" w:rsidTr="00F23351">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859C93" w14:textId="4114BA97" w:rsidR="004628CC" w:rsidRPr="00F23351" w:rsidRDefault="004628CC" w:rsidP="003319FD">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D4878B"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Bi</w:t>
            </w:r>
            <w:r w:rsidRPr="00F23351">
              <w:rPr>
                <w:rFonts w:ascii="Times New Roman" w:eastAsia="Arial" w:hAnsi="Times New Roman" w:cs="Times New Roman"/>
                <w:color w:val="000000"/>
                <w:sz w:val="14"/>
                <w:szCs w:val="14"/>
              </w:rPr>
              <w:br/>
              <w:t>(75)</w:t>
            </w:r>
            <w:r w:rsidRPr="00F23351">
              <w:rPr>
                <w:rFonts w:ascii="Times New Roman" w:eastAsia="Arial" w:hAnsi="Times New Roman" w:cs="Times New Roman"/>
                <w:color w:val="000000"/>
                <w:sz w:val="14"/>
                <w:szCs w:val="14"/>
                <w:vertAlign w:val="superscript"/>
              </w:rPr>
              <w:t>1</w:t>
            </w: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60DF07"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Hétéro</w:t>
            </w:r>
            <w:r w:rsidRPr="00F23351">
              <w:rPr>
                <w:rFonts w:ascii="Times New Roman" w:eastAsia="Arial" w:hAnsi="Times New Roman" w:cs="Times New Roman"/>
                <w:color w:val="000000"/>
                <w:sz w:val="14"/>
                <w:szCs w:val="14"/>
              </w:rPr>
              <w:br/>
              <w:t>(10125)</w:t>
            </w:r>
            <w:r w:rsidRPr="00F23351">
              <w:rPr>
                <w:rFonts w:ascii="Times New Roman" w:eastAsia="Arial" w:hAnsi="Times New Roman" w:cs="Times New Roman"/>
                <w:color w:val="000000"/>
                <w:sz w:val="14"/>
                <w:szCs w:val="14"/>
                <w:vertAlign w:val="superscript"/>
              </w:rPr>
              <w:t>1</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B58C902" w14:textId="6A1CCBB1" w:rsidR="004628CC" w:rsidRPr="00F23351" w:rsidRDefault="004628CC" w:rsidP="003319FD">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P-valeur</w:t>
            </w:r>
            <w:r w:rsidRPr="00F23351">
              <w:rPr>
                <w:rFonts w:ascii="Times New Roman" w:eastAsia="Arial" w:hAnsi="Times New Roman" w:cs="Times New Roman"/>
                <w:bCs/>
                <w:i/>
                <w:iCs/>
                <w:color w:val="000000"/>
                <w:sz w:val="14"/>
                <w:szCs w:val="14"/>
                <w:vertAlign w:val="superscript"/>
              </w:rPr>
              <w:t>2</w:t>
            </w:r>
          </w:p>
        </w:tc>
      </w:tr>
      <w:tr w:rsidR="00F23351" w14:paraId="2748DED5" w14:textId="77777777" w:rsidTr="00F23351">
        <w:trPr>
          <w:jc w:val="center"/>
        </w:trPr>
        <w:tc>
          <w:tcPr>
            <w:tcW w:w="4431" w:type="pct"/>
            <w:gridSpan w:val="3"/>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5432AA14" w14:textId="65483A44" w:rsidR="00F23351" w:rsidRPr="00F23351" w:rsidRDefault="00F23351" w:rsidP="00F2335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c>
          <w:tcPr>
            <w:tcW w:w="569" w:type="pct"/>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36B3B58E" w14:textId="77777777" w:rsidR="00F23351" w:rsidRPr="00F23351" w:rsidRDefault="00F23351"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0,6</w:t>
            </w:r>
          </w:p>
        </w:tc>
      </w:tr>
      <w:tr w:rsidR="00F23351" w14:paraId="42071468" w14:textId="77777777" w:rsidTr="00F2335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3199477A"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6057F2B4"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1,9</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[0,27-12]</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2906C5FF"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br/>
              <w:t>(90)</w:t>
            </w:r>
            <w:r w:rsidRPr="00F23351">
              <w:rPr>
                <w:rFonts w:ascii="Times New Roman" w:eastAsia="Arial" w:hAnsi="Times New Roman" w:cs="Times New Roman"/>
                <w:color w:val="000000"/>
                <w:sz w:val="14"/>
                <w:szCs w:val="14"/>
              </w:rPr>
              <w:br/>
              <w:t>[0,84-1,4]</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03E6A2FA"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F23351" w14:paraId="2A8CF066" w14:textId="77777777" w:rsidTr="00F2335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24A6AD7A"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2959F70A"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98,1</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[88-100]</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7B670CAD"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98,9</w:t>
            </w:r>
            <w:r w:rsidRPr="00F23351">
              <w:rPr>
                <w:rFonts w:ascii="Times New Roman" w:eastAsia="Arial" w:hAnsi="Times New Roman" w:cs="Times New Roman"/>
                <w:color w:val="000000"/>
                <w:sz w:val="14"/>
                <w:szCs w:val="14"/>
              </w:rPr>
              <w:br/>
              <w:t>(10 032)</w:t>
            </w:r>
            <w:r w:rsidRPr="00F23351">
              <w:rPr>
                <w:rFonts w:ascii="Times New Roman" w:eastAsia="Arial" w:hAnsi="Times New Roman" w:cs="Times New Roman"/>
                <w:color w:val="000000"/>
                <w:sz w:val="14"/>
                <w:szCs w:val="14"/>
              </w:rPr>
              <w:br/>
              <w:t>[99-99]</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3B5E4514"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F23351" w14:paraId="66EAE208" w14:textId="77777777" w:rsidTr="00F23351">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0F1E373D" w14:textId="3566F72F" w:rsidR="00F23351" w:rsidRPr="00F23351" w:rsidRDefault="00F23351" w:rsidP="00F2335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psyc</w:t>
            </w:r>
            <w:r w:rsidR="00EF3394">
              <w:rPr>
                <w:rFonts w:ascii="Times New Roman" w:eastAsia="Arial" w:hAnsi="Times New Roman" w:cs="Times New Roman"/>
                <w:bCs/>
                <w:i/>
                <w:iCs/>
                <w:color w:val="000000"/>
                <w:sz w:val="14"/>
                <w:szCs w:val="14"/>
              </w:rPr>
              <w:t>hologique</w:t>
            </w:r>
            <w:r w:rsidRPr="00F23351">
              <w:rPr>
                <w:rFonts w:ascii="Times New Roman" w:eastAsia="Arial" w:hAnsi="Times New Roman" w:cs="Times New Roman"/>
                <w:bCs/>
                <w:i/>
                <w:iCs/>
                <w:color w:val="000000"/>
                <w:sz w:val="14"/>
                <w:szCs w:val="14"/>
              </w:rPr>
              <w:t xml:space="preserv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1539D69C" w14:textId="77777777" w:rsidR="00F23351" w:rsidRPr="00F23351" w:rsidRDefault="00F23351"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&lt;0,001</w:t>
            </w:r>
          </w:p>
        </w:tc>
      </w:tr>
      <w:tr w:rsidR="00F23351" w14:paraId="0797D25B" w14:textId="77777777" w:rsidTr="00F2335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5BEE320F"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5C034B87"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br/>
              <w:t>(14)</w:t>
            </w:r>
            <w:r w:rsidRPr="00F23351">
              <w:rPr>
                <w:rFonts w:ascii="Times New Roman" w:eastAsia="Arial" w:hAnsi="Times New Roman" w:cs="Times New Roman"/>
                <w:color w:val="000000"/>
                <w:sz w:val="14"/>
                <w:szCs w:val="14"/>
              </w:rPr>
              <w:br/>
              <w:t>[11-36]</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05757155"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5,1</w:t>
            </w:r>
            <w:r w:rsidRPr="00F23351">
              <w:rPr>
                <w:rFonts w:ascii="Times New Roman" w:eastAsia="Arial" w:hAnsi="Times New Roman" w:cs="Times New Roman"/>
                <w:color w:val="000000"/>
                <w:sz w:val="14"/>
                <w:szCs w:val="14"/>
              </w:rPr>
              <w:br/>
              <w:t>(532)</w:t>
            </w:r>
            <w:r w:rsidRPr="00F23351">
              <w:rPr>
                <w:rFonts w:ascii="Times New Roman" w:eastAsia="Arial" w:hAnsi="Times New Roman" w:cs="Times New Roman"/>
                <w:color w:val="000000"/>
                <w:sz w:val="14"/>
                <w:szCs w:val="14"/>
              </w:rPr>
              <w:br/>
              <w:t>[4,6-5,7]</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058983F4"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F23351" w14:paraId="5F8343B9" w14:textId="77777777" w:rsidTr="00F2335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666D8EB3"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lastRenderedPageBreak/>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14085839"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79,1</w:t>
            </w:r>
            <w:r w:rsidRPr="00F23351">
              <w:rPr>
                <w:rFonts w:ascii="Times New Roman" w:eastAsia="Arial" w:hAnsi="Times New Roman" w:cs="Times New Roman"/>
                <w:color w:val="000000"/>
                <w:sz w:val="14"/>
                <w:szCs w:val="14"/>
              </w:rPr>
              <w:br/>
              <w:t>(61)</w:t>
            </w:r>
            <w:r w:rsidRPr="00F23351">
              <w:rPr>
                <w:rFonts w:ascii="Times New Roman" w:eastAsia="Arial" w:hAnsi="Times New Roman" w:cs="Times New Roman"/>
                <w:color w:val="000000"/>
                <w:sz w:val="14"/>
                <w:szCs w:val="14"/>
              </w:rPr>
              <w:br/>
              <w:t>[64-89]</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1F2D4B77"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94,9</w:t>
            </w:r>
            <w:r w:rsidRPr="00F23351">
              <w:rPr>
                <w:rFonts w:ascii="Times New Roman" w:eastAsia="Arial" w:hAnsi="Times New Roman" w:cs="Times New Roman"/>
                <w:color w:val="000000"/>
                <w:sz w:val="14"/>
                <w:szCs w:val="14"/>
              </w:rPr>
              <w:br/>
              <w:t>(9 592)</w:t>
            </w:r>
            <w:r w:rsidRPr="00F23351">
              <w:rPr>
                <w:rFonts w:ascii="Times New Roman" w:eastAsia="Arial" w:hAnsi="Times New Roman" w:cs="Times New Roman"/>
                <w:color w:val="000000"/>
                <w:sz w:val="14"/>
                <w:szCs w:val="14"/>
              </w:rPr>
              <w:br/>
              <w:t>[94-95]</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27B4D605"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F23351" w14:paraId="4041F66D" w14:textId="77777777" w:rsidTr="00F23351">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0265DBF3" w14:textId="627DDD3C" w:rsidR="00F23351" w:rsidRPr="00F23351" w:rsidRDefault="00F23351" w:rsidP="00F2335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sexuelle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18B3AEB4" w14:textId="77777777" w:rsidR="00F23351" w:rsidRPr="00F23351" w:rsidRDefault="00F23351"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0,3</w:t>
            </w:r>
          </w:p>
        </w:tc>
      </w:tr>
      <w:tr w:rsidR="00F23351" w14:paraId="10FE8165" w14:textId="77777777" w:rsidTr="00F23351">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3D978592"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78EC00EF"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0,6</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[0,09-4,5]</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10ECDB4B"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0,2</w:t>
            </w:r>
            <w:r w:rsidRPr="00F23351">
              <w:rPr>
                <w:rFonts w:ascii="Times New Roman" w:eastAsia="Arial" w:hAnsi="Times New Roman" w:cs="Times New Roman"/>
                <w:color w:val="000000"/>
                <w:sz w:val="14"/>
                <w:szCs w:val="14"/>
              </w:rPr>
              <w:br/>
              <w:t>(24)</w:t>
            </w:r>
            <w:r w:rsidRPr="00F23351">
              <w:rPr>
                <w:rFonts w:ascii="Times New Roman" w:eastAsia="Arial" w:hAnsi="Times New Roman" w:cs="Times New Roman"/>
                <w:color w:val="000000"/>
                <w:sz w:val="14"/>
                <w:szCs w:val="14"/>
              </w:rPr>
              <w:br/>
              <w:t>[0,13-0,36]</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69A5997F"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F23351" w14:paraId="1FC20673" w14:textId="77777777" w:rsidTr="00F23351">
        <w:trPr>
          <w:jc w:val="center"/>
        </w:trPr>
        <w:tc>
          <w:tcPr>
            <w:tcW w:w="1281"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0EB6B485"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123807F8"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99,4</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[96-100]</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A966AAC"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99,8</w:t>
            </w:r>
            <w:r w:rsidRPr="00F23351">
              <w:rPr>
                <w:rFonts w:ascii="Times New Roman" w:eastAsia="Arial" w:hAnsi="Times New Roman" w:cs="Times New Roman"/>
                <w:color w:val="000000"/>
                <w:sz w:val="14"/>
                <w:szCs w:val="14"/>
              </w:rPr>
              <w:br/>
              <w:t>(10 095)</w:t>
            </w:r>
            <w:r w:rsidRPr="00F23351">
              <w:rPr>
                <w:rFonts w:ascii="Times New Roman" w:eastAsia="Arial" w:hAnsi="Times New Roman" w:cs="Times New Roman"/>
                <w:color w:val="000000"/>
                <w:sz w:val="14"/>
                <w:szCs w:val="14"/>
              </w:rPr>
              <w:br/>
              <w:t>[100-100]</w:t>
            </w:r>
          </w:p>
        </w:tc>
        <w:tc>
          <w:tcPr>
            <w:tcW w:w="569"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4786F717" w14:textId="77777777" w:rsidR="004628CC" w:rsidRPr="00F23351" w:rsidRDefault="004628CC" w:rsidP="003319FD">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F23351" w14:paraId="0E09FA3A" w14:textId="77777777" w:rsidTr="00F23351">
        <w:trPr>
          <w:trHeight w:val="1417"/>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024A116" w14:textId="77777777" w:rsidR="00F23351" w:rsidRP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non-pondérés entre parenthèses.</w:t>
            </w:r>
          </w:p>
          <w:p w14:paraId="0844865D" w14:textId="77777777" w:rsidR="00F23351" w:rsidRP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0C2BAFA8" w14:textId="77777777" w:rsid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0F9C59B0" w14:textId="0502BA5A" w:rsid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en couple dans les 12 mois de l'enquête Virage. Données pondérées</w:t>
            </w:r>
          </w:p>
          <w:p w14:paraId="3867F42F" w14:textId="4ABC91C7" w:rsid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 avec un intervalle de confiance à 95% de [</w:t>
            </w:r>
            <w:r>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36</w:t>
            </w:r>
            <w:r w:rsidRPr="00F23351">
              <w:rPr>
                <w:rFonts w:ascii="Times New Roman" w:eastAsia="Arial" w:hAnsi="Times New Roman" w:cs="Times New Roman"/>
                <w:color w:val="000000"/>
                <w:sz w:val="14"/>
                <w:szCs w:val="14"/>
              </w:rPr>
              <w:t>%].</w:t>
            </w:r>
          </w:p>
          <w:p w14:paraId="717E1C20" w14:textId="59C01163" w:rsidR="00F23351" w:rsidRPr="00F23351" w:rsidRDefault="00F23351" w:rsidP="00F2335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15C77B3B" w14:textId="77777777" w:rsidR="003C06C6" w:rsidRPr="003C06C6" w:rsidRDefault="003C06C6" w:rsidP="003C06C6">
      <w:pPr>
        <w:pStyle w:val="Table"/>
        <w:spacing w:line="360" w:lineRule="auto"/>
        <w:jc w:val="both"/>
        <w:rPr>
          <w:i w:val="0"/>
          <w:iCs/>
        </w:rPr>
      </w:pPr>
      <w:r w:rsidRPr="003C06C6">
        <w:rPr>
          <w:i w:val="0"/>
          <w:iCs/>
        </w:rPr>
        <w:t>En distinguant les types de violence, on constate que ce sont surtout les violences psychologiques qui sont surdéclarées par les bisexuelles : elles en déclarent quatre fois plus que les hétérosexuelles (20,9 % contre 5,1 %).</w:t>
      </w:r>
    </w:p>
    <w:p w14:paraId="5AC200F9" w14:textId="4FDE148E" w:rsidR="00E441B7" w:rsidRDefault="00E441B7" w:rsidP="00E441B7">
      <w:pPr>
        <w:pStyle w:val="Table"/>
      </w:pPr>
      <w:r>
        <w:t>Table 13b : Types</w:t>
      </w:r>
      <w:r w:rsidRPr="005D5189">
        <w:t xml:space="preserve"> de violence dans le couple </w:t>
      </w:r>
      <w:r>
        <w:t>avant</w:t>
      </w:r>
      <w:r w:rsidRPr="005D5189">
        <w:t xml:space="preserve"> les 12 derniers mois</w:t>
      </w:r>
      <w:r>
        <w:t>.</w:t>
      </w:r>
    </w:p>
    <w:tbl>
      <w:tblPr>
        <w:tblW w:w="5000" w:type="pct"/>
        <w:jc w:val="center"/>
        <w:tblLook w:val="0420" w:firstRow="1" w:lastRow="0" w:firstColumn="0" w:lastColumn="0" w:noHBand="0" w:noVBand="1"/>
      </w:tblPr>
      <w:tblGrid>
        <w:gridCol w:w="2263"/>
        <w:gridCol w:w="3095"/>
        <w:gridCol w:w="3097"/>
        <w:gridCol w:w="929"/>
      </w:tblGrid>
      <w:tr w:rsidR="00EF3394" w14:paraId="22B832C6" w14:textId="77777777" w:rsidTr="00EF3394">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2A879AEC"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299"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0682B18D" w14:textId="5AF56EC1"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EF3394">
              <w:rPr>
                <w:rFonts w:ascii="Times New Roman" w:eastAsia="Arial" w:hAnsi="Times New Roman" w:cs="Times New Roman"/>
                <w:b/>
                <w:color w:val="000000"/>
                <w:sz w:val="14"/>
                <w:szCs w:val="14"/>
              </w:rPr>
              <w:t>Virage PG — Femmes</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EE217CE"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EF3394" w14:paraId="1F5FB469" w14:textId="77777777" w:rsidTr="00EF3394">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6AA15AFF" w14:textId="7D711374"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649"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4B2CD8CE"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Bi</w:t>
            </w:r>
            <w:r w:rsidRPr="00EF3394">
              <w:rPr>
                <w:rFonts w:ascii="Times New Roman" w:eastAsia="Arial" w:hAnsi="Times New Roman" w:cs="Times New Roman"/>
                <w:color w:val="000000"/>
                <w:sz w:val="14"/>
                <w:szCs w:val="14"/>
              </w:rPr>
              <w:br/>
              <w:t>(126)</w:t>
            </w:r>
            <w:r w:rsidRPr="00EF3394">
              <w:rPr>
                <w:rFonts w:ascii="Times New Roman" w:eastAsia="Arial" w:hAnsi="Times New Roman" w:cs="Times New Roman"/>
                <w:color w:val="000000"/>
                <w:sz w:val="14"/>
                <w:szCs w:val="14"/>
                <w:vertAlign w:val="superscript"/>
              </w:rPr>
              <w:t>1</w:t>
            </w:r>
          </w:p>
        </w:tc>
        <w:tc>
          <w:tcPr>
            <w:tcW w:w="1650"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12862D75"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Hétéro</w:t>
            </w:r>
            <w:r w:rsidRPr="00EF3394">
              <w:rPr>
                <w:rFonts w:ascii="Times New Roman" w:eastAsia="Arial" w:hAnsi="Times New Roman" w:cs="Times New Roman"/>
                <w:color w:val="000000"/>
                <w:sz w:val="14"/>
                <w:szCs w:val="14"/>
              </w:rPr>
              <w:br/>
              <w:t>(14573)</w:t>
            </w:r>
            <w:r w:rsidRPr="00EF3394">
              <w:rPr>
                <w:rFonts w:ascii="Times New Roman" w:eastAsia="Arial" w:hAnsi="Times New Roman" w:cs="Times New Roman"/>
                <w:color w:val="000000"/>
                <w:sz w:val="14"/>
                <w:szCs w:val="14"/>
                <w:vertAlign w:val="superscript"/>
              </w:rPr>
              <w:t>1</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08A9415" w14:textId="4B926328"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EF3394">
              <w:rPr>
                <w:rFonts w:ascii="Times New Roman" w:eastAsia="Arial" w:hAnsi="Times New Roman" w:cs="Times New Roman"/>
                <w:bCs/>
                <w:i/>
                <w:iCs/>
                <w:color w:val="000000"/>
                <w:sz w:val="14"/>
                <w:szCs w:val="14"/>
              </w:rPr>
              <w:t>P-valeur</w:t>
            </w:r>
            <w:r w:rsidRPr="00EF3394">
              <w:rPr>
                <w:rFonts w:ascii="Times New Roman" w:eastAsia="Arial" w:hAnsi="Times New Roman" w:cs="Times New Roman"/>
                <w:bCs/>
                <w:i/>
                <w:iCs/>
                <w:color w:val="000000"/>
                <w:sz w:val="14"/>
                <w:szCs w:val="14"/>
                <w:vertAlign w:val="superscript"/>
              </w:rPr>
              <w:t>2</w:t>
            </w:r>
          </w:p>
        </w:tc>
      </w:tr>
      <w:tr w:rsidR="00EF3394" w14:paraId="37D582E8" w14:textId="77777777" w:rsidTr="00EF3394">
        <w:trPr>
          <w:jc w:val="center"/>
        </w:trPr>
        <w:tc>
          <w:tcPr>
            <w:tcW w:w="4505" w:type="pct"/>
            <w:gridSpan w:val="3"/>
            <w:tcBorders>
              <w:top w:val="single" w:sz="8" w:space="0" w:color="000000"/>
              <w:left w:val="single" w:sz="8" w:space="0" w:color="000000"/>
              <w:bottom w:val="none" w:sz="0" w:space="0" w:color="000000"/>
            </w:tcBorders>
            <w:shd w:val="clear" w:color="auto" w:fill="FFFFFF"/>
            <w:tcMar>
              <w:top w:w="0" w:type="dxa"/>
              <w:left w:w="0" w:type="dxa"/>
              <w:bottom w:w="0" w:type="dxa"/>
              <w:right w:w="0" w:type="dxa"/>
            </w:tcMar>
          </w:tcPr>
          <w:p w14:paraId="68BED430" w14:textId="278CE181"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Violence physique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single" w:sz="8" w:space="0" w:color="000000"/>
              <w:bottom w:val="none" w:sz="0" w:space="0" w:color="000000"/>
              <w:right w:val="single" w:sz="8" w:space="0" w:color="000000"/>
            </w:tcBorders>
            <w:shd w:val="clear" w:color="auto" w:fill="FFFFFF"/>
            <w:tcMar>
              <w:top w:w="0" w:type="dxa"/>
              <w:left w:w="0" w:type="dxa"/>
              <w:bottom w:w="0" w:type="dxa"/>
              <w:right w:w="0" w:type="dxa"/>
            </w:tcMar>
          </w:tcPr>
          <w:p w14:paraId="7BDF127F"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0,2</w:t>
            </w:r>
          </w:p>
        </w:tc>
      </w:tr>
      <w:tr w:rsidR="00EF3394" w14:paraId="38083410" w14:textId="77777777" w:rsidTr="00E441B7">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150BBFFF"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7ED15893"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5,6</w:t>
            </w:r>
            <w:r w:rsidRPr="00EF3394">
              <w:rPr>
                <w:rFonts w:ascii="Times New Roman" w:eastAsia="Arial" w:hAnsi="Times New Roman" w:cs="Times New Roman"/>
                <w:color w:val="000000"/>
                <w:sz w:val="14"/>
                <w:szCs w:val="14"/>
              </w:rPr>
              <w:br/>
              <w:t>(8)</w:t>
            </w:r>
            <w:r w:rsidRPr="00EF3394">
              <w:rPr>
                <w:rFonts w:ascii="Times New Roman" w:eastAsia="Arial" w:hAnsi="Times New Roman" w:cs="Times New Roman"/>
                <w:color w:val="000000"/>
                <w:sz w:val="14"/>
                <w:szCs w:val="14"/>
              </w:rPr>
              <w:br/>
              <w:t>[2,6-12]</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403FEF6C"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3,4</w:t>
            </w:r>
            <w:r w:rsidRPr="00EF3394">
              <w:rPr>
                <w:rFonts w:ascii="Times New Roman" w:eastAsia="Arial" w:hAnsi="Times New Roman" w:cs="Times New Roman"/>
                <w:color w:val="000000"/>
                <w:sz w:val="14"/>
                <w:szCs w:val="14"/>
              </w:rPr>
              <w:br/>
              <w:t>(581)</w:t>
            </w:r>
            <w:r w:rsidRPr="00EF3394">
              <w:rPr>
                <w:rFonts w:ascii="Times New Roman" w:eastAsia="Arial" w:hAnsi="Times New Roman" w:cs="Times New Roman"/>
                <w:color w:val="000000"/>
                <w:sz w:val="14"/>
                <w:szCs w:val="14"/>
              </w:rPr>
              <w:br/>
              <w:t>[3,0-3,8]</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6FD0CAFD"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F3394" w14:paraId="32AD81A0" w14:textId="77777777" w:rsidTr="00E441B7">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2DC20FDF"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08E7B17C"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94,4</w:t>
            </w:r>
            <w:r w:rsidRPr="00EF3394">
              <w:rPr>
                <w:rFonts w:ascii="Times New Roman" w:eastAsia="Arial" w:hAnsi="Times New Roman" w:cs="Times New Roman"/>
                <w:color w:val="000000"/>
                <w:sz w:val="14"/>
                <w:szCs w:val="14"/>
              </w:rPr>
              <w:br/>
              <w:t>(118)</w:t>
            </w:r>
            <w:r w:rsidRPr="00EF3394">
              <w:rPr>
                <w:rFonts w:ascii="Times New Roman" w:eastAsia="Arial" w:hAnsi="Times New Roman" w:cs="Times New Roman"/>
                <w:color w:val="000000"/>
                <w:sz w:val="14"/>
                <w:szCs w:val="14"/>
              </w:rPr>
              <w:br/>
              <w:t>[88-97]</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3B90A2DC"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96,6</w:t>
            </w:r>
            <w:r w:rsidRPr="00EF3394">
              <w:rPr>
                <w:rFonts w:ascii="Times New Roman" w:eastAsia="Arial" w:hAnsi="Times New Roman" w:cs="Times New Roman"/>
                <w:color w:val="000000"/>
                <w:sz w:val="14"/>
                <w:szCs w:val="14"/>
              </w:rPr>
              <w:br/>
              <w:t>(13 990)</w:t>
            </w:r>
            <w:r w:rsidRPr="00EF3394">
              <w:rPr>
                <w:rFonts w:ascii="Times New Roman" w:eastAsia="Arial" w:hAnsi="Times New Roman" w:cs="Times New Roman"/>
                <w:color w:val="000000"/>
                <w:sz w:val="14"/>
                <w:szCs w:val="14"/>
              </w:rPr>
              <w:br/>
              <w:t>[96-97]</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36C4B055"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F3394" w14:paraId="44D707B6" w14:textId="77777777" w:rsidTr="00EF3394">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2E334F68" w14:textId="0C2268BA"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psychologique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017A1DD4"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0,002</w:t>
            </w:r>
          </w:p>
        </w:tc>
      </w:tr>
      <w:tr w:rsidR="00EF3394" w14:paraId="70E87EE9" w14:textId="77777777" w:rsidTr="00E441B7">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084FA5B7"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72951F31"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11,9</w:t>
            </w:r>
            <w:r w:rsidRPr="00EF3394">
              <w:rPr>
                <w:rFonts w:ascii="Times New Roman" w:eastAsia="Arial" w:hAnsi="Times New Roman" w:cs="Times New Roman"/>
                <w:color w:val="000000"/>
                <w:sz w:val="14"/>
                <w:szCs w:val="14"/>
              </w:rPr>
              <w:br/>
              <w:t>(15)</w:t>
            </w:r>
            <w:r w:rsidRPr="00EF3394">
              <w:rPr>
                <w:rFonts w:ascii="Times New Roman" w:eastAsia="Arial" w:hAnsi="Times New Roman" w:cs="Times New Roman"/>
                <w:color w:val="000000"/>
                <w:sz w:val="14"/>
                <w:szCs w:val="14"/>
              </w:rPr>
              <w:br/>
              <w:t>[6,5-21]</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5DDA801A"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4,7</w:t>
            </w:r>
            <w:r w:rsidRPr="00EF3394">
              <w:rPr>
                <w:rFonts w:ascii="Times New Roman" w:eastAsia="Arial" w:hAnsi="Times New Roman" w:cs="Times New Roman"/>
                <w:color w:val="000000"/>
                <w:sz w:val="14"/>
                <w:szCs w:val="14"/>
              </w:rPr>
              <w:br/>
              <w:t>(808)</w:t>
            </w:r>
            <w:r w:rsidRPr="00EF3394">
              <w:rPr>
                <w:rFonts w:ascii="Times New Roman" w:eastAsia="Arial" w:hAnsi="Times New Roman" w:cs="Times New Roman"/>
                <w:color w:val="000000"/>
                <w:sz w:val="14"/>
                <w:szCs w:val="14"/>
              </w:rPr>
              <w:br/>
              <w:t>[4,3-5,2]</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22715577"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F3394" w14:paraId="6C85044B" w14:textId="77777777" w:rsidTr="00E441B7">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225991D4"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613C3C1E"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88,1</w:t>
            </w:r>
            <w:r w:rsidRPr="00EF3394">
              <w:rPr>
                <w:rFonts w:ascii="Times New Roman" w:eastAsia="Arial" w:hAnsi="Times New Roman" w:cs="Times New Roman"/>
                <w:color w:val="000000"/>
                <w:sz w:val="14"/>
                <w:szCs w:val="14"/>
              </w:rPr>
              <w:br/>
              <w:t>(111)</w:t>
            </w:r>
            <w:r w:rsidRPr="00EF3394">
              <w:rPr>
                <w:rFonts w:ascii="Times New Roman" w:eastAsia="Arial" w:hAnsi="Times New Roman" w:cs="Times New Roman"/>
                <w:color w:val="000000"/>
                <w:sz w:val="14"/>
                <w:szCs w:val="14"/>
              </w:rPr>
              <w:br/>
              <w:t>[79-93]</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5EDB3D63"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95,3</w:t>
            </w:r>
            <w:r w:rsidRPr="00EF3394">
              <w:rPr>
                <w:rFonts w:ascii="Times New Roman" w:eastAsia="Arial" w:hAnsi="Times New Roman" w:cs="Times New Roman"/>
                <w:color w:val="000000"/>
                <w:sz w:val="14"/>
                <w:szCs w:val="14"/>
              </w:rPr>
              <w:br/>
              <w:t>(13 763)</w:t>
            </w:r>
            <w:r w:rsidRPr="00EF3394">
              <w:rPr>
                <w:rFonts w:ascii="Times New Roman" w:eastAsia="Arial" w:hAnsi="Times New Roman" w:cs="Times New Roman"/>
                <w:color w:val="000000"/>
                <w:sz w:val="14"/>
                <w:szCs w:val="14"/>
              </w:rPr>
              <w:br/>
              <w:t>[95-96]</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1BCEEDC9"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F3394" w14:paraId="60320FD0" w14:textId="77777777" w:rsidTr="00EF3394">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1E1CA012" w14:textId="7AFD7BBA"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4B358B69"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0,001</w:t>
            </w:r>
          </w:p>
        </w:tc>
      </w:tr>
      <w:tr w:rsidR="00EF3394" w14:paraId="6EDA69C1" w14:textId="77777777" w:rsidTr="00E441B7">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7B958224"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31AE8847"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2,8</w:t>
            </w:r>
            <w:r w:rsidRPr="00EF3394">
              <w:rPr>
                <w:rFonts w:ascii="Times New Roman" w:eastAsia="Arial" w:hAnsi="Times New Roman" w:cs="Times New Roman"/>
                <w:color w:val="000000"/>
                <w:sz w:val="14"/>
                <w:szCs w:val="14"/>
              </w:rPr>
              <w:br/>
              <w:t>(5)</w:t>
            </w:r>
            <w:r w:rsidRPr="00EF3394">
              <w:rPr>
                <w:rFonts w:ascii="Times New Roman" w:eastAsia="Arial" w:hAnsi="Times New Roman" w:cs="Times New Roman"/>
                <w:color w:val="000000"/>
                <w:sz w:val="14"/>
                <w:szCs w:val="14"/>
              </w:rPr>
              <w:br/>
              <w:t>[1,1-6,8]</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0FAEE689"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0,7</w:t>
            </w:r>
            <w:r w:rsidRPr="00EF3394">
              <w:rPr>
                <w:rFonts w:ascii="Times New Roman" w:eastAsia="Arial" w:hAnsi="Times New Roman" w:cs="Times New Roman"/>
                <w:color w:val="000000"/>
                <w:sz w:val="14"/>
                <w:szCs w:val="14"/>
              </w:rPr>
              <w:br/>
              <w:t>(127)</w:t>
            </w:r>
            <w:r w:rsidRPr="00EF3394">
              <w:rPr>
                <w:rFonts w:ascii="Times New Roman" w:eastAsia="Arial" w:hAnsi="Times New Roman" w:cs="Times New Roman"/>
                <w:color w:val="000000"/>
                <w:sz w:val="14"/>
                <w:szCs w:val="14"/>
              </w:rPr>
              <w:br/>
              <w:t>[0,53-0,83]</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43CEC7F9"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F3394" w14:paraId="63E21CD8" w14:textId="77777777" w:rsidTr="00E441B7">
        <w:trPr>
          <w:jc w:val="center"/>
        </w:trPr>
        <w:tc>
          <w:tcPr>
            <w:tcW w:w="1206"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4C180A32"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14C0E62"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97,2</w:t>
            </w:r>
            <w:r w:rsidRPr="00EF3394">
              <w:rPr>
                <w:rFonts w:ascii="Times New Roman" w:eastAsia="Arial" w:hAnsi="Times New Roman" w:cs="Times New Roman"/>
                <w:color w:val="000000"/>
                <w:sz w:val="14"/>
                <w:szCs w:val="14"/>
              </w:rPr>
              <w:br/>
              <w:t>(121)</w:t>
            </w:r>
            <w:r w:rsidRPr="00EF3394">
              <w:rPr>
                <w:rFonts w:ascii="Times New Roman" w:eastAsia="Arial" w:hAnsi="Times New Roman" w:cs="Times New Roman"/>
                <w:color w:val="000000"/>
                <w:sz w:val="14"/>
                <w:szCs w:val="14"/>
              </w:rPr>
              <w:br/>
              <w:t>[93-99]</w:t>
            </w:r>
          </w:p>
        </w:tc>
        <w:tc>
          <w:tcPr>
            <w:tcW w:w="1650"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6DD0A6DB"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99,3</w:t>
            </w:r>
            <w:r w:rsidRPr="00EF3394">
              <w:rPr>
                <w:rFonts w:ascii="Times New Roman" w:eastAsia="Arial" w:hAnsi="Times New Roman" w:cs="Times New Roman"/>
                <w:color w:val="000000"/>
                <w:sz w:val="14"/>
                <w:szCs w:val="14"/>
              </w:rPr>
              <w:br/>
              <w:t>(14 446)</w:t>
            </w:r>
            <w:r w:rsidRPr="00EF3394">
              <w:rPr>
                <w:rFonts w:ascii="Times New Roman" w:eastAsia="Arial" w:hAnsi="Times New Roman" w:cs="Times New Roman"/>
                <w:color w:val="000000"/>
                <w:sz w:val="14"/>
                <w:szCs w:val="14"/>
              </w:rPr>
              <w:br/>
              <w:t>[99-99]</w:t>
            </w:r>
          </w:p>
        </w:tc>
        <w:tc>
          <w:tcPr>
            <w:tcW w:w="495"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789E16EB" w14:textId="77777777" w:rsidR="00EF3394" w:rsidRPr="00EF3394" w:rsidRDefault="00EF3394" w:rsidP="00EF339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F3394" w14:paraId="74E9843E" w14:textId="77777777" w:rsidTr="00EF3394">
        <w:trPr>
          <w:trHeight w:val="1474"/>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6B029D8" w14:textId="77777777" w:rsidR="00EF3394" w:rsidRPr="00F23351" w:rsidRDefault="00EF3394" w:rsidP="00EF33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lastRenderedPageBreak/>
              <w:t>1</w:t>
            </w:r>
            <w:r w:rsidRPr="00F23351">
              <w:rPr>
                <w:rFonts w:ascii="Times New Roman" w:eastAsia="Arial" w:hAnsi="Times New Roman" w:cs="Times New Roman"/>
                <w:color w:val="000000"/>
                <w:sz w:val="14"/>
                <w:szCs w:val="14"/>
              </w:rPr>
              <w:t>Effectifs non-pondérés entre parenthèses.</w:t>
            </w:r>
          </w:p>
          <w:p w14:paraId="7F420EFE" w14:textId="77777777" w:rsidR="00EF3394" w:rsidRPr="00F23351" w:rsidRDefault="00EF3394" w:rsidP="00EF33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24462A13" w14:textId="77777777" w:rsidR="00EF3394" w:rsidRDefault="00EF3394" w:rsidP="00EF33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32C8E1DC" w14:textId="2AD194E5" w:rsidR="00EF3394" w:rsidRDefault="00EF3394" w:rsidP="00EF33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w:t>
            </w:r>
            <w:r>
              <w:rPr>
                <w:rFonts w:ascii="Times New Roman" w:eastAsia="Arial" w:hAnsi="Times New Roman" w:cs="Times New Roman"/>
                <w:color w:val="000000"/>
                <w:sz w:val="14"/>
                <w:szCs w:val="14"/>
              </w:rPr>
              <w:t>ayant été en couple au cours de la vie dans</w:t>
            </w:r>
            <w:r w:rsidRPr="00F23351">
              <w:rPr>
                <w:rFonts w:ascii="Times New Roman" w:eastAsia="Arial" w:hAnsi="Times New Roman" w:cs="Times New Roman"/>
                <w:color w:val="000000"/>
                <w:sz w:val="14"/>
                <w:szCs w:val="14"/>
              </w:rPr>
              <w:t xml:space="preserve"> l'enquête Virage. Données pondérées</w:t>
            </w:r>
          </w:p>
          <w:p w14:paraId="5F8D8F49" w14:textId="6ECDD5A8" w:rsidR="00EF3394" w:rsidRDefault="00EF3394" w:rsidP="00EF33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 xml:space="preserve">dans le couple </w:t>
            </w:r>
            <w:r>
              <w:rPr>
                <w:rFonts w:ascii="Times New Roman" w:eastAsia="Arial" w:hAnsi="Times New Roman" w:cs="Times New Roman"/>
                <w:color w:val="000000"/>
                <w:sz w:val="14"/>
                <w:szCs w:val="14"/>
              </w:rPr>
              <w:t>au cours de la vie</w:t>
            </w:r>
            <w:r w:rsidRPr="00F23351">
              <w:rPr>
                <w:rFonts w:ascii="Times New Roman" w:eastAsia="Arial" w:hAnsi="Times New Roman" w:cs="Times New Roman"/>
                <w:color w:val="000000"/>
                <w:sz w:val="14"/>
                <w:szCs w:val="14"/>
              </w:rPr>
              <w:t>, avec un intervalle de confiance à 95% de [</w:t>
            </w:r>
            <w:r>
              <w:rPr>
                <w:rFonts w:ascii="Times New Roman" w:eastAsia="Arial" w:hAnsi="Times New Roman" w:cs="Times New Roman"/>
                <w:color w:val="000000"/>
                <w:sz w:val="14"/>
                <w:szCs w:val="14"/>
              </w:rPr>
              <w:t>6,5</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21</w:t>
            </w:r>
            <w:r w:rsidRPr="00F23351">
              <w:rPr>
                <w:rFonts w:ascii="Times New Roman" w:eastAsia="Arial" w:hAnsi="Times New Roman" w:cs="Times New Roman"/>
                <w:color w:val="000000"/>
                <w:sz w:val="14"/>
                <w:szCs w:val="14"/>
              </w:rPr>
              <w:t>%].</w:t>
            </w:r>
          </w:p>
          <w:p w14:paraId="747984D3" w14:textId="54BEBF9B" w:rsidR="00EF3394" w:rsidRPr="00EF3394" w:rsidRDefault="00EF3394" w:rsidP="00EF3394">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41A60BF8" w14:textId="77777777" w:rsidR="003C06C6" w:rsidRDefault="00EF3394" w:rsidP="00DC2108">
      <w:pPr>
        <w:pStyle w:val="Textbody"/>
      </w:pPr>
      <w:r>
        <w:t xml:space="preserve">Quand on prend les résultats au cours de la vie, l’écart entre bisexuelles et hétérosexuelles </w:t>
      </w:r>
      <w:r w:rsidR="003C06C6">
        <w:t xml:space="preserve">reste </w:t>
      </w:r>
      <w:r>
        <w:t xml:space="preserve">significatif mais se réduit : 11,9% contre 4,7%. </w:t>
      </w:r>
      <w:r w:rsidR="008425B9">
        <w:t>Les</w:t>
      </w:r>
      <w:r>
        <w:t xml:space="preserve"> </w:t>
      </w:r>
      <w:r w:rsidR="008425B9">
        <w:t>quinze</w:t>
      </w:r>
      <w:r>
        <w:t xml:space="preserve"> bisexuelles déclarant des violences </w:t>
      </w:r>
      <w:commentRangeStart w:id="5"/>
      <w:r>
        <w:t xml:space="preserve">psychologiques dans le couple au cours de la vie </w:t>
      </w:r>
      <w:r w:rsidR="008425B9">
        <w:t>ne sont pas mêmes que</w:t>
      </w:r>
      <w:r>
        <w:t xml:space="preserve"> les </w:t>
      </w:r>
      <w:r w:rsidR="008425B9">
        <w:t>quatorze</w:t>
      </w:r>
      <w:r>
        <w:t xml:space="preserve"> qui en déclarent dans les douze derniers mois</w:t>
      </w:r>
      <w:r w:rsidR="008425B9">
        <w:t xml:space="preserve">. Seulement quatre d’entre elles déclarent des violences psychologiques avant et pendant les 12 derniers mois. Onze d’entre elles en ont donc subit au cours de la vie mais pas dans les douze derniers mois. Et dix d’entre elles n’en avaient jamais subi avant les 12 derniers mois. </w:t>
      </w:r>
      <w:r w:rsidR="003C06C6">
        <w:t>Chez les hétérosexuelles, à titre de comparaison, 232 femmes déclarent des violences psychologiques à la fois avant et pendant les douze derniers mois — la stabilité de la déclaration y est nettement plus forte.</w:t>
      </w:r>
      <w:commentRangeEnd w:id="5"/>
      <w:r w:rsidR="008745E0">
        <w:rPr>
          <w:rStyle w:val="Marquedecommentaire"/>
          <w:rFonts w:ascii="Aptos" w:eastAsia="Aptos" w:hAnsi="Aptos" w:cs="F"/>
        </w:rPr>
        <w:commentReference w:id="5"/>
      </w:r>
    </w:p>
    <w:p w14:paraId="03879DFA" w14:textId="69A5EFA9" w:rsidR="003C06C6" w:rsidRDefault="003C06C6" w:rsidP="00DC2108">
      <w:pPr>
        <w:pStyle w:val="Textbody"/>
      </w:pPr>
      <w:r>
        <w:t>Les bisexuelles déclarent également plus de violence sexuelle que les hétérosexuelles dans ce tableau (2,8 % contre 0,7 %), un résultat qui repose toutefois sur cinq bisexuelles seulement.</w:t>
      </w:r>
    </w:p>
    <w:p w14:paraId="1DE80D0C" w14:textId="4383382E" w:rsidR="003C06C6" w:rsidRDefault="003C06C6" w:rsidP="00DC2108">
      <w:pPr>
        <w:pStyle w:val="Textbody"/>
      </w:pPr>
      <w:r>
        <w:t>Les effectifs ne nous permettent pas de réaliser de régressions. Nous tentons à la place une analyse qualitative à partir des données quantitatives. La surdéclaration de violences psychologiques nous interroge : s'agit-il d'une surexposition réelle, ou d'une meilleure capacité à déclarer ? Et si surexposition il y a, est-elle liée à la sortie de l'hétéronormativité en général, ou à une spécificité propre à la bisexualité — question que nous pourrons éclairer plus loin à l'aide de l'échantillon LGBT ?</w:t>
      </w:r>
    </w:p>
    <w:p w14:paraId="665EA101" w14:textId="41FF0FFB" w:rsidR="003C06C6" w:rsidRDefault="003C06C6" w:rsidP="003C06C6">
      <w:pPr>
        <w:pStyle w:val="Titre2"/>
        <w:numPr>
          <w:ilvl w:val="0"/>
          <w:numId w:val="33"/>
        </w:numPr>
      </w:pPr>
      <w:r>
        <w:t xml:space="preserve">Violences psychologiques déclarées par les bisexuelles en population générale : une analyse </w:t>
      </w:r>
      <w:proofErr w:type="spellStart"/>
      <w:r>
        <w:t>quali</w:t>
      </w:r>
      <w:proofErr w:type="spellEnd"/>
      <w:r>
        <w:t>-sur-quanti</w:t>
      </w:r>
    </w:p>
    <w:p w14:paraId="6F1BE865" w14:textId="77777777" w:rsidR="003C06C6" w:rsidRDefault="003C06C6" w:rsidP="00AD6E58">
      <w:pPr>
        <w:pStyle w:val="Textbody"/>
      </w:pPr>
      <w:r>
        <w:t xml:space="preserve">Pour prolonger l'analyse quantitative des quatorze cas de violence psychologique identifiés en population générale, nous procédons à une lecture individu par individu, croisant les dimensions socio-démographiques, conjugales, de parcours sexuel, de santé et le détail des faits déclarés. Cette démarche ne vise pas à produire des statistiques supplémentaires — l'effectif de quatorze personnes </w:t>
      </w:r>
      <w:r>
        <w:lastRenderedPageBreak/>
        <w:t>reste par construction non généralisable — mais à dépasser le seul constat agrégé pour interroger les mécanismes susceptibles d'expliquer la surdéclaration observée.</w:t>
      </w:r>
    </w:p>
    <w:p w14:paraId="7998D873" w14:textId="77777777" w:rsidR="003C06C6" w:rsidRDefault="003C06C6" w:rsidP="003C06C6">
      <w:pPr>
        <w:pStyle w:val="NormalWeb"/>
        <w:spacing w:line="360" w:lineRule="auto"/>
        <w:jc w:val="both"/>
      </w:pPr>
      <w:commentRangeStart w:id="6"/>
      <w:r>
        <w:t xml:space="preserve">Le premier constat est contre-intuitif au regard de la littérature anglo-saxonne sur le sujet. </w:t>
      </w:r>
      <w:commentRangeEnd w:id="6"/>
      <w:r w:rsidR="008745E0">
        <w:rPr>
          <w:rStyle w:val="Marquedecommentaire"/>
          <w:rFonts w:ascii="Aptos" w:eastAsia="Aptos" w:hAnsi="Aptos" w:cs="F"/>
          <w:lang w:eastAsia="en-US"/>
        </w:rPr>
        <w:commentReference w:id="6"/>
      </w:r>
      <w:proofErr w:type="spellStart"/>
      <w:r>
        <w:t>Turell</w:t>
      </w:r>
      <w:proofErr w:type="spellEnd"/>
      <w:r>
        <w:t xml:space="preserve">, Brown et Herrmann (2018) identifient la bi-négativité du ou de la partenaire comme la variable la plus fortement associée à la victimisation dans leur échantillon de personnes bisexuelles étatsuniennes (β = 0,615), tandis que </w:t>
      </w:r>
      <w:proofErr w:type="spellStart"/>
      <w:r>
        <w:t>Flanders</w:t>
      </w:r>
      <w:proofErr w:type="spellEnd"/>
      <w:r>
        <w:t xml:space="preserve"> et al. (2019) montrent que c'est spécifiquement le stigmate anti-bisexuel — davantage que l'hétérosexisme général — qui prédit la violence sexuelle et la coercition verbale chez les femmes </w:t>
      </w:r>
      <w:proofErr w:type="spellStart"/>
      <w:r>
        <w:t>plurisexuelles</w:t>
      </w:r>
      <w:proofErr w:type="spellEnd"/>
      <w:r>
        <w:t>. Or, dans notre sous-échantillon, douze femmes sur quatorze déclarent que leur conjoint·e connaît leur bisexualité et l'accepte « totalement » ou « plutôt », tant au moment de l'annonce qu'au moment de l'enquête. Seules deux d'entre elles rapportent un conflit occasionnel avec leur conjoint·e à ce sujet au cours des douze derniers mois, et aucune un conflit régulier. Ce résultat invite à nuancer une importation trop directe du cadre de la bi-négativité conjugale : dans ces cas français, la violence subie ne semble pas prendre la forme d'attaques frontales sur l'identité bisexuelle des enquêtées.</w:t>
      </w:r>
    </w:p>
    <w:p w14:paraId="77B4AFC8" w14:textId="77777777" w:rsidR="003C06C6" w:rsidRDefault="003C06C6" w:rsidP="003C06C6">
      <w:pPr>
        <w:pStyle w:val="NormalWeb"/>
        <w:spacing w:line="360" w:lineRule="auto"/>
        <w:jc w:val="both"/>
      </w:pPr>
      <w:r>
        <w:t>Deux lectures, non exclusives, peuvent être avancées. D'une part, la bisexualité pourrait constituer un facteur de vulnérabilité structurel — moindre lisibilité sociale des violences vécues, moindre accès à un entourage ou une communauté de soutien identifiée comme telle (</w:t>
      </w:r>
      <w:proofErr w:type="spellStart"/>
      <w:r>
        <w:t>Bermea</w:t>
      </w:r>
      <w:proofErr w:type="spellEnd"/>
      <w:r>
        <w:t xml:space="preserve">, van </w:t>
      </w:r>
      <w:proofErr w:type="spellStart"/>
      <w:r>
        <w:t>Eeden</w:t>
      </w:r>
      <w:proofErr w:type="spellEnd"/>
      <w:r>
        <w:t xml:space="preserve">-Moorefield et </w:t>
      </w:r>
      <w:proofErr w:type="spellStart"/>
      <w:r>
        <w:t>Khaw</w:t>
      </w:r>
      <w:proofErr w:type="spellEnd"/>
      <w:r>
        <w:t>, 2018) — sans que ce facteur ne s'exprime nécessairement dans le contenu des scènes de violence elles-mêmes. D'autre part, un instrument d'enquête qui interroge un conflit explicitement nommé comme portant sur l'orientation sexuelle peut structurellement sous-capter des formes de violence plus diffuses, où le contrôle et la dévalorisation ne se rattachent pas verbalement à la bisexualité de la victime alors même qu'ils s'inscrivent dans un rapport de domination genré plus large.</w:t>
      </w:r>
    </w:p>
    <w:p w14:paraId="69C87D2C" w14:textId="2876BD3C" w:rsidR="003C06C6" w:rsidRDefault="003C06C6" w:rsidP="003C06C6">
      <w:pPr>
        <w:pStyle w:val="NormalWeb"/>
        <w:spacing w:line="360" w:lineRule="auto"/>
        <w:jc w:val="both"/>
      </w:pPr>
      <w:r>
        <w:t>L'hypothèse d'un effet d'âge mérite également d'être examinée, dans la mesure où la littérature sur la déclaration des violences souligne classiquement des effets de génération dans la propension à nommer et rapporter des faits comme violents (</w:t>
      </w:r>
      <w:proofErr w:type="spellStart"/>
      <w:r>
        <w:t>Bajos</w:t>
      </w:r>
      <w:proofErr w:type="spellEnd"/>
      <w:r>
        <w:t xml:space="preserve"> et Bozon, 2008). Nos quatorze femmes ont un âge moyen de 34,2 ans (médiane 36 ans), à comparer à la distribution par âge de l'ensemble des personnes bisexuelles de l'échantillon Virage PG (effectifs non pondérés, N = 135) : 33,3 % ont entre 20 et 29 ans, 20,0 % entre 30 et 39 ans, 20,7 % entre 40 et 49 ans et 25,9 % entre 50 et 69 </w:t>
      </w:r>
      <w:r>
        <w:lastRenderedPageBreak/>
        <w:t>ans. Dans notre sous-échantillon, ces proportions sont respectivement de 35,7 %, 42,9 %, 14,3 % et 7,1 %. L'écart ne provient donc pas, contrairement à une intuition initiale, d'une surreprésentation des plus jeunes — la tranche 20-29 ans y est proportionnellement quasi identique à celle de l'échantillon bisexuel complet — mais d'une quasi-absence des femmes de 50 ans et plus (7,1 % contre 25,9 %) et d'une surreprésentation marquée de la tranche 30-39 ans (42,9 % contre 20,0 %). Ce déplacement de la distribution vers les âges intermédiaires, plutôt qu'un simple effet de jeunesse, invite à ne pas réduire la surdéclaration des violences psychologiques chez les bisexuelles à un artefact générationnel.</w:t>
      </w:r>
    </w:p>
    <w:p w14:paraId="4B76E204" w14:textId="1A4CD94A" w:rsidR="003C06C6" w:rsidRDefault="003C06C6" w:rsidP="003C06C6">
      <w:pPr>
        <w:pStyle w:val="NormalWeb"/>
        <w:spacing w:line="360" w:lineRule="auto"/>
        <w:jc w:val="both"/>
      </w:pPr>
      <w:commentRangeStart w:id="7"/>
      <w:r>
        <w:t xml:space="preserve">Cette structure d'âge se retrouve toutefois de façon marquée à l'intérieur même de notre sous-échantillon, où les cas de contrôle conjugal les plus intenses se concentrent chez les enquêtées les plus jeunes. </w:t>
      </w:r>
      <w:commentRangeEnd w:id="7"/>
      <w:r w:rsidR="00870641">
        <w:rPr>
          <w:rStyle w:val="Marquedecommentaire"/>
          <w:rFonts w:ascii="Aptos" w:eastAsia="Aptos" w:hAnsi="Aptos" w:cs="F"/>
          <w:lang w:eastAsia="en-US"/>
        </w:rPr>
        <w:commentReference w:id="7"/>
      </w:r>
      <w:r>
        <w:t xml:space="preserve">Trois femmes, âgées de 21 à 25 ans, présentent l'indice de sévérité de violence psychologique le plus élevé de l'ensemble du groupe (« atteintes très graves »). Le profil de violence qu'elles décrivent n'est pas celui d'un fait isolé mais d'un faisceau d'actes récurrents et cumulés : exigences répétées de rendre compte de ses faits et gestes — quotidiennes dans un cas —, lecture du courrier ou des messages sans accord, confiscation d'objets personnels, remarques dévalorisantes sur l'apparence. Cette configuration, où plusieurs registres de contrôle coexistent et se répètent dans le temps, s'apparente aux formes de contrôle coercitif documentées dans la littérature sur les violences conjugales. L'une de ces trois femmes cumule également des violences physiques et déclare une dépression ou </w:t>
      </w:r>
      <w:r w:rsidR="00870641">
        <w:t>de</w:t>
      </w:r>
      <w:r>
        <w:t xml:space="preserve"> </w:t>
      </w:r>
      <w:r w:rsidR="00870641">
        <w:t>l’</w:t>
      </w:r>
      <w:r>
        <w:t xml:space="preserve">anxiété ainsi qu'une tentative de suicide ; une autre est celle qui rapporte à la fois un conflit sur sa bisexualité et l'évitement le plus marqué des gestes affectifs en public par crainte. Ce sous-groupe recoupe ainsi, de façon ténue mais cohérente, les facteurs de risque de victimisation identifiés par la revue de littérature de </w:t>
      </w:r>
      <w:proofErr w:type="spellStart"/>
      <w:r>
        <w:t>Bermea</w:t>
      </w:r>
      <w:proofErr w:type="spellEnd"/>
      <w:r>
        <w:t xml:space="preserve">, van </w:t>
      </w:r>
      <w:proofErr w:type="spellStart"/>
      <w:r>
        <w:t>Eeden</w:t>
      </w:r>
      <w:proofErr w:type="spellEnd"/>
      <w:r>
        <w:t xml:space="preserve">-Moorefield et </w:t>
      </w:r>
      <w:proofErr w:type="spellStart"/>
      <w:r>
        <w:t>Khaw</w:t>
      </w:r>
      <w:proofErr w:type="spellEnd"/>
      <w:r>
        <w:t xml:space="preserve"> (2018) — abus de substances, détresse psychologique, expériences de discrimination — sans qu'aucun facteur isolé ne suffise à expliquer la configuration observée.</w:t>
      </w:r>
    </w:p>
    <w:p w14:paraId="2AC995E9" w14:textId="77777777" w:rsidR="003C06C6" w:rsidRDefault="003C06C6" w:rsidP="003C06C6">
      <w:pPr>
        <w:pStyle w:val="NormalWeb"/>
        <w:spacing w:line="360" w:lineRule="auto"/>
        <w:jc w:val="both"/>
      </w:pPr>
      <w:r>
        <w:t xml:space="preserve">À l'inverse, un second groupe de femmes, en couple depuis une durée plus longue (dix à trente ans de vie commune) et dont le ou la conjoint·e accepte « totalement » la bisexualité, déclare également des violences psychologiques répétées, mais sous une forme plus diffuse et concentrée sur un seul type d'acte récurrent — le plus souvent la menace de suicide du ou de la conjoint·e comme moyen de pression. Ce contraste entre l'intensité du contrôle chez les plus jeunes et sa persistance plus </w:t>
      </w:r>
      <w:r>
        <w:lastRenderedPageBreak/>
        <w:t>insidieuse chez les femmes en couple de longue date mériterait d'être approfondi dans de futurs travaux, la présente enquête ne permettant pas de trancher entre un effet de cohorte et un effet de cycle de vie conjugal.</w:t>
      </w:r>
    </w:p>
    <w:p w14:paraId="1288D90C" w14:textId="77777777" w:rsidR="003C06C6" w:rsidRDefault="003C06C6" w:rsidP="003C06C6">
      <w:pPr>
        <w:pStyle w:val="NormalWeb"/>
        <w:spacing w:line="360" w:lineRule="auto"/>
        <w:jc w:val="both"/>
      </w:pPr>
      <w:r>
        <w:t xml:space="preserve">Enfin, deux configurations minoritaires mais significatives se distinguent. La première associe violence psychologique fréquente et violence sexuelle répétée — un rapport sexuel forcé à plusieurs reprises au cours des douze derniers mois, désigné par l'enquêtée elle-même comme le fait le plus marquant de sa relation. Ce cas illustre, à l'échelle individuelle, le constat de </w:t>
      </w:r>
      <w:proofErr w:type="spellStart"/>
      <w:r>
        <w:t>Turell</w:t>
      </w:r>
      <w:proofErr w:type="spellEnd"/>
      <w:r>
        <w:t xml:space="preserve">, Brown et Herrmann (2018) selon lequel les registres de contrôle sexuel et de violence psychologique ne constituent pas des dimensions indépendantes mais coexistent fréquemment chez les mêmes personnes — un constat que nous retrouverons, à une tout autre échelle, dans l'analyse des violences sexuelles déclarées dans l'enquête LGBT. La seconde regroupe des femmes ayant elles-mêmes déclaré avoir subi des violences sévères au sein de leur famille avant l'âge de 18 ans, et dont le parcours sexuel présente des marqueurs de précocité ou d'atypie prononcés — premier rapport sexuel avant 10 ans dans un cas, écart d'âge de plus de vingt-cinq ans avec le ou la conjoint·e </w:t>
      </w:r>
      <w:proofErr w:type="spellStart"/>
      <w:r>
        <w:t>actuel·le</w:t>
      </w:r>
      <w:proofErr w:type="spellEnd"/>
      <w:r>
        <w:t xml:space="preserve"> dans un autre. Cette association entre victimisations successives au cours du parcours de vie fait écho aux travaux mobilisés dans le chapitre précédent sur le lien entre entrée précoce dans la sexualité, multiplication des partenaires et exposition ultérieure aux violences sexuelles </w:t>
      </w:r>
      <w:commentRangeStart w:id="8"/>
      <w:r w:rsidRPr="00870641">
        <w:rPr>
          <w:highlight w:val="yellow"/>
        </w:rPr>
        <w:t>(</w:t>
      </w:r>
      <w:proofErr w:type="spellStart"/>
      <w:r w:rsidRPr="00870641">
        <w:rPr>
          <w:highlight w:val="yellow"/>
        </w:rPr>
        <w:t>Jaspard</w:t>
      </w:r>
      <w:proofErr w:type="spellEnd"/>
      <w:r w:rsidRPr="00870641">
        <w:rPr>
          <w:highlight w:val="yellow"/>
        </w:rPr>
        <w:t xml:space="preserve"> et al., 2002 ; Lhomond et Saurel-</w:t>
      </w:r>
      <w:proofErr w:type="spellStart"/>
      <w:r w:rsidRPr="00870641">
        <w:rPr>
          <w:highlight w:val="yellow"/>
        </w:rPr>
        <w:t>Cubizolles</w:t>
      </w:r>
      <w:proofErr w:type="spellEnd"/>
      <w:r w:rsidRPr="00870641">
        <w:rPr>
          <w:highlight w:val="yellow"/>
        </w:rPr>
        <w:t xml:space="preserve">, 2013 ; </w:t>
      </w:r>
      <w:proofErr w:type="spellStart"/>
      <w:r w:rsidRPr="00870641">
        <w:rPr>
          <w:highlight w:val="yellow"/>
        </w:rPr>
        <w:t>Maillochon</w:t>
      </w:r>
      <w:proofErr w:type="spellEnd"/>
      <w:r w:rsidRPr="00870641">
        <w:rPr>
          <w:highlight w:val="yellow"/>
        </w:rPr>
        <w:t xml:space="preserve"> et </w:t>
      </w:r>
      <w:proofErr w:type="spellStart"/>
      <w:r w:rsidRPr="00870641">
        <w:rPr>
          <w:highlight w:val="yellow"/>
        </w:rPr>
        <w:t>Selz</w:t>
      </w:r>
      <w:proofErr w:type="spellEnd"/>
      <w:r w:rsidRPr="00870641">
        <w:rPr>
          <w:highlight w:val="yellow"/>
        </w:rPr>
        <w:t>, 2010)</w:t>
      </w:r>
      <w:r>
        <w:t xml:space="preserve">, </w:t>
      </w:r>
      <w:commentRangeEnd w:id="8"/>
      <w:r w:rsidR="00870641">
        <w:rPr>
          <w:rStyle w:val="Marquedecommentaire"/>
          <w:rFonts w:ascii="Aptos" w:eastAsia="Aptos" w:hAnsi="Aptos" w:cs="F"/>
          <w:lang w:eastAsia="en-US"/>
        </w:rPr>
        <w:commentReference w:id="8"/>
      </w:r>
      <w:r>
        <w:t>sans que l'on puisse ici déterminer, avec des effectifs aussi restreints, si la bisexualité intervient comme facteur propre ou si elle recoupe simplement des trajectoires de vulnérabilité plus larges et non spécifiques à l'orientation sexuelle.</w:t>
      </w:r>
    </w:p>
    <w:p w14:paraId="26FB6D30" w14:textId="77777777" w:rsidR="003C06C6" w:rsidRDefault="003C06C6" w:rsidP="003C06C6">
      <w:pPr>
        <w:pStyle w:val="NormalWeb"/>
        <w:spacing w:line="360" w:lineRule="auto"/>
        <w:jc w:val="both"/>
      </w:pPr>
      <w:r>
        <w:t>Ces observations, à prendre avec la prudence qu'imposent des effectifs de quatorze individus non généralisables, dessinent néanmoins une image plus complexe que celle d'une violence uniformément articulée à la stigmatisation de la bisexualité par le ou la partenaire. Elles suggèrent plutôt une pluralité de configurations — contrôle coercitif intense chez les plus jeunes, persistance diffuse dans la durée conjugale, cumul avec des violences sexuelles, ou héritage de victimisations antérieures au couple — dans lesquelles la bisexualité des enquêtées pourrait davantage opérer comme facteur de vulnérabilité structurel, moins lisible et moins nommé, que comme motif explicite des violences subies.</w:t>
      </w:r>
    </w:p>
    <w:p w14:paraId="16989D63" w14:textId="77777777" w:rsidR="003C06C6" w:rsidRDefault="003C06C6" w:rsidP="003C06C6">
      <w:pPr>
        <w:pStyle w:val="NormalWeb"/>
        <w:spacing w:line="360" w:lineRule="auto"/>
        <w:jc w:val="both"/>
      </w:pPr>
      <w:r>
        <w:lastRenderedPageBreak/>
        <w:t>L'échantillon en population générale ne permet cependant pas d'aller beaucoup plus loin : les effectifs bisexuels y restent, par construction, trop réduits pour distinguer plus finement les configurations de couple, et notamment pour vérifier si le genre du ou de la partenaire — question centrale du chapitre précédent — module la déclaration de violence. C'est précisément ce que permet l'échantillon de convenance Virage LGBT, auquel nous nous tournons à présent.</w:t>
      </w:r>
    </w:p>
    <w:p w14:paraId="2A6DF3D9" w14:textId="2400B729" w:rsidR="004C7E05" w:rsidRDefault="004C7E05" w:rsidP="00FB64D9">
      <w:pPr>
        <w:pStyle w:val="Titre2"/>
        <w:numPr>
          <w:ilvl w:val="0"/>
          <w:numId w:val="33"/>
        </w:numPr>
      </w:pPr>
      <w:r>
        <w:t xml:space="preserve">Indicateurs de violence </w:t>
      </w:r>
      <w:r w:rsidR="00FB64D9">
        <w:t xml:space="preserve">dans l’enquête Virage </w:t>
      </w:r>
      <w:r>
        <w:t>LGBT</w:t>
      </w:r>
    </w:p>
    <w:p w14:paraId="7D17DF45" w14:textId="77777777" w:rsidR="00FB64D9" w:rsidRPr="00FB64D9" w:rsidRDefault="00FB64D9" w:rsidP="00FB64D9">
      <w:pPr>
        <w:pStyle w:val="Table"/>
        <w:spacing w:line="360" w:lineRule="auto"/>
        <w:jc w:val="both"/>
        <w:rPr>
          <w:i w:val="0"/>
          <w:iCs/>
        </w:rPr>
      </w:pPr>
      <w:r w:rsidRPr="00FB64D9">
        <w:rPr>
          <w:i w:val="0"/>
          <w:iCs/>
        </w:rPr>
        <w:t xml:space="preserve">Virage LGBT ne dispose pas des indicateurs globaux post-construits que nous venons de mobiliser pour Virage PG. Nous les avons donc recréés, en restreignant l'analyse au module violences conjugales, seul pertinent pour ce chapitre. L'indicateur Oui/Non a été construit à partir des mêmes items élémentaires que ceux utilisés par </w:t>
      </w:r>
      <w:proofErr w:type="spellStart"/>
      <w:r w:rsidRPr="00FB64D9">
        <w:rPr>
          <w:i w:val="0"/>
          <w:iCs/>
        </w:rPr>
        <w:t>l'Ined</w:t>
      </w:r>
      <w:proofErr w:type="spellEnd"/>
      <w:r w:rsidRPr="00FB64D9">
        <w:rPr>
          <w:i w:val="0"/>
          <w:iCs/>
        </w:rPr>
        <w:t xml:space="preserve"> pour construire l'indicateur agrégé de Virage PG (C2 à C31), garantissant une définition strictement comparable entre les deux enquêtes ; seul le regroupement en niveaux de gravité (Niv0 à Niv3), peu pertinent compte tenu de nos effectifs, n'a pas été répliqué.</w:t>
      </w:r>
    </w:p>
    <w:p w14:paraId="0271E61A" w14:textId="14BEF709" w:rsidR="00241B01" w:rsidRPr="00241B01" w:rsidRDefault="00241B01" w:rsidP="00241B01">
      <w:pPr>
        <w:pStyle w:val="Table"/>
      </w:pPr>
      <w:r>
        <w:t>Table 1</w:t>
      </w:r>
      <w:r>
        <w:t>4</w:t>
      </w:r>
      <w:r>
        <w:t xml:space="preserve"> : Types</w:t>
      </w:r>
      <w:r w:rsidRPr="005D5189">
        <w:t xml:space="preserve"> de violence dans le couple </w:t>
      </w:r>
      <w:r>
        <w:t>au cours</w:t>
      </w:r>
      <w:r w:rsidRPr="005D5189">
        <w:t xml:space="preserve"> </w:t>
      </w:r>
      <w:r>
        <w:t>d</w:t>
      </w:r>
      <w:r w:rsidRPr="005D5189">
        <w:t>es 12 derniers mois</w:t>
      </w:r>
      <w:r>
        <w:t xml:space="preserve"> (Virage LGBT). </w:t>
      </w:r>
    </w:p>
    <w:p w14:paraId="4BB0C70E" w14:textId="77777777" w:rsidR="004C7E05" w:rsidRPr="004C7E05" w:rsidRDefault="004C7E05" w:rsidP="004C7E05">
      <w:pPr>
        <w:rPr>
          <w:rFonts w:ascii="Times New Roman" w:hAnsi="Times New Roman" w:cs="Times New Roman"/>
          <w:sz w:val="14"/>
          <w:szCs w:val="14"/>
        </w:rPr>
      </w:pPr>
    </w:p>
    <w:tbl>
      <w:tblPr>
        <w:tblW w:w="5000" w:type="pct"/>
        <w:jc w:val="center"/>
        <w:tblLook w:val="0420" w:firstRow="1" w:lastRow="0" w:firstColumn="0" w:lastColumn="0" w:noHBand="0" w:noVBand="1"/>
      </w:tblPr>
      <w:tblGrid>
        <w:gridCol w:w="1402"/>
        <w:gridCol w:w="1993"/>
        <w:gridCol w:w="1993"/>
        <w:gridCol w:w="1993"/>
        <w:gridCol w:w="1993"/>
      </w:tblGrid>
      <w:tr w:rsidR="00241B01" w:rsidRPr="004C7E05" w14:paraId="28D68BE8" w14:textId="77777777" w:rsidTr="00241B01">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71F840F2" w14:textId="77777777" w:rsidR="00241B01" w:rsidRPr="004C7E05" w:rsidRDefault="00241B01" w:rsidP="004C7E05">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2126" w:type="pct"/>
            <w:gridSpan w:val="2"/>
            <w:tcBorders>
              <w:top w:val="single" w:sz="12" w:space="0" w:color="auto"/>
              <w:bottom w:val="single" w:sz="12" w:space="0" w:color="auto"/>
            </w:tcBorders>
            <w:shd w:val="clear" w:color="auto" w:fill="FFFFFF"/>
            <w:tcMar>
              <w:top w:w="0" w:type="dxa"/>
              <w:left w:w="0" w:type="dxa"/>
              <w:bottom w:w="0" w:type="dxa"/>
              <w:right w:w="0" w:type="dxa"/>
            </w:tcMar>
            <w:vAlign w:val="center"/>
          </w:tcPr>
          <w:p w14:paraId="4EC649D1" w14:textId="3E7BB022" w:rsidR="00241B01" w:rsidRPr="004C7E05" w:rsidRDefault="00241B01"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Femmes</w:t>
            </w:r>
          </w:p>
        </w:tc>
        <w:tc>
          <w:tcPr>
            <w:tcW w:w="2126" w:type="pct"/>
            <w:gridSpan w:val="2"/>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54B2E6A2" w14:textId="13BA3507" w:rsidR="00241B01" w:rsidRPr="004C7E05" w:rsidRDefault="00241B01"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Hommes</w:t>
            </w:r>
          </w:p>
        </w:tc>
      </w:tr>
      <w:tr w:rsidR="004C7E05" w:rsidRPr="004C7E05" w14:paraId="04EA1263" w14:textId="77777777" w:rsidTr="00241B01">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3F658AE5" w14:textId="1E9109AB" w:rsidR="004C7E05" w:rsidRPr="004C7E05" w:rsidRDefault="004C7E05" w:rsidP="004C7E05">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358E4A69" w14:textId="57D14BB6" w:rsidR="004C7E05" w:rsidRPr="004C7E05" w:rsidRDefault="004C7E05"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752)</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2EC9621B"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(445)</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784C05A8" w14:textId="135266FA" w:rsidR="004C7E05" w:rsidRPr="004C7E05" w:rsidRDefault="004C7E05"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769)</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1781F864"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(172)</w:t>
            </w:r>
            <w:r w:rsidRPr="004C7E05">
              <w:rPr>
                <w:rFonts w:ascii="Times New Roman" w:eastAsia="Arial" w:hAnsi="Times New Roman" w:cs="Times New Roman"/>
                <w:color w:val="000000"/>
                <w:sz w:val="14"/>
                <w:szCs w:val="14"/>
                <w:vertAlign w:val="superscript"/>
              </w:rPr>
              <w:t>1</w:t>
            </w:r>
          </w:p>
        </w:tc>
      </w:tr>
      <w:tr w:rsidR="004C7E05" w:rsidRPr="004C7E05" w14:paraId="6F1E3384" w14:textId="77777777" w:rsidTr="00241B01">
        <w:trPr>
          <w:jc w:val="center"/>
        </w:trPr>
        <w:tc>
          <w:tcPr>
            <w:tcW w:w="5000" w:type="pct"/>
            <w:gridSpan w:val="5"/>
            <w:tcBorders>
              <w:top w:val="single" w:sz="12" w:space="0" w:color="auto"/>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6AEBF0D9" w14:textId="2B3CBE5F" w:rsidR="004C7E05" w:rsidRPr="004C7E05" w:rsidRDefault="00241B01" w:rsidP="004C7E0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psychologique</w:t>
            </w:r>
            <w:r w:rsidRPr="00F23351">
              <w:rPr>
                <w:rFonts w:ascii="Times New Roman" w:eastAsia="Arial" w:hAnsi="Times New Roman" w:cs="Times New Roman"/>
                <w:bCs/>
                <w:i/>
                <w:iCs/>
                <w:color w:val="000000"/>
                <w:sz w:val="14"/>
                <w:szCs w:val="14"/>
              </w:rPr>
              <w:t xml:space="preserve"> dans le couple au cours des 12 derniers mois</w:t>
            </w:r>
          </w:p>
        </w:tc>
      </w:tr>
      <w:tr w:rsidR="004C7E05" w:rsidRPr="004C7E05" w14:paraId="50295447"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4AB3839"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6798EADA"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45,3%</w:t>
            </w:r>
            <w:r w:rsidRPr="004C7E05">
              <w:rPr>
                <w:rFonts w:ascii="Times New Roman" w:eastAsia="Arial" w:hAnsi="Times New Roman" w:cs="Times New Roman"/>
                <w:color w:val="000000"/>
                <w:sz w:val="14"/>
                <w:szCs w:val="14"/>
              </w:rPr>
              <w:br/>
              <w:t>(785,0)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07688AE"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39,3%</w:t>
            </w:r>
            <w:r w:rsidRPr="004C7E05">
              <w:rPr>
                <w:rFonts w:ascii="Times New Roman" w:eastAsia="Arial" w:hAnsi="Times New Roman" w:cs="Times New Roman"/>
                <w:color w:val="000000"/>
                <w:sz w:val="14"/>
                <w:szCs w:val="14"/>
              </w:rPr>
              <w:br/>
              <w:t>(170,0)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B5A518A"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44,5%</w:t>
            </w:r>
            <w:r w:rsidRPr="004C7E05">
              <w:rPr>
                <w:rFonts w:ascii="Times New Roman" w:eastAsia="Arial" w:hAnsi="Times New Roman" w:cs="Times New Roman"/>
                <w:color w:val="000000"/>
                <w:sz w:val="14"/>
                <w:szCs w:val="14"/>
              </w:rPr>
              <w:br/>
              <w:t>(783,0)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2F6CB3D"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40,8%</w:t>
            </w:r>
            <w:r w:rsidRPr="004C7E05">
              <w:rPr>
                <w:rFonts w:ascii="Times New Roman" w:eastAsia="Arial" w:hAnsi="Times New Roman" w:cs="Times New Roman"/>
                <w:color w:val="000000"/>
                <w:sz w:val="14"/>
                <w:szCs w:val="14"/>
              </w:rPr>
              <w:br/>
              <w:t>(69,0)</w:t>
            </w:r>
          </w:p>
        </w:tc>
      </w:tr>
      <w:tr w:rsidR="004C7E05" w:rsidRPr="004C7E05" w14:paraId="469B3749"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5C930B85"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02DE475"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54,7%</w:t>
            </w:r>
            <w:r w:rsidRPr="004C7E05">
              <w:rPr>
                <w:rFonts w:ascii="Times New Roman" w:eastAsia="Arial" w:hAnsi="Times New Roman" w:cs="Times New Roman"/>
                <w:color w:val="000000"/>
                <w:sz w:val="14"/>
                <w:szCs w:val="14"/>
              </w:rPr>
              <w:br/>
              <w:t>(949,0)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BA208A3"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60,7%</w:t>
            </w:r>
            <w:r w:rsidRPr="004C7E05">
              <w:rPr>
                <w:rFonts w:ascii="Times New Roman" w:eastAsia="Arial" w:hAnsi="Times New Roman" w:cs="Times New Roman"/>
                <w:color w:val="000000"/>
                <w:sz w:val="14"/>
                <w:szCs w:val="14"/>
              </w:rPr>
              <w:br/>
              <w:t>(263,0)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A2FDEA9"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55,5%</w:t>
            </w:r>
            <w:r w:rsidRPr="004C7E05">
              <w:rPr>
                <w:rFonts w:ascii="Times New Roman" w:eastAsia="Arial" w:hAnsi="Times New Roman" w:cs="Times New Roman"/>
                <w:color w:val="000000"/>
                <w:sz w:val="14"/>
                <w:szCs w:val="14"/>
              </w:rPr>
              <w:br/>
              <w:t>(975,0)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197DEFA2"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59,2%</w:t>
            </w:r>
            <w:r w:rsidRPr="004C7E05">
              <w:rPr>
                <w:rFonts w:ascii="Times New Roman" w:eastAsia="Arial" w:hAnsi="Times New Roman" w:cs="Times New Roman"/>
                <w:color w:val="000000"/>
                <w:sz w:val="14"/>
                <w:szCs w:val="14"/>
              </w:rPr>
              <w:br/>
              <w:t>(100,0)</w:t>
            </w:r>
          </w:p>
        </w:tc>
      </w:tr>
      <w:tr w:rsidR="004C7E05" w:rsidRPr="004C7E05" w14:paraId="2DC77B75"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A668E93" w14:textId="36A932D5"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AA8330F" w14:textId="677C149D"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0,026</w:t>
            </w:r>
            <w:r w:rsidR="00241B01" w:rsidRPr="00F23351">
              <w:rPr>
                <w:rFonts w:ascii="Times New Roman" w:eastAsia="Arial" w:hAnsi="Times New Roman" w:cs="Times New Roman"/>
                <w:color w:val="000000"/>
                <w:sz w:val="14"/>
                <w:szCs w:val="14"/>
                <w:vertAlign w:val="superscript"/>
              </w:rPr>
              <w:t>2</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4F9F79D6" w14:textId="1E2FBEA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r w:rsidR="00241B01" w:rsidRPr="00F23351">
              <w:rPr>
                <w:rFonts w:ascii="Times New Roman" w:eastAsia="Arial" w:hAnsi="Times New Roman" w:cs="Times New Roman"/>
                <w:color w:val="000000"/>
                <w:sz w:val="14"/>
                <w:szCs w:val="14"/>
                <w:vertAlign w:val="superscript"/>
              </w:rPr>
              <w:t>2</w:t>
            </w:r>
          </w:p>
        </w:tc>
      </w:tr>
      <w:tr w:rsidR="004C7E05" w:rsidRPr="004C7E05" w14:paraId="611D40CC" w14:textId="77777777" w:rsidTr="00241B01">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7BEACC61" w14:textId="0EDABB77" w:rsidR="004C7E05" w:rsidRPr="004C7E05" w:rsidRDefault="00241B01" w:rsidP="004C7E0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r>
      <w:tr w:rsidR="004C7E05" w:rsidRPr="004C7E05" w14:paraId="608C206C"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3A4BC43A"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7B3B10D"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94,8%</w:t>
            </w:r>
            <w:r w:rsidRPr="004C7E05">
              <w:rPr>
                <w:rFonts w:ascii="Times New Roman" w:eastAsia="Arial" w:hAnsi="Times New Roman" w:cs="Times New Roman"/>
                <w:color w:val="000000"/>
                <w:sz w:val="14"/>
                <w:szCs w:val="14"/>
              </w:rPr>
              <w:br/>
              <w:t>(1 644,0)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39BFA3F"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93,8%</w:t>
            </w:r>
            <w:r w:rsidRPr="004C7E05">
              <w:rPr>
                <w:rFonts w:ascii="Times New Roman" w:eastAsia="Arial" w:hAnsi="Times New Roman" w:cs="Times New Roman"/>
                <w:color w:val="000000"/>
                <w:sz w:val="14"/>
                <w:szCs w:val="14"/>
              </w:rPr>
              <w:br/>
              <w:t>(406,0)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DBB08A3"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95,5%</w:t>
            </w:r>
            <w:r w:rsidRPr="004C7E05">
              <w:rPr>
                <w:rFonts w:ascii="Times New Roman" w:eastAsia="Arial" w:hAnsi="Times New Roman" w:cs="Times New Roman"/>
                <w:color w:val="000000"/>
                <w:sz w:val="14"/>
                <w:szCs w:val="14"/>
              </w:rPr>
              <w:br/>
              <w:t>(1 679,0)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1B4746A9"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94,7%</w:t>
            </w:r>
            <w:r w:rsidRPr="004C7E05">
              <w:rPr>
                <w:rFonts w:ascii="Times New Roman" w:eastAsia="Arial" w:hAnsi="Times New Roman" w:cs="Times New Roman"/>
                <w:color w:val="000000"/>
                <w:sz w:val="14"/>
                <w:szCs w:val="14"/>
              </w:rPr>
              <w:br/>
              <w:t>(160,0)</w:t>
            </w:r>
          </w:p>
        </w:tc>
      </w:tr>
      <w:tr w:rsidR="004C7E05" w:rsidRPr="004C7E05" w14:paraId="5DCAEC53"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AC4C6BE"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6A095C5C"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5,2%</w:t>
            </w:r>
            <w:r w:rsidRPr="004C7E05">
              <w:rPr>
                <w:rFonts w:ascii="Times New Roman" w:eastAsia="Arial" w:hAnsi="Times New Roman" w:cs="Times New Roman"/>
                <w:color w:val="000000"/>
                <w:sz w:val="14"/>
                <w:szCs w:val="14"/>
              </w:rPr>
              <w:br/>
              <w:t>(90,0)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42920A6"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6,2%</w:t>
            </w:r>
            <w:r w:rsidRPr="004C7E05">
              <w:rPr>
                <w:rFonts w:ascii="Times New Roman" w:eastAsia="Arial" w:hAnsi="Times New Roman" w:cs="Times New Roman"/>
                <w:color w:val="000000"/>
                <w:sz w:val="14"/>
                <w:szCs w:val="14"/>
              </w:rPr>
              <w:br/>
              <w:t>(27,0)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C22F61E"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w:t>
            </w:r>
            <w:r w:rsidRPr="004C7E05">
              <w:rPr>
                <w:rFonts w:ascii="Times New Roman" w:eastAsia="Arial" w:hAnsi="Times New Roman" w:cs="Times New Roman"/>
                <w:color w:val="000000"/>
                <w:sz w:val="14"/>
                <w:szCs w:val="14"/>
              </w:rPr>
              <w:br/>
              <w:t>(79,0)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34488EF4"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5,3%</w:t>
            </w:r>
            <w:r w:rsidRPr="004C7E05">
              <w:rPr>
                <w:rFonts w:ascii="Times New Roman" w:eastAsia="Arial" w:hAnsi="Times New Roman" w:cs="Times New Roman"/>
                <w:color w:val="000000"/>
                <w:sz w:val="14"/>
                <w:szCs w:val="14"/>
              </w:rPr>
              <w:br/>
              <w:t>(9,0)</w:t>
            </w:r>
          </w:p>
        </w:tc>
      </w:tr>
      <w:tr w:rsidR="004C7E05" w:rsidRPr="004C7E05" w14:paraId="6D2D4A8C"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6A34E2E6" w14:textId="319C2840"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194669F" w14:textId="643401DC"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6D25B4D3" w14:textId="778CD1A0"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0,6</w:t>
            </w:r>
          </w:p>
        </w:tc>
      </w:tr>
      <w:tr w:rsidR="004C7E05" w:rsidRPr="004C7E05" w14:paraId="1FA20719" w14:textId="77777777" w:rsidTr="00241B01">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0BF982A5" w14:textId="0486D371" w:rsidR="004C7E05" w:rsidRPr="004C7E05" w:rsidRDefault="00241B01" w:rsidP="004C7E05">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F23351">
              <w:rPr>
                <w:rFonts w:ascii="Times New Roman" w:eastAsia="Arial" w:hAnsi="Times New Roman" w:cs="Times New Roman"/>
                <w:bCs/>
                <w:i/>
                <w:iCs/>
                <w:color w:val="000000"/>
                <w:sz w:val="14"/>
                <w:szCs w:val="14"/>
              </w:rPr>
              <w:t xml:space="preserve"> dans le couple au cours des 12 derniers mois</w:t>
            </w:r>
          </w:p>
        </w:tc>
      </w:tr>
      <w:tr w:rsidR="004C7E05" w:rsidRPr="004C7E05" w14:paraId="16C36011"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25F70859"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1081600"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99,1%</w:t>
            </w:r>
            <w:r w:rsidRPr="004C7E05">
              <w:rPr>
                <w:rFonts w:ascii="Times New Roman" w:eastAsia="Arial" w:hAnsi="Times New Roman" w:cs="Times New Roman"/>
                <w:color w:val="000000"/>
                <w:sz w:val="14"/>
                <w:szCs w:val="14"/>
              </w:rPr>
              <w:br/>
              <w:t>(1 719,0)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E40C567"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96,1%</w:t>
            </w:r>
            <w:r w:rsidRPr="004C7E05">
              <w:rPr>
                <w:rFonts w:ascii="Times New Roman" w:eastAsia="Arial" w:hAnsi="Times New Roman" w:cs="Times New Roman"/>
                <w:color w:val="000000"/>
                <w:sz w:val="14"/>
                <w:szCs w:val="14"/>
              </w:rPr>
              <w:br/>
              <w:t>(415,0)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AD6FE95"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98,3%</w:t>
            </w:r>
            <w:r w:rsidRPr="004C7E05">
              <w:rPr>
                <w:rFonts w:ascii="Times New Roman" w:eastAsia="Arial" w:hAnsi="Times New Roman" w:cs="Times New Roman"/>
                <w:color w:val="000000"/>
                <w:sz w:val="14"/>
                <w:szCs w:val="14"/>
              </w:rPr>
              <w:br/>
              <w:t>(1 729,0)</w:t>
            </w:r>
          </w:p>
        </w:tc>
        <w:tc>
          <w:tcPr>
            <w:tcW w:w="1063" w:type="pct"/>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44F158EB"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96,4%</w:t>
            </w:r>
            <w:r w:rsidRPr="004C7E05">
              <w:rPr>
                <w:rFonts w:ascii="Times New Roman" w:eastAsia="Arial" w:hAnsi="Times New Roman" w:cs="Times New Roman"/>
                <w:color w:val="000000"/>
                <w:sz w:val="14"/>
                <w:szCs w:val="14"/>
              </w:rPr>
              <w:br/>
              <w:t>(162,0)</w:t>
            </w:r>
          </w:p>
        </w:tc>
      </w:tr>
      <w:tr w:rsidR="004C7E05" w:rsidRPr="004C7E05" w14:paraId="373897DC" w14:textId="77777777" w:rsidTr="00241B01">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6049263E"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14D0FF5"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0,9%</w:t>
            </w:r>
            <w:r w:rsidRPr="004C7E05">
              <w:rPr>
                <w:rFonts w:ascii="Times New Roman" w:eastAsia="Arial" w:hAnsi="Times New Roman" w:cs="Times New Roman"/>
                <w:color w:val="000000"/>
                <w:sz w:val="14"/>
                <w:szCs w:val="14"/>
              </w:rPr>
              <w:br/>
              <w:t>(15,0)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46A1860"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w:t>
            </w:r>
            <w:r w:rsidRPr="004C7E05">
              <w:rPr>
                <w:rFonts w:ascii="Times New Roman" w:eastAsia="Arial" w:hAnsi="Times New Roman" w:cs="Times New Roman"/>
                <w:color w:val="000000"/>
                <w:sz w:val="14"/>
                <w:szCs w:val="14"/>
              </w:rPr>
              <w:br/>
              <w:t>(17,0)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5F703F61"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1,7%</w:t>
            </w:r>
            <w:r w:rsidRPr="004C7E05">
              <w:rPr>
                <w:rFonts w:ascii="Times New Roman" w:eastAsia="Arial" w:hAnsi="Times New Roman" w:cs="Times New Roman"/>
                <w:color w:val="000000"/>
                <w:sz w:val="14"/>
                <w:szCs w:val="14"/>
              </w:rPr>
              <w:br/>
              <w:t>(30,0)</w:t>
            </w:r>
          </w:p>
        </w:tc>
        <w:tc>
          <w:tcPr>
            <w:tcW w:w="1063" w:type="pct"/>
            <w:tcBorders>
              <w:left w:val="single" w:sz="4" w:space="0" w:color="auto"/>
              <w:right w:val="single" w:sz="12" w:space="0" w:color="auto"/>
            </w:tcBorders>
            <w:shd w:val="clear" w:color="auto" w:fill="FFFFFF"/>
            <w:tcMar>
              <w:top w:w="0" w:type="dxa"/>
              <w:left w:w="0" w:type="dxa"/>
              <w:bottom w:w="0" w:type="dxa"/>
              <w:right w:w="0" w:type="dxa"/>
            </w:tcMar>
          </w:tcPr>
          <w:p w14:paraId="703C5044" w14:textId="77777777"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3,6%</w:t>
            </w:r>
            <w:r w:rsidRPr="004C7E05">
              <w:rPr>
                <w:rFonts w:ascii="Times New Roman" w:eastAsia="Arial" w:hAnsi="Times New Roman" w:cs="Times New Roman"/>
                <w:color w:val="000000"/>
                <w:sz w:val="14"/>
                <w:szCs w:val="14"/>
              </w:rPr>
              <w:br/>
              <w:t>(6,0)</w:t>
            </w:r>
          </w:p>
        </w:tc>
      </w:tr>
      <w:tr w:rsidR="004C7E05" w:rsidRPr="004C7E05" w14:paraId="3D361289" w14:textId="77777777" w:rsidTr="00241B01">
        <w:trPr>
          <w:jc w:val="center"/>
        </w:trPr>
        <w:tc>
          <w:tcPr>
            <w:tcW w:w="0" w:type="auto"/>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39E932E8" w14:textId="4BB32186"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7B950D49" w14:textId="6D4D8E29"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&lt;0,001</w:t>
            </w:r>
          </w:p>
        </w:tc>
        <w:tc>
          <w:tcPr>
            <w:tcW w:w="2126" w:type="pct"/>
            <w:gridSpan w:val="2"/>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301686CA" w14:textId="521D08AB" w:rsidR="004C7E05" w:rsidRPr="004C7E05" w:rsidRDefault="004C7E05" w:rsidP="004C7E05">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0,12</w:t>
            </w:r>
          </w:p>
        </w:tc>
      </w:tr>
      <w:tr w:rsidR="00241B01" w:rsidRPr="004C7E05" w14:paraId="6635563F" w14:textId="77777777" w:rsidTr="00241B01">
        <w:trPr>
          <w:jc w:val="center"/>
        </w:trPr>
        <w:tc>
          <w:tcPr>
            <w:tcW w:w="5000" w:type="pct"/>
            <w:gridSpan w:val="5"/>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32A2F300" w14:textId="77777777" w:rsidR="00241B01" w:rsidRPr="00F23351" w:rsidRDefault="00241B01" w:rsidP="00241B0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lastRenderedPageBreak/>
              <w:t>1</w:t>
            </w:r>
            <w:r w:rsidRPr="00F23351">
              <w:rPr>
                <w:rFonts w:ascii="Times New Roman" w:eastAsia="Arial" w:hAnsi="Times New Roman" w:cs="Times New Roman"/>
                <w:color w:val="000000"/>
                <w:sz w:val="14"/>
                <w:szCs w:val="14"/>
              </w:rPr>
              <w:t>Effectifs entre parenthèses.</w:t>
            </w:r>
          </w:p>
          <w:p w14:paraId="305119DF" w14:textId="77777777" w:rsidR="00241B01" w:rsidRPr="00F23351" w:rsidRDefault="00241B01" w:rsidP="00241B0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325A55CE" w14:textId="77777777" w:rsidR="00241B01" w:rsidRDefault="00241B01" w:rsidP="00241B0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F23351">
              <w:rPr>
                <w:rFonts w:ascii="Times New Roman" w:eastAsia="Arial" w:hAnsi="Times New Roman" w:cs="Times New Roman"/>
                <w:color w:val="000000"/>
                <w:sz w:val="14"/>
                <w:szCs w:val="14"/>
              </w:rPr>
              <w:t>es</w:t>
            </w:r>
            <w:r>
              <w:rPr>
                <w:rFonts w:ascii="Times New Roman" w:eastAsia="Arial" w:hAnsi="Times New Roman" w:cs="Times New Roman"/>
                <w:color w:val="000000"/>
                <w:sz w:val="14"/>
                <w:szCs w:val="14"/>
              </w:rPr>
              <w:t xml:space="preserve"> bisexuel∙les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âgé∙es de 20 à 69 ans</w:t>
            </w:r>
            <w:r w:rsidRPr="00F23351">
              <w:rPr>
                <w:rFonts w:ascii="Times New Roman" w:eastAsia="Arial" w:hAnsi="Times New Roman" w:cs="Times New Roman"/>
                <w:color w:val="000000"/>
                <w:sz w:val="14"/>
                <w:szCs w:val="14"/>
              </w:rPr>
              <w:t>.</w:t>
            </w:r>
          </w:p>
          <w:p w14:paraId="4E9A98DA" w14:textId="77777777" w:rsidR="00241B01" w:rsidRDefault="00241B01" w:rsidP="00241B0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54,7</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homosexuelles en couple 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w:t>
            </w:r>
            <w:r>
              <w:rPr>
                <w:rFonts w:ascii="Times New Roman" w:eastAsia="Arial" w:hAnsi="Times New Roman" w:cs="Times New Roman"/>
                <w:color w:val="000000"/>
                <w:sz w:val="14"/>
                <w:szCs w:val="14"/>
              </w:rPr>
              <w:t xml:space="preserve">. </w:t>
            </w:r>
          </w:p>
          <w:p w14:paraId="108C01FF" w14:textId="7CB861E8" w:rsidR="00241B01" w:rsidRPr="00241B01" w:rsidRDefault="00241B01" w:rsidP="00241B01">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7888C55D" w14:textId="64A808C2" w:rsidR="00241B01" w:rsidRDefault="00241B01" w:rsidP="004C7E05"/>
    <w:p w14:paraId="7C6C54E4" w14:textId="239F4466" w:rsidR="00FB64D9" w:rsidRDefault="00FB64D9" w:rsidP="00FB64D9">
      <w:pPr>
        <w:pStyle w:val="NormalWeb"/>
        <w:spacing w:line="360" w:lineRule="auto"/>
        <w:jc w:val="both"/>
      </w:pPr>
      <w:r>
        <w:t xml:space="preserve">Le premier résultat confirme, à une </w:t>
      </w:r>
      <w:proofErr w:type="gramStart"/>
      <w:r>
        <w:t>toute</w:t>
      </w:r>
      <w:proofErr w:type="gramEnd"/>
      <w:r>
        <w:t xml:space="preserve"> autre échelle d'effectifs, la tendance observée en population générale : les femmes bisexuelles déclarent significativement plus de violence psychologique que les lesbiennes (60,7 % contre 54,7 %, p = 0,026) et, plus nettement encore, plus de violence sexuelle (3,9 % contre 0,9 %, p &lt; 0,001). Contrairement à Virage PG, l'effectif de Virage LGBT permet ici de traiter la violence sexuelle comme une catégorie statistiquement exploitable et non plus seulement anecdotique — c'est un apport spécifique de cet échantillon de convenance auquel nous consacrerons la dernière partie de ce chapitre. La violence physique, en revanche, ne présente pas d'écart significatif entre bisexuelles et lesbiennes, ni chez les femmes ni chez les hommes — un résultat cohérent avec les travaux de </w:t>
      </w:r>
      <w:proofErr w:type="spellStart"/>
      <w:r>
        <w:t>Lejbowicz</w:t>
      </w:r>
      <w:proofErr w:type="spellEnd"/>
      <w:r>
        <w:t xml:space="preserve"> (2023) selon lesquels les violences exercées par les femmes s'expriment moins souvent par des atteintes corporelles</w:t>
      </w:r>
      <w:r w:rsidR="00870641">
        <w:t xml:space="preserve"> + les violences déclarées par les lesbiennes et bisexuelles sont moins souvent physiques que celles déclarées par les hétérosexuelles. </w:t>
      </w:r>
    </w:p>
    <w:p w14:paraId="6301A656" w14:textId="14941916" w:rsidR="00FB64D9" w:rsidRDefault="00FB64D9" w:rsidP="00FB64D9">
      <w:pPr>
        <w:pStyle w:val="NormalWeb"/>
        <w:spacing w:line="360" w:lineRule="auto"/>
        <w:jc w:val="both"/>
      </w:pPr>
      <w:r>
        <w:t>Chez les hommes, aucun écart n'est significatif entre bisexuels et gays sur les trois types de violence, ce qui distingue ce résultat de celui obtenu sur l'indicateur global en population générale (Table 12b), où les hommes bisexuels déclaraient davantage de violence au cours de la vie que les hétérosexuels. Cette différence pourrait tenir à la nature de l'échantillon de comparaison (gays plutôt qu'hétérosexuels) autant qu'à la fenêtre temporelle observée (douze derniers mois plutôt que l'ensemble de la vie).</w:t>
      </w:r>
    </w:p>
    <w:p w14:paraId="111AF044" w14:textId="77777777" w:rsidR="00FB64D9" w:rsidRDefault="00FB64D9" w:rsidP="00FB64D9">
      <w:pPr>
        <w:pStyle w:val="Titre2"/>
      </w:pPr>
      <w:r>
        <w:t>V. Les formes de violence psychologique déclarées par les femmes bisexuelles</w:t>
      </w:r>
    </w:p>
    <w:p w14:paraId="27224A45" w14:textId="65E3223B" w:rsidR="00FB64D9" w:rsidRDefault="00FB64D9" w:rsidP="00FB64D9">
      <w:pPr>
        <w:pStyle w:val="NormalWeb"/>
        <w:spacing w:line="360" w:lineRule="auto"/>
        <w:jc w:val="both"/>
      </w:pPr>
      <w:r>
        <w:t xml:space="preserve">Le résultat obtenu sur l'indicateur agrégé psychologique invite à regarder, comme en population générale, quels actes précis composent cet écart. Nous avons construit, sur le même principe que pour les sujets de conflit au Chapitre II, un graphique en </w:t>
      </w:r>
      <w:proofErr w:type="spellStart"/>
      <w:r>
        <w:t>lollipop</w:t>
      </w:r>
      <w:proofErr w:type="spellEnd"/>
      <w:r>
        <w:t xml:space="preserve"> comparant, item par item, la </w:t>
      </w:r>
      <w:r>
        <w:lastRenderedPageBreak/>
        <w:t>proportion de femmes bisexuelles et homosexuelles ayant déclaré chaque forme de violence psychologique au cours des douze derniers mois.</w:t>
      </w:r>
    </w:p>
    <w:p w14:paraId="418809B5" w14:textId="33503587" w:rsidR="00241B01" w:rsidRPr="00241B01" w:rsidRDefault="00241B01" w:rsidP="00241B01">
      <w:pPr>
        <w:pStyle w:val="Table"/>
      </w:pPr>
      <w:r>
        <w:t>Figure 11</w:t>
      </w:r>
      <w:r>
        <w:t xml:space="preserve"> : </w:t>
      </w:r>
      <w:r>
        <w:t>Faits de violence psychologique déclarés</w:t>
      </w:r>
      <w:r w:rsidRPr="005D5189">
        <w:t xml:space="preserve"> </w:t>
      </w:r>
      <w:r>
        <w:t>au cours</w:t>
      </w:r>
      <w:r w:rsidRPr="005D5189">
        <w:t xml:space="preserve"> </w:t>
      </w:r>
      <w:r>
        <w:t>d</w:t>
      </w:r>
      <w:r w:rsidRPr="005D5189">
        <w:t>es 12 derniers mois</w:t>
      </w:r>
      <w:r>
        <w:t xml:space="preserve"> (Virage LGBT). </w:t>
      </w:r>
    </w:p>
    <w:p w14:paraId="1D64DD3C" w14:textId="77777777" w:rsidR="00241B01" w:rsidRDefault="00241B01" w:rsidP="004C7E05"/>
    <w:p w14:paraId="40EE863B" w14:textId="367708FE" w:rsidR="00241B01" w:rsidRDefault="00241B01" w:rsidP="004C7E05">
      <w:r>
        <w:rPr>
          <w:noProof/>
        </w:rPr>
        <w:drawing>
          <wp:inline distT="0" distB="0" distL="0" distR="0" wp14:anchorId="0FA0D231" wp14:editId="55AB4E5E">
            <wp:extent cx="5971540" cy="59715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1540" cy="5971540"/>
                    </a:xfrm>
                    <a:prstGeom prst="rect">
                      <a:avLst/>
                    </a:prstGeom>
                  </pic:spPr>
                </pic:pic>
              </a:graphicData>
            </a:graphic>
          </wp:inline>
        </w:drawing>
      </w:r>
    </w:p>
    <w:p w14:paraId="08D697DB" w14:textId="77777777" w:rsidR="00241B01" w:rsidRDefault="00241B01" w:rsidP="004C7E05"/>
    <w:p w14:paraId="28D3DD6E" w14:textId="77777777" w:rsidR="00FB64D9" w:rsidRDefault="00FB64D9" w:rsidP="00FB64D9">
      <w:pPr>
        <w:pStyle w:val="NormalWeb"/>
        <w:spacing w:line="360" w:lineRule="auto"/>
        <w:jc w:val="both"/>
      </w:pPr>
      <w:r>
        <w:t xml:space="preserve">Sur les seize items observés, deux se distinguent significativement, une fois la correction liée aux comparaisons multiples mise de côté — ce graphique gardant, comme en Chapitre II, une vocation </w:t>
      </w:r>
      <w:r>
        <w:lastRenderedPageBreak/>
        <w:t xml:space="preserve">exploratoire plutôt que confirmatoire : le mépris des opinions (p &lt; 0,01) et la contrainte à payer l'ensemble des dépenses quotidiennes du couple (p &lt; 0,05), tous deux plus fréquemment déclarés par les bisexuelles que par les homosexuelles. Il est notable que ces deux items ne relèvent pas d'un registre de </w:t>
      </w:r>
      <w:commentRangeStart w:id="9"/>
      <w:r>
        <w:t xml:space="preserve">violence explicitement corporel ou sexuel, </w:t>
      </w:r>
      <w:commentRangeEnd w:id="9"/>
      <w:r w:rsidR="00980034">
        <w:rPr>
          <w:rStyle w:val="Marquedecommentaire"/>
          <w:rFonts w:ascii="Aptos" w:eastAsia="Aptos" w:hAnsi="Aptos" w:cs="F"/>
          <w:lang w:eastAsia="en-US"/>
        </w:rPr>
        <w:commentReference w:id="9"/>
      </w:r>
      <w:r>
        <w:t xml:space="preserve">mais bien de formes de contrôle relationnel et économique diffus — cohérent avec le constat déjà établi en population générale d'une violence rarement articulée frontalement à l'identité bisexuelle des enquêtées, mais plutôt exprimée sous des </w:t>
      </w:r>
      <w:proofErr w:type="gramStart"/>
      <w:r>
        <w:t>formes</w:t>
      </w:r>
      <w:proofErr w:type="gramEnd"/>
      <w:r>
        <w:t xml:space="preserve"> génériques de dévalorisation et de contrôle.</w:t>
      </w:r>
    </w:p>
    <w:p w14:paraId="000830E7" w14:textId="27C0445A" w:rsidR="00FB64D9" w:rsidRDefault="00FB64D9" w:rsidP="00FB64D9">
      <w:pPr>
        <w:pStyle w:val="NormalWeb"/>
        <w:spacing w:line="360" w:lineRule="auto"/>
        <w:jc w:val="both"/>
      </w:pPr>
      <w:r>
        <w:t>Pour comprendre plus finement d'où provient cet écart, nous avons repris la question posée en filigrane tout au long du Chapitre II : est-ce le fait d'être bisexuelle en tant que tel, ou le fait d'être bisexuelle en couple avec un homme, qui structure ce résultat ?</w:t>
      </w:r>
    </w:p>
    <w:p w14:paraId="089C99E7" w14:textId="62696302" w:rsidR="00081294" w:rsidRPr="00241B01" w:rsidRDefault="00081294" w:rsidP="00081294">
      <w:pPr>
        <w:pStyle w:val="Table"/>
      </w:pPr>
      <w:r>
        <w:t>Table 1</w:t>
      </w:r>
      <w:r>
        <w:t>5</w:t>
      </w:r>
      <w:r>
        <w:t xml:space="preserve"> : </w:t>
      </w:r>
      <w:r>
        <w:t xml:space="preserve">Déclaration de faits de violences psychologiques selon le type de couple. </w:t>
      </w:r>
      <w:r>
        <w:t xml:space="preserve"> </w:t>
      </w:r>
    </w:p>
    <w:tbl>
      <w:tblPr>
        <w:tblW w:w="5000" w:type="pct"/>
        <w:jc w:val="center"/>
        <w:tblLook w:val="0420" w:firstRow="1" w:lastRow="0" w:firstColumn="0" w:lastColumn="0" w:noHBand="0" w:noVBand="1"/>
      </w:tblPr>
      <w:tblGrid>
        <w:gridCol w:w="1552"/>
        <w:gridCol w:w="2349"/>
        <w:gridCol w:w="2349"/>
        <w:gridCol w:w="2353"/>
        <w:gridCol w:w="771"/>
      </w:tblGrid>
      <w:tr w:rsidR="00081294" w14:paraId="239912EF" w14:textId="77777777" w:rsidTr="00081294">
        <w:trPr>
          <w:tblHeader/>
          <w:jc w:val="center"/>
        </w:trPr>
        <w:tc>
          <w:tcPr>
            <w:tcW w:w="828" w:type="pct"/>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1B6F993" w14:textId="77777777"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3761" w:type="pct"/>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7F1C8F" w14:textId="6B5FC965"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r>
              <w:rPr>
                <w:rFonts w:ascii="Arial" w:eastAsia="Arial" w:hAnsi="Arial" w:cs="Arial"/>
                <w:b/>
                <w:color w:val="000000"/>
                <w:sz w:val="14"/>
                <w:szCs w:val="14"/>
              </w:rPr>
              <w:t>Virage LGBT — Femmes</w:t>
            </w:r>
          </w:p>
        </w:tc>
        <w:tc>
          <w:tcPr>
            <w:tcW w:w="411" w:type="pct"/>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15777A3C" w14:textId="77777777"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p>
        </w:tc>
      </w:tr>
      <w:tr w:rsidR="00081294" w14:paraId="7249C975" w14:textId="77777777" w:rsidTr="00081294">
        <w:trPr>
          <w:tblHeader/>
          <w:jc w:val="center"/>
        </w:trPr>
        <w:tc>
          <w:tcPr>
            <w:tcW w:w="828" w:type="pct"/>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06094407" w14:textId="0C1E84DF"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83815C" w14:textId="77777777"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même sexe</w:t>
            </w:r>
            <w:r>
              <w:rPr>
                <w:rFonts w:ascii="Arial" w:eastAsia="Arial" w:hAnsi="Arial" w:cs="Arial"/>
                <w:color w:val="000000"/>
                <w:sz w:val="14"/>
                <w:szCs w:val="14"/>
              </w:rPr>
              <w:br/>
              <w:t>(249)</w:t>
            </w:r>
            <w:r>
              <w:rPr>
                <w:rFonts w:ascii="Arial" w:eastAsia="Arial" w:hAnsi="Arial" w:cs="Arial"/>
                <w:color w:val="000000"/>
                <w:sz w:val="14"/>
                <w:szCs w:val="14"/>
                <w:vertAlign w:val="superscript"/>
              </w:rPr>
              <w:t>1</w:t>
            </w: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C065E78" w14:textId="77777777"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sexe différent</w:t>
            </w:r>
            <w:r>
              <w:rPr>
                <w:rFonts w:ascii="Arial" w:eastAsia="Arial" w:hAnsi="Arial" w:cs="Arial"/>
                <w:color w:val="000000"/>
                <w:sz w:val="14"/>
                <w:szCs w:val="14"/>
              </w:rPr>
              <w:br/>
              <w:t>(189)</w:t>
            </w:r>
            <w:r>
              <w:rPr>
                <w:rFonts w:ascii="Arial" w:eastAsia="Arial" w:hAnsi="Arial" w:cs="Arial"/>
                <w:color w:val="000000"/>
                <w:sz w:val="14"/>
                <w:szCs w:val="14"/>
                <w:vertAlign w:val="superscript"/>
              </w:rPr>
              <w:t>1</w:t>
            </w:r>
          </w:p>
        </w:tc>
        <w:tc>
          <w:tcPr>
            <w:tcW w:w="125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B62F657" w14:textId="5EBD4D16" w:rsid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 en couple</w:t>
            </w:r>
            <w:r>
              <w:rPr>
                <w:rFonts w:ascii="Arial" w:eastAsia="Arial" w:hAnsi="Arial" w:cs="Arial"/>
                <w:color w:val="000000"/>
                <w:sz w:val="14"/>
                <w:szCs w:val="14"/>
              </w:rPr>
              <w:br/>
              <w:t>(1</w:t>
            </w:r>
            <w:r>
              <w:rPr>
                <w:rFonts w:ascii="Arial" w:eastAsia="Arial" w:hAnsi="Arial" w:cs="Arial"/>
                <w:color w:val="000000"/>
                <w:sz w:val="14"/>
                <w:szCs w:val="14"/>
              </w:rPr>
              <w:t xml:space="preserve"> </w:t>
            </w:r>
            <w:r>
              <w:rPr>
                <w:rFonts w:ascii="Arial" w:eastAsia="Arial" w:hAnsi="Arial" w:cs="Arial"/>
                <w:color w:val="000000"/>
                <w:sz w:val="14"/>
                <w:szCs w:val="14"/>
              </w:rPr>
              <w:t>737)</w:t>
            </w:r>
            <w:r>
              <w:rPr>
                <w:rFonts w:ascii="Arial" w:eastAsia="Arial" w:hAnsi="Arial" w:cs="Arial"/>
                <w:color w:val="000000"/>
                <w:sz w:val="14"/>
                <w:szCs w:val="14"/>
                <w:vertAlign w:val="superscript"/>
              </w:rPr>
              <w:t>1</w:t>
            </w:r>
          </w:p>
        </w:tc>
        <w:tc>
          <w:tcPr>
            <w:tcW w:w="411" w:type="pct"/>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0E912BCB" w14:textId="6E7E11FA" w:rsidR="00081294" w:rsidRPr="00081294" w:rsidRDefault="00081294" w:rsidP="00081294">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Cs/>
                <w:i/>
                <w:iCs/>
                <w:color w:val="000000"/>
                <w:sz w:val="14"/>
                <w:szCs w:val="14"/>
              </w:rPr>
            </w:pPr>
            <w:r w:rsidRPr="00081294">
              <w:rPr>
                <w:rFonts w:ascii="Arial" w:eastAsia="Arial" w:hAnsi="Arial" w:cs="Arial"/>
                <w:bCs/>
                <w:i/>
                <w:iCs/>
                <w:color w:val="000000"/>
                <w:sz w:val="14"/>
                <w:szCs w:val="14"/>
              </w:rPr>
              <w:t>P</w:t>
            </w:r>
            <w:r w:rsidRPr="00081294">
              <w:rPr>
                <w:rFonts w:ascii="Arial" w:eastAsia="Arial" w:hAnsi="Arial" w:cs="Arial"/>
                <w:bCs/>
                <w:i/>
                <w:iCs/>
                <w:color w:val="000000"/>
                <w:sz w:val="14"/>
                <w:szCs w:val="14"/>
              </w:rPr>
              <w:t>-valeur</w:t>
            </w:r>
            <w:r w:rsidRPr="00081294">
              <w:rPr>
                <w:rFonts w:ascii="Arial" w:eastAsia="Arial" w:hAnsi="Arial" w:cs="Arial"/>
                <w:bCs/>
                <w:i/>
                <w:iCs/>
                <w:color w:val="000000"/>
                <w:sz w:val="14"/>
                <w:szCs w:val="14"/>
                <w:vertAlign w:val="superscript"/>
              </w:rPr>
              <w:t>2</w:t>
            </w:r>
          </w:p>
        </w:tc>
      </w:tr>
      <w:tr w:rsidR="00081294" w14:paraId="1D5A82FC" w14:textId="77777777" w:rsidTr="00081294">
        <w:trPr>
          <w:jc w:val="center"/>
        </w:trPr>
        <w:tc>
          <w:tcPr>
            <w:tcW w:w="828" w:type="pct"/>
            <w:tcBorders>
              <w:top w:val="single" w:sz="8" w:space="0" w:color="000000"/>
              <w:left w:val="single" w:sz="12" w:space="0" w:color="auto"/>
              <w:right w:val="single" w:sz="4" w:space="0" w:color="auto"/>
            </w:tcBorders>
            <w:shd w:val="clear" w:color="auto" w:fill="FFFFFF"/>
            <w:tcMar>
              <w:top w:w="0" w:type="dxa"/>
              <w:left w:w="0" w:type="dxa"/>
              <w:bottom w:w="0" w:type="dxa"/>
              <w:right w:w="0" w:type="dxa"/>
            </w:tcMar>
          </w:tcPr>
          <w:p w14:paraId="13C28EFC" w14:textId="6207EF95" w:rsidR="00081294" w:rsidRP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Mépris des opinions</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29F4083B"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11,5%</w:t>
            </w:r>
            <w:r>
              <w:rPr>
                <w:rFonts w:ascii="Arial" w:eastAsia="Arial" w:hAnsi="Arial" w:cs="Arial"/>
                <w:color w:val="000000"/>
                <w:sz w:val="14"/>
                <w:szCs w:val="14"/>
              </w:rPr>
              <w:br/>
              <w:t>(28,0)</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11EC7922"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29,7%</w:t>
            </w:r>
            <w:r>
              <w:rPr>
                <w:rFonts w:ascii="Arial" w:eastAsia="Arial" w:hAnsi="Arial" w:cs="Arial"/>
                <w:color w:val="000000"/>
                <w:sz w:val="14"/>
                <w:szCs w:val="14"/>
              </w:rPr>
              <w:br/>
              <w:t>(54,0)</w:t>
            </w:r>
          </w:p>
        </w:tc>
        <w:tc>
          <w:tcPr>
            <w:tcW w:w="1255"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37EFBB95"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w:t>
            </w:r>
            <w:r>
              <w:rPr>
                <w:rFonts w:ascii="Arial" w:eastAsia="Arial" w:hAnsi="Arial" w:cs="Arial"/>
                <w:color w:val="000000"/>
                <w:sz w:val="14"/>
                <w:szCs w:val="14"/>
              </w:rPr>
              <w:br/>
              <w:t>(222,0)</w:t>
            </w:r>
          </w:p>
        </w:tc>
        <w:tc>
          <w:tcPr>
            <w:tcW w:w="411" w:type="pct"/>
            <w:tcBorders>
              <w:top w:val="single" w:sz="8"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02FC1FBF" w14:textId="77777777" w:rsidR="00081294" w:rsidRP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&lt;0,001</w:t>
            </w:r>
          </w:p>
        </w:tc>
      </w:tr>
      <w:tr w:rsidR="00081294" w14:paraId="65B55A2F" w14:textId="77777777" w:rsidTr="00081294">
        <w:trPr>
          <w:jc w:val="center"/>
        </w:trPr>
        <w:tc>
          <w:tcPr>
            <w:tcW w:w="828" w:type="pct"/>
            <w:tcBorders>
              <w:left w:val="single" w:sz="12" w:space="0" w:color="auto"/>
              <w:bottom w:val="single" w:sz="8" w:space="0" w:color="000000"/>
              <w:right w:val="single" w:sz="4" w:space="0" w:color="auto"/>
            </w:tcBorders>
            <w:shd w:val="clear" w:color="auto" w:fill="FFFFFF"/>
            <w:tcMar>
              <w:top w:w="0" w:type="dxa"/>
              <w:left w:w="0" w:type="dxa"/>
              <w:bottom w:w="0" w:type="dxa"/>
              <w:right w:w="0" w:type="dxa"/>
            </w:tcMar>
          </w:tcPr>
          <w:p w14:paraId="345FB18D" w14:textId="2DA0739D" w:rsidR="00081294" w:rsidRP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Contrainte à payer toutes les dépenses</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62B3AF3"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w:t>
            </w:r>
            <w:r>
              <w:rPr>
                <w:rFonts w:ascii="Arial" w:eastAsia="Arial" w:hAnsi="Arial" w:cs="Arial"/>
                <w:color w:val="000000"/>
                <w:sz w:val="14"/>
                <w:szCs w:val="14"/>
              </w:rPr>
              <w:br/>
              <w:t>(4,0)</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381561E"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w:t>
            </w:r>
            <w:r>
              <w:rPr>
                <w:rFonts w:ascii="Arial" w:eastAsia="Arial" w:hAnsi="Arial" w:cs="Arial"/>
                <w:color w:val="000000"/>
                <w:sz w:val="14"/>
                <w:szCs w:val="14"/>
              </w:rPr>
              <w:br/>
              <w:t>(7,0)</w:t>
            </w:r>
          </w:p>
        </w:tc>
        <w:tc>
          <w:tcPr>
            <w:tcW w:w="125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23D18E93" w14:textId="77777777"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w:t>
            </w:r>
            <w:r>
              <w:rPr>
                <w:rFonts w:ascii="Arial" w:eastAsia="Arial" w:hAnsi="Arial" w:cs="Arial"/>
                <w:color w:val="000000"/>
                <w:sz w:val="14"/>
                <w:szCs w:val="14"/>
              </w:rPr>
              <w:br/>
              <w:t>(16,0)</w:t>
            </w:r>
          </w:p>
        </w:tc>
        <w:tc>
          <w:tcPr>
            <w:tcW w:w="411" w:type="pct"/>
            <w:tcBorders>
              <w:top w:val="none" w:sz="0" w:space="0" w:color="000000"/>
              <w:left w:val="single" w:sz="4" w:space="0" w:color="auto"/>
              <w:bottom w:val="single" w:sz="8" w:space="0" w:color="000000"/>
              <w:right w:val="single" w:sz="12" w:space="0" w:color="auto"/>
            </w:tcBorders>
            <w:shd w:val="clear" w:color="auto" w:fill="FFFFFF"/>
            <w:tcMar>
              <w:top w:w="0" w:type="dxa"/>
              <w:left w:w="0" w:type="dxa"/>
              <w:bottom w:w="0" w:type="dxa"/>
              <w:right w:w="0" w:type="dxa"/>
            </w:tcMar>
          </w:tcPr>
          <w:p w14:paraId="3957506E" w14:textId="77777777" w:rsidR="00081294" w:rsidRP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0,005</w:t>
            </w:r>
          </w:p>
        </w:tc>
      </w:tr>
      <w:tr w:rsidR="00081294" w14:paraId="4DBAB6C7" w14:textId="77777777" w:rsidTr="00081294">
        <w:trPr>
          <w:trHeight w:val="1361"/>
          <w:jc w:val="center"/>
        </w:trPr>
        <w:tc>
          <w:tcPr>
            <w:tcW w:w="5000" w:type="pct"/>
            <w:gridSpan w:val="5"/>
            <w:tcBorders>
              <w:top w:val="single" w:sz="8" w:space="0" w:color="000000"/>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068881D3" w14:textId="77777777" w:rsidR="00081294" w:rsidRPr="00F23351" w:rsidRDefault="00081294" w:rsidP="000812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entre parenthèses.</w:t>
            </w:r>
          </w:p>
          <w:p w14:paraId="3DE930C7" w14:textId="77777777" w:rsidR="00081294" w:rsidRPr="00F23351" w:rsidRDefault="00081294" w:rsidP="000812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360113D1" w14:textId="3075166C" w:rsidR="00081294" w:rsidRDefault="00081294" w:rsidP="000812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âgées de 20 à 69 ans</w:t>
            </w:r>
            <w:r w:rsidRPr="00F23351">
              <w:rPr>
                <w:rFonts w:ascii="Times New Roman" w:eastAsia="Arial" w:hAnsi="Times New Roman" w:cs="Times New Roman"/>
                <w:color w:val="000000"/>
                <w:sz w:val="14"/>
                <w:szCs w:val="14"/>
              </w:rPr>
              <w:t>.</w:t>
            </w:r>
          </w:p>
          <w:p w14:paraId="62620460" w14:textId="063B95E5" w:rsidR="00081294" w:rsidRDefault="00081294" w:rsidP="00081294">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11,5</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bisexuelles</w:t>
            </w:r>
            <w:r>
              <w:rPr>
                <w:rFonts w:ascii="Times New Roman" w:eastAsia="Arial" w:hAnsi="Times New Roman" w:cs="Times New Roman"/>
                <w:color w:val="000000"/>
                <w:sz w:val="14"/>
                <w:szCs w:val="14"/>
              </w:rPr>
              <w:t xml:space="preserve"> en couple </w:t>
            </w:r>
            <w:r>
              <w:rPr>
                <w:rFonts w:ascii="Times New Roman" w:eastAsia="Arial" w:hAnsi="Times New Roman" w:cs="Times New Roman"/>
                <w:color w:val="000000"/>
                <w:sz w:val="14"/>
                <w:szCs w:val="14"/>
              </w:rPr>
              <w:t xml:space="preserve">de même sexe </w:t>
            </w:r>
            <w:r>
              <w:rPr>
                <w:rFonts w:ascii="Times New Roman" w:eastAsia="Arial" w:hAnsi="Times New Roman" w:cs="Times New Roman"/>
                <w:color w:val="000000"/>
                <w:sz w:val="14"/>
                <w:szCs w:val="14"/>
              </w:rPr>
              <w:t xml:space="preserve">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w:t>
            </w:r>
            <w:r>
              <w:rPr>
                <w:rFonts w:ascii="Times New Roman" w:eastAsia="Arial" w:hAnsi="Times New Roman" w:cs="Times New Roman"/>
                <w:color w:val="000000"/>
                <w:sz w:val="14"/>
                <w:szCs w:val="14"/>
              </w:rPr>
              <w:t xml:space="preserve">au moins un fait de mépris des opinions </w:t>
            </w:r>
            <w:r w:rsidRPr="00F23351">
              <w:rPr>
                <w:rFonts w:ascii="Times New Roman" w:eastAsia="Arial" w:hAnsi="Times New Roman" w:cs="Times New Roman"/>
                <w:color w:val="000000"/>
                <w:sz w:val="14"/>
                <w:szCs w:val="14"/>
              </w:rPr>
              <w:t>dans les 12 mois précédent l'enquête</w:t>
            </w:r>
            <w:r>
              <w:rPr>
                <w:rFonts w:ascii="Times New Roman" w:eastAsia="Arial" w:hAnsi="Times New Roman" w:cs="Times New Roman"/>
                <w:color w:val="000000"/>
                <w:sz w:val="14"/>
                <w:szCs w:val="14"/>
              </w:rPr>
              <w:t xml:space="preserve">. </w:t>
            </w:r>
          </w:p>
          <w:p w14:paraId="7951AF30" w14:textId="654ED3B4" w:rsidR="00081294" w:rsidRDefault="00081294" w:rsidP="0008129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7AC8EB69" w14:textId="77777777" w:rsidR="00081294" w:rsidRPr="004C7E05" w:rsidRDefault="00081294" w:rsidP="00081294">
      <w:pPr>
        <w:rPr>
          <w:rFonts w:ascii="Times New Roman" w:hAnsi="Times New Roman" w:cs="Times New Roman"/>
          <w:sz w:val="14"/>
          <w:szCs w:val="14"/>
        </w:rPr>
      </w:pPr>
    </w:p>
    <w:p w14:paraId="4275330A" w14:textId="7E61CAED" w:rsidR="00241B01" w:rsidRPr="00FB64D9" w:rsidRDefault="00FB64D9" w:rsidP="00FB64D9">
      <w:pPr>
        <w:spacing w:line="360" w:lineRule="auto"/>
        <w:jc w:val="both"/>
        <w:rPr>
          <w:rFonts w:ascii="Times New Roman" w:hAnsi="Times New Roman" w:cs="Times New Roman"/>
        </w:rPr>
      </w:pPr>
      <w:r w:rsidRPr="00FB64D9">
        <w:rPr>
          <w:rFonts w:ascii="Times New Roman" w:hAnsi="Times New Roman" w:cs="Times New Roman"/>
        </w:rPr>
        <w:t>La réponse est nette. Une fois les femmes bisexuelles distinguées selon le type de couple, l'écart avec les homosexuelles se concentre presque intégralement chez celles en couple de sexe différent : 29,7 % d'entre elles déclarent le mépris de leurs opinions par leur partenaire, contre 12,9 % des homosexuelles en couple et 11,5 % des bisexuelles en couple de même sexe — un taux quasiment identique à celui des homosexuelles. Le même schéma se retrouve, à moindre échelle, sur la contrainte à payer les dépenses (4,3 % contre 1,0 % et 1,8 %). Ce résultat prolonge directement celui du Chapitre II sur la vulnérabilité conjugale spécifique des bisexuelles en couple avec un homme, observée sur la satisfaction conjugale, le sentiment amoureux, l'intention de rupture et la dépression : il montre qu'elle s'étend également à la déclaration de violence psychologique proprement dite.</w:t>
      </w:r>
      <w:r w:rsidRPr="00FB64D9">
        <w:rPr>
          <w:rFonts w:ascii="Times New Roman" w:hAnsi="Times New Roman" w:cs="Times New Roman"/>
        </w:rPr>
        <w:t xml:space="preserve"> </w:t>
      </w:r>
    </w:p>
    <w:p w14:paraId="1CB19202" w14:textId="77777777" w:rsidR="00FB64D9" w:rsidRPr="00FB64D9" w:rsidRDefault="00FB64D9" w:rsidP="00FB64D9">
      <w:pPr>
        <w:pStyle w:val="NormalWeb"/>
        <w:spacing w:line="360" w:lineRule="auto"/>
        <w:jc w:val="both"/>
      </w:pPr>
      <w:r w:rsidRPr="00FB64D9">
        <w:lastRenderedPageBreak/>
        <w:t>Afin de vérifier que ce résultat ne reflète pas simplement un effet plus général de la configuration de genre du couple — les couples hétérosexuels connaîtraient-ils, en population générale, davantage ce type de violence que les couples de femmes, indépendamment de l'orientation sexuelle ? — nous avons reproduit la même comparaison au sein de l'échantillon Virage PG, en isolant les femmes bisexuelles des hétérosexuelles et en les répartissant selon le type de couple. Le résultat écarte cette hypothèse alternative : parmi les hétérosexuelles en couple avec un homme, seules 5,3 % déclarent du mépris de leurs opinions — un taux proche de celui des bisexuelles en couple de même sexe (5,6 %) et très inférieur à celui des bisexuelles en couple avec un homme (16,3 %). Autrement dit, ce n'est pas la présence d'un partenaire homme en tant que telle qui élève le risque déclaré de ce type de violence — les hétérosexuelles en couple mixte n'y sont pas plus exposées que la moyenne — mais bien la conjonction spécifique d'une identification bisexuelle et d'une relation avec un homme. Ce résultat, obtenu sur des effectifs faibles des deux côtés (n = 13 pour les bisexuelles en couple de même sexe en PG, IC à 95 % larges) et donc à interpréter avec prudence, va dans le sens d'une spécificité propre à la situation conjugale des femmes bisexuelles en couple hétéro-apparent, plutôt que d'un simple artefact de la présence masculine dans le couple.</w:t>
      </w:r>
    </w:p>
    <w:p w14:paraId="633B1C1C" w14:textId="77777777" w:rsidR="00FB64D9" w:rsidRPr="00FB64D9" w:rsidRDefault="00FB64D9" w:rsidP="00FB64D9">
      <w:pPr>
        <w:pStyle w:val="NormalWeb"/>
        <w:spacing w:line="360" w:lineRule="auto"/>
        <w:jc w:val="both"/>
      </w:pPr>
      <w:r w:rsidRPr="00FB64D9">
        <w:t>Cette convergence entre les deux enquêtes — sur des échantillons, des méthodes de recrutement et des effectifs très différents — renforce la lecture avancée au Chapitre II : le couple hétéro-apparent semble constituer, pour les femmes bisexuelles, un contexte de vulnérabilité spécifique, potentiellement lié à l'invisibilisation de la bisexualité dans ce cadre et à une moindre légitimation de cette identité comme grille de lecture des tensions conjugales, plutôt qu'à un simple effet mécanique du genre du partenaire.</w:t>
      </w:r>
    </w:p>
    <w:p w14:paraId="523FF33D" w14:textId="402DD9E8" w:rsidR="00241B01" w:rsidRDefault="00FB64D9" w:rsidP="00FB64D9">
      <w:pPr>
        <w:pStyle w:val="Titre2"/>
      </w:pPr>
      <w:r>
        <w:t xml:space="preserve">VI. Violences sexuelles déclarées par les femmes bisexuelles : une analyse </w:t>
      </w:r>
      <w:proofErr w:type="spellStart"/>
      <w:r>
        <w:t>quali</w:t>
      </w:r>
      <w:proofErr w:type="spellEnd"/>
      <w:r>
        <w:t>-sur-quanti</w:t>
      </w:r>
    </w:p>
    <w:p w14:paraId="43983A38" w14:textId="61F89D33" w:rsidR="00FB64D9" w:rsidRDefault="00FB64D9" w:rsidP="00FB64D9">
      <w:pPr>
        <w:pStyle w:val="NormalWeb"/>
        <w:spacing w:line="360" w:lineRule="auto"/>
        <w:jc w:val="both"/>
      </w:pPr>
      <w:r>
        <w:t xml:space="preserve">L'apport le plus spécifique de l'échantillon Virage LGBT à ce chapitre concerne la violence sexuelle. Alors que Virage PG ne comptait qu'une seule bisexuelle déclarante, rendant toute analyse impossible, l'échantillon de convenance en réunit dix-sept, permettant une première exploration de cette dimension </w:t>
      </w:r>
      <w:r w:rsidRPr="00A10569">
        <w:rPr>
          <w:highlight w:val="yellow"/>
        </w:rPr>
        <w:t>pourtant identifiée par la littérature comme spécifiquement associée à la bisexualité et à l'homosexualité féminines (</w:t>
      </w:r>
      <w:proofErr w:type="spellStart"/>
      <w:r w:rsidRPr="00A10569">
        <w:rPr>
          <w:highlight w:val="yellow"/>
        </w:rPr>
        <w:t>Flanders</w:t>
      </w:r>
      <w:proofErr w:type="spellEnd"/>
      <w:r w:rsidRPr="00A10569">
        <w:rPr>
          <w:highlight w:val="yellow"/>
        </w:rPr>
        <w:t xml:space="preserve"> et al., 2019 ; </w:t>
      </w:r>
      <w:proofErr w:type="spellStart"/>
      <w:r w:rsidRPr="00A10569">
        <w:rPr>
          <w:highlight w:val="yellow"/>
        </w:rPr>
        <w:t>Lejbowicz</w:t>
      </w:r>
      <w:proofErr w:type="spellEnd"/>
      <w:r w:rsidRPr="00A10569">
        <w:rPr>
          <w:highlight w:val="yellow"/>
        </w:rPr>
        <w:t>, 2023</w:t>
      </w:r>
      <w:r>
        <w:t xml:space="preserve">). Dix-sept cas restent un effectif trop réduit pour toute exploitation statistique — nous procédons donc, comme pour les </w:t>
      </w:r>
      <w:r>
        <w:lastRenderedPageBreak/>
        <w:t xml:space="preserve">violences psychologiques en population générale, à une analyse individu par individu croisant </w:t>
      </w:r>
      <w:r w:rsidR="00A10569">
        <w:t>configuration conjugal</w:t>
      </w:r>
      <w:r>
        <w:t>, détail des violences déclarées tous registres confondus (psychologique, physique, sexuel), gravité perçue, fait le plus marquant, dévoilement à l'entourage et violences familiales antérieures au couple actuel.</w:t>
      </w:r>
    </w:p>
    <w:p w14:paraId="7C89F152" w14:textId="747EA574" w:rsidR="00AB1012" w:rsidRDefault="00FB64D9" w:rsidP="00FB64D9">
      <w:pPr>
        <w:pStyle w:val="NormalWeb"/>
        <w:spacing w:line="360" w:lineRule="auto"/>
        <w:jc w:val="both"/>
      </w:pPr>
      <w:r>
        <w:t>Le premier constat descriptif prolonge directement celui établi sur les violences psychologiques : quinze des dix-sept femmes sont en couple avec un homme, deux seulement en couple avec une femme. La violence sexuelle déclarée par les femmes bisexuelles se concentre donc, elle aussi, presque exclusivement dans les configurations de couple hétéro-apparentes — confirmant à l'échelle individuelle ce que montrait déjà la comparaison agrégée (3,9 % contre 0,9 % chez les homosexuelles)</w:t>
      </w:r>
      <w:r w:rsidR="00AB1012">
        <w:t>.</w:t>
      </w:r>
    </w:p>
    <w:p w14:paraId="0803E8DF" w14:textId="77777777" w:rsidR="00AB1012" w:rsidRDefault="00FB64D9" w:rsidP="00FB64D9">
      <w:pPr>
        <w:pStyle w:val="NormalWeb"/>
        <w:spacing w:line="360" w:lineRule="auto"/>
        <w:jc w:val="both"/>
      </w:pPr>
      <w:r>
        <w:t xml:space="preserve">L'examen cas par cas fait apparaître quatre configurations. </w:t>
      </w:r>
    </w:p>
    <w:p w14:paraId="181DE18D" w14:textId="4D629F7C" w:rsidR="00AB1012" w:rsidRDefault="00FB64D9" w:rsidP="00FB64D9">
      <w:pPr>
        <w:pStyle w:val="NormalWeb"/>
        <w:spacing w:line="360" w:lineRule="auto"/>
        <w:jc w:val="both"/>
      </w:pPr>
      <w:r>
        <w:t xml:space="preserve">Un premier groupe, le plus sévère, cumule les trois registres de violence : contrôle psychologique intense et quotidien, violence physique et violence sexuelle répétée, jusqu'à un viol hebdomadaire dans le cas le plus marqué, désigné par l'enquêtée elle-même comme le fait le plus grave de sa relation. Ce cumul illustre, comme le cas isolé identifié en population générale, le constat de </w:t>
      </w:r>
      <w:proofErr w:type="spellStart"/>
      <w:r w:rsidRPr="00A10569">
        <w:rPr>
          <w:highlight w:val="yellow"/>
        </w:rPr>
        <w:t>Turell</w:t>
      </w:r>
      <w:proofErr w:type="spellEnd"/>
      <w:r w:rsidRPr="00A10569">
        <w:rPr>
          <w:highlight w:val="yellow"/>
        </w:rPr>
        <w:t>, Brown et Herrmann (2018)</w:t>
      </w:r>
      <w:r>
        <w:t xml:space="preserve"> selon lequel contrôle sexuel et violence psychologique ne constituent pas des registres indépendants mais coexistent fréquemment chez les mêmes personnes. </w:t>
      </w:r>
    </w:p>
    <w:p w14:paraId="0587103F" w14:textId="77777777" w:rsidR="00AB1012" w:rsidRDefault="00AB1012" w:rsidP="00AB1012">
      <w:pPr>
        <w:pStyle w:val="Titre4"/>
      </w:pPr>
      <w:r>
        <w:t>Groupe A — Cumul sévère : contrôle intense + violence physique + violence sexuelle répétée</w:t>
      </w:r>
    </w:p>
    <w:p w14:paraId="2986E574" w14:textId="77777777" w:rsidR="00AB1012" w:rsidRDefault="00AB1012" w:rsidP="00AB1012">
      <w:pPr>
        <w:pStyle w:val="NormalWeb"/>
      </w:pPr>
      <w:proofErr w:type="gramStart"/>
      <w:r>
        <w:rPr>
          <w:rStyle w:val="lev"/>
        </w:rPr>
        <w:t>n</w:t>
      </w:r>
      <w:proofErr w:type="gramEnd"/>
      <w:r>
        <w:rPr>
          <w:rStyle w:val="lev"/>
        </w:rPr>
        <w:t>°3672</w:t>
      </w:r>
      <w:r>
        <w:t xml:space="preserve"> — En couple mixte depuis seulement </w:t>
      </w:r>
      <w:r>
        <w:rPr>
          <w:rStyle w:val="lev"/>
        </w:rPr>
        <w:t>2 mois</w:t>
      </w:r>
      <w:r>
        <w:t xml:space="preserve"> (dernière relation, module Q34), sans enfant. Entrée très précoce dans la sexualité (</w:t>
      </w:r>
      <w:r>
        <w:rPr>
          <w:rStyle w:val="lev"/>
        </w:rPr>
        <w:t>premier rapport à 9 ans</w:t>
      </w:r>
      <w:r>
        <w:t xml:space="preserve">), attirance déclarée « autant hommes que femmes », </w:t>
      </w:r>
      <w:r>
        <w:rPr>
          <w:rStyle w:val="lev"/>
        </w:rPr>
        <w:t>20 partenaires</w:t>
      </w:r>
      <w:r>
        <w:t xml:space="preserve"> au cours des 12 derniers mois, </w:t>
      </w:r>
      <w:r>
        <w:rPr>
          <w:rStyle w:val="lev"/>
        </w:rPr>
        <w:t>consommation d'alcool quotidienne</w:t>
      </w:r>
      <w:r>
        <w:t>. Dépression/anxiété actuelle déclarée, une tentative de suicide au cours de la vie. Historique familial : violences sur l'ensemble des huit registres (F1-F9).</w:t>
      </w:r>
      <w:r>
        <w:br/>
        <w:t xml:space="preserve">→ Le cumul le plus lourd du corpus sur tous les plans à la fois : conjugal (contrôle quotidien + viol hebdomadaire), sexuel-biographique (précocité extrême, </w:t>
      </w:r>
      <w:proofErr w:type="spellStart"/>
      <w:r>
        <w:t>multipartenariat</w:t>
      </w:r>
      <w:proofErr w:type="spellEnd"/>
      <w:r>
        <w:t xml:space="preserve"> élevé), santé mentale et alcool, et violences familiales antérieures. Profil cohérent avec la littérature sur la </w:t>
      </w:r>
      <w:proofErr w:type="spellStart"/>
      <w:r>
        <w:t>cumulativité</w:t>
      </w:r>
      <w:proofErr w:type="spellEnd"/>
      <w:r>
        <w:t xml:space="preserve"> des vulnérabilités (</w:t>
      </w:r>
      <w:proofErr w:type="spellStart"/>
      <w:r>
        <w:t>Jaspard</w:t>
      </w:r>
      <w:proofErr w:type="spellEnd"/>
      <w:r>
        <w:t xml:space="preserve"> et al., 2002 ; </w:t>
      </w:r>
      <w:proofErr w:type="spellStart"/>
      <w:r>
        <w:t>Maillochon</w:t>
      </w:r>
      <w:proofErr w:type="spellEnd"/>
      <w:r>
        <w:t xml:space="preserve"> et </w:t>
      </w:r>
      <w:proofErr w:type="spellStart"/>
      <w:r>
        <w:t>Selz</w:t>
      </w:r>
      <w:proofErr w:type="spellEnd"/>
      <w:r>
        <w:t>, 2010).</w:t>
      </w:r>
    </w:p>
    <w:p w14:paraId="371D5F32" w14:textId="77777777" w:rsidR="00AB1012" w:rsidRDefault="00AB1012" w:rsidP="00AB1012">
      <w:pPr>
        <w:pStyle w:val="NormalWeb"/>
      </w:pPr>
      <w:proofErr w:type="gramStart"/>
      <w:r>
        <w:rPr>
          <w:rStyle w:val="lev"/>
        </w:rPr>
        <w:t>n</w:t>
      </w:r>
      <w:proofErr w:type="gramEnd"/>
      <w:r>
        <w:rPr>
          <w:rStyle w:val="lev"/>
        </w:rPr>
        <w:t>°1513</w:t>
      </w:r>
      <w:r>
        <w:t xml:space="preserve"> — Relation qualifiée de « dernière relation » (module Q14), </w:t>
      </w:r>
      <w:r>
        <w:rPr>
          <w:rStyle w:val="lev"/>
        </w:rPr>
        <w:t>6 mois</w:t>
      </w:r>
      <w:r>
        <w:t xml:space="preserve"> de cohabitation, sans enfant. Premier rapport à 17 ans, </w:t>
      </w:r>
      <w:r>
        <w:rPr>
          <w:rStyle w:val="lev"/>
        </w:rPr>
        <w:t>7 partenaires</w:t>
      </w:r>
      <w:r>
        <w:t xml:space="preserve"> sur 12 mois, consommation d'alcool 2-3 fois/semaine. Pas de dépression déclarée ni d'idées noires. Aucune violence familiale antérieure déclarée.</w:t>
      </w:r>
      <w:r>
        <w:br/>
      </w:r>
      <w:r>
        <w:lastRenderedPageBreak/>
        <w:t xml:space="preserve">→ Cas notable : gravité perçue maximale ("tous très graves") et cumul psy/physique les plus élevés du corpus, mais </w:t>
      </w:r>
      <w:r>
        <w:rPr>
          <w:rStyle w:val="lev"/>
        </w:rPr>
        <w:t>sans</w:t>
      </w:r>
      <w:r>
        <w:t xml:space="preserve"> les marqueurs de vulnérabilité antérieure (ni familiale, ni santé mentale) qu'on retrouve chez 3672 — la sévérité semble ici propre à la relation elle-même plutôt qu'inscrite dans une trajectoire de victimisation cumulée.</w:t>
      </w:r>
    </w:p>
    <w:p w14:paraId="5B8D39E7" w14:textId="5D7CECD7" w:rsidR="00AB1012" w:rsidRDefault="00AB1012" w:rsidP="00AB1012">
      <w:pPr>
        <w:pStyle w:val="NormalWeb"/>
      </w:pPr>
      <w:proofErr w:type="gramStart"/>
      <w:r>
        <w:rPr>
          <w:rStyle w:val="lev"/>
        </w:rPr>
        <w:t>n</w:t>
      </w:r>
      <w:proofErr w:type="gramEnd"/>
      <w:r>
        <w:rPr>
          <w:rStyle w:val="lev"/>
        </w:rPr>
        <w:t>°11957</w:t>
      </w:r>
      <w:r>
        <w:t xml:space="preserve"> — En couple depuis </w:t>
      </w:r>
      <w:r>
        <w:rPr>
          <w:rStyle w:val="lev"/>
        </w:rPr>
        <w:t>36 mois</w:t>
      </w:r>
      <w:r>
        <w:t xml:space="preserve"> (3 ans), non cohabitant (module Q10). Premier rapport à 15 ans, 2 partenaires sur 12 mois, alcool 2-3x/semaine. </w:t>
      </w:r>
      <w:r>
        <w:rPr>
          <w:rStyle w:val="lev"/>
        </w:rPr>
        <w:t>Dépression/anxiété actuelle</w:t>
      </w:r>
      <w:r>
        <w:t xml:space="preserve"> et </w:t>
      </w:r>
      <w:r>
        <w:rPr>
          <w:rStyle w:val="lev"/>
        </w:rPr>
        <w:t>une tentative de suicide</w:t>
      </w:r>
      <w:r>
        <w:t xml:space="preserve"> au cours de la vie. Trois registres de violence familiale antérieure (F1, F3, F7).</w:t>
      </w:r>
      <w:r>
        <w:br/>
        <w:t>→ Relation plus installée dans la durée que les deux précédentes, mais cumul similaire de vulnérabilité en santé mentale et de violence familiale passée.</w:t>
      </w:r>
    </w:p>
    <w:p w14:paraId="3C504285" w14:textId="77777777" w:rsidR="00AB1012" w:rsidRDefault="00AB1012" w:rsidP="00AB1012">
      <w:pPr>
        <w:pStyle w:val="Titre4"/>
      </w:pPr>
      <w:r>
        <w:t>Groupe A — Cumul sévère : contrôle intense + violence physique + violence sexuelle répétée (n°1513, n°3672, n°11957)</w:t>
      </w:r>
    </w:p>
    <w:p w14:paraId="6E14B544" w14:textId="77777777" w:rsidR="00AB1012" w:rsidRDefault="00AB1012" w:rsidP="00AB1012">
      <w:pPr>
        <w:pStyle w:val="NormalWeb"/>
      </w:pPr>
      <w:r>
        <w:t>Les trois cas les plus lourds du corpus, tous en couple mixte, toutes âgées de 20-29 ans (sauf aucune exception ici) :</w:t>
      </w:r>
    </w:p>
    <w:p w14:paraId="2B7AE073" w14:textId="77777777" w:rsidR="00AB1012" w:rsidRDefault="00AB1012" w:rsidP="00AB1012">
      <w:pPr>
        <w:widowControl/>
        <w:numPr>
          <w:ilvl w:val="0"/>
          <w:numId w:val="35"/>
        </w:numPr>
        <w:suppressAutoHyphens w:val="0"/>
        <w:autoSpaceDN/>
        <w:spacing w:before="100" w:beforeAutospacing="1" w:after="100" w:afterAutospacing="1"/>
        <w:textAlignment w:val="auto"/>
      </w:pPr>
      <w:proofErr w:type="gramStart"/>
      <w:r>
        <w:rPr>
          <w:rStyle w:val="lev"/>
        </w:rPr>
        <w:t>n</w:t>
      </w:r>
      <w:proofErr w:type="gramEnd"/>
      <w:r>
        <w:rPr>
          <w:rStyle w:val="lev"/>
        </w:rPr>
        <w:t>°3672</w:t>
      </w:r>
      <w:r>
        <w:t xml:space="preserve"> : le profil le plus sévère — cumul de 10 items psychologiques </w:t>
      </w:r>
      <w:r>
        <w:rPr>
          <w:rStyle w:val="Accentuation"/>
        </w:rPr>
        <w:t>quotidiens ou quasi-hebdomadaires</w:t>
      </w:r>
      <w:r>
        <w:t xml:space="preserve"> (exigences de contrôle, dévalorisation, mépris des opinions tous les jours), 2 items physiques, et un </w:t>
      </w:r>
      <w:r>
        <w:rPr>
          <w:rStyle w:val="lev"/>
        </w:rPr>
        <w:t>viol répété environ chaque semaine</w:t>
      </w:r>
      <w:r>
        <w:t xml:space="preserve"> (C30 et C31 tous deux à "~hebdo"). Fait le plus marquant retenu : le rapport sexuel forcé. Historique familial chargé (tous les items F1-F9 = Oui). N'en a </w:t>
      </w:r>
      <w:r>
        <w:rPr>
          <w:rStyle w:val="lev"/>
        </w:rPr>
        <w:t>pas parlé</w:t>
      </w:r>
      <w:r>
        <w:t xml:space="preserve"> à son entourage (C45=Non).</w:t>
      </w:r>
    </w:p>
    <w:p w14:paraId="2401613D" w14:textId="77777777" w:rsidR="00AB1012" w:rsidRDefault="00AB1012" w:rsidP="00AB1012">
      <w:pPr>
        <w:widowControl/>
        <w:numPr>
          <w:ilvl w:val="0"/>
          <w:numId w:val="35"/>
        </w:numPr>
        <w:suppressAutoHyphens w:val="0"/>
        <w:autoSpaceDN/>
        <w:spacing w:before="100" w:beforeAutospacing="1" w:after="100" w:afterAutospacing="1"/>
        <w:textAlignment w:val="auto"/>
      </w:pPr>
      <w:proofErr w:type="gramStart"/>
      <w:r>
        <w:rPr>
          <w:rStyle w:val="lev"/>
        </w:rPr>
        <w:t>n</w:t>
      </w:r>
      <w:proofErr w:type="gramEnd"/>
      <w:r>
        <w:rPr>
          <w:rStyle w:val="lev"/>
        </w:rPr>
        <w:t>°1513</w:t>
      </w:r>
      <w:r>
        <w:t xml:space="preserve"> : 14 items psychologiques, 3 physiques, gravité perçue "tous très graves" — seul cas du corpus à atteindre ce niveau de gravité perçue maximal. Fait le plus marquant : coups de poing/pied.</w:t>
      </w:r>
    </w:p>
    <w:p w14:paraId="63FC233F" w14:textId="77777777" w:rsidR="00AB1012" w:rsidRDefault="00AB1012" w:rsidP="00AB1012">
      <w:pPr>
        <w:widowControl/>
        <w:numPr>
          <w:ilvl w:val="0"/>
          <w:numId w:val="35"/>
        </w:numPr>
        <w:suppressAutoHyphens w:val="0"/>
        <w:autoSpaceDN/>
        <w:spacing w:before="100" w:beforeAutospacing="1" w:after="100" w:afterAutospacing="1"/>
        <w:textAlignment w:val="auto"/>
      </w:pPr>
      <w:proofErr w:type="gramStart"/>
      <w:r>
        <w:rPr>
          <w:rStyle w:val="lev"/>
        </w:rPr>
        <w:t>n</w:t>
      </w:r>
      <w:proofErr w:type="gramEnd"/>
      <w:r>
        <w:rPr>
          <w:rStyle w:val="lev"/>
        </w:rPr>
        <w:t>°11957</w:t>
      </w:r>
      <w:r>
        <w:t xml:space="preserve"> : 12 items psychologiques (dont 10 à "6 fois ou plus"), 3 physiques, 2 sexuels, gravité "au moins un très grave". A la fois violence familiale antérieure (3 items F) et violence conjugale sévère actuelle.</w:t>
      </w:r>
    </w:p>
    <w:p w14:paraId="5AE109AB" w14:textId="77777777" w:rsidR="00AB1012" w:rsidRDefault="00AB1012" w:rsidP="00AB1012">
      <w:pPr>
        <w:pStyle w:val="NormalWeb"/>
      </w:pPr>
      <w:r>
        <w:t>→ Ce groupe cumule les trois registres de violence (psy/physique/sexuelle) et concentre l'essentiel de la gravité objective du corpus — candidat naturel pour un développement détaillé dans le chapitre.</w:t>
      </w:r>
    </w:p>
    <w:p w14:paraId="1C96DF8E" w14:textId="77777777" w:rsidR="00AB1012" w:rsidRDefault="00AB1012" w:rsidP="00AB1012">
      <w:pPr>
        <w:pStyle w:val="NormalWeb"/>
      </w:pPr>
    </w:p>
    <w:p w14:paraId="2656F2A8" w14:textId="77777777" w:rsidR="00AB1012" w:rsidRDefault="00FB64D9" w:rsidP="00FB64D9">
      <w:pPr>
        <w:pStyle w:val="NormalWeb"/>
        <w:spacing w:line="360" w:lineRule="auto"/>
        <w:jc w:val="both"/>
      </w:pPr>
      <w:r>
        <w:t xml:space="preserve">Un deuxième groupe, à l'inverse, ne déclare qu'un acte sexuel isolé, sans autre violence associée dans le couple actuel ; il inclut notamment deux femmes dont l'histoire familiale est marquée par des violences très étendues avant leur couple actuel, suggérant que l'acte conjugal isolé s'ajoute ici à une trajectoire de victimisation antérieure plutôt qu'il ne s'inscrit dans un pattern conjugal installé — un écho, à nouveau, aux travaux sur la </w:t>
      </w:r>
      <w:proofErr w:type="spellStart"/>
      <w:r>
        <w:t>cumulativité</w:t>
      </w:r>
      <w:proofErr w:type="spellEnd"/>
      <w:r>
        <w:t xml:space="preserve"> des victimisations au fil du parcours de vie </w:t>
      </w:r>
      <w:r w:rsidRPr="00A10569">
        <w:rPr>
          <w:highlight w:val="yellow"/>
        </w:rPr>
        <w:t>(</w:t>
      </w:r>
      <w:proofErr w:type="spellStart"/>
      <w:r w:rsidRPr="00A10569">
        <w:rPr>
          <w:highlight w:val="yellow"/>
        </w:rPr>
        <w:t>Jaspard</w:t>
      </w:r>
      <w:proofErr w:type="spellEnd"/>
      <w:r w:rsidRPr="00A10569">
        <w:rPr>
          <w:highlight w:val="yellow"/>
        </w:rPr>
        <w:t xml:space="preserve"> et al., 2002 ; </w:t>
      </w:r>
      <w:proofErr w:type="spellStart"/>
      <w:r w:rsidRPr="00A10569">
        <w:rPr>
          <w:highlight w:val="yellow"/>
        </w:rPr>
        <w:t>Maillochon</w:t>
      </w:r>
      <w:proofErr w:type="spellEnd"/>
      <w:r w:rsidRPr="00A10569">
        <w:rPr>
          <w:highlight w:val="yellow"/>
        </w:rPr>
        <w:t xml:space="preserve"> et </w:t>
      </w:r>
      <w:proofErr w:type="spellStart"/>
      <w:r w:rsidRPr="00A10569">
        <w:rPr>
          <w:highlight w:val="yellow"/>
        </w:rPr>
        <w:t>Selz</w:t>
      </w:r>
      <w:proofErr w:type="spellEnd"/>
      <w:r w:rsidRPr="00A10569">
        <w:rPr>
          <w:highlight w:val="yellow"/>
        </w:rPr>
        <w:t>, 2010).</w:t>
      </w:r>
      <w:r>
        <w:t xml:space="preserve"> </w:t>
      </w:r>
    </w:p>
    <w:p w14:paraId="664E9172" w14:textId="77777777" w:rsidR="00AB1012" w:rsidRDefault="00AB1012" w:rsidP="00AB1012">
      <w:pPr>
        <w:pStyle w:val="Titre4"/>
      </w:pPr>
      <w:r>
        <w:lastRenderedPageBreak/>
        <w:t>Groupe B — Acte sexuel isolé, contexte conjugal autrement peu ou pas problématique</w:t>
      </w:r>
    </w:p>
    <w:p w14:paraId="6F2EB461" w14:textId="77777777" w:rsidR="00AB1012" w:rsidRDefault="00AB1012" w:rsidP="00AB1012">
      <w:pPr>
        <w:pStyle w:val="NormalWeb"/>
      </w:pPr>
      <w:proofErr w:type="gramStart"/>
      <w:r>
        <w:rPr>
          <w:rStyle w:val="lev"/>
        </w:rPr>
        <w:t>n</w:t>
      </w:r>
      <w:proofErr w:type="gramEnd"/>
      <w:r>
        <w:rPr>
          <w:rStyle w:val="lev"/>
        </w:rPr>
        <w:t>°2064</w:t>
      </w:r>
      <w:r>
        <w:t xml:space="preserve"> — Aucun module de durée renseigné (relation trop récente pour entrer dans Q8/Q10/Q14/Q34, cf. Q11a). Premier rapport à 15 ans, 2 partenaires sur 12 mois. </w:t>
      </w:r>
      <w:r>
        <w:rPr>
          <w:rStyle w:val="lev"/>
        </w:rPr>
        <w:t>Dépression/anxiété actuelle déclarée</w:t>
      </w:r>
      <w:r>
        <w:t>, malgré une relation jugée « très satisfaisante ». Pas de violence familiale antérieure.</w:t>
      </w:r>
      <w:r>
        <w:br/>
        <w:t xml:space="preserve">→ Le seul cas du groupe B avec une dépression actuelle malgré un tableau conjugal par ailleurs très léger — </w:t>
      </w:r>
      <w:proofErr w:type="spellStart"/>
      <w:r>
        <w:t>signal</w:t>
      </w:r>
      <w:proofErr w:type="spellEnd"/>
      <w:r>
        <w:t xml:space="preserve"> que la santé mentale dégradée peut ne pas être imputable au couple lui-même (cohérent avec la mise en garde du Chapitre II sur ce point).</w:t>
      </w:r>
    </w:p>
    <w:p w14:paraId="6DCAD1A4" w14:textId="77777777" w:rsidR="00AB1012" w:rsidRDefault="00AB1012" w:rsidP="00AB1012">
      <w:pPr>
        <w:pStyle w:val="NormalWeb"/>
      </w:pPr>
      <w:proofErr w:type="gramStart"/>
      <w:r>
        <w:rPr>
          <w:rStyle w:val="lev"/>
        </w:rPr>
        <w:t>n</w:t>
      </w:r>
      <w:proofErr w:type="gramEnd"/>
      <w:r>
        <w:rPr>
          <w:rStyle w:val="lev"/>
        </w:rPr>
        <w:t>°3572</w:t>
      </w:r>
      <w:r>
        <w:t xml:space="preserve"> — En couple de même sexe, cohabitant depuis </w:t>
      </w:r>
      <w:r>
        <w:rPr>
          <w:rStyle w:val="lev"/>
        </w:rPr>
        <w:t>5 mois</w:t>
      </w:r>
      <w:r>
        <w:t xml:space="preserve"> seulement. Premier rapport à 16 ans, 1 seul partenaire sur 12 mois, pas de dépression, idées noires rares. Pas de violence familiale antérieure.</w:t>
      </w:r>
      <w:r>
        <w:br/>
        <w:t>→ Le profil le plus « léger » à tous égards du corpus entier.</w:t>
      </w:r>
    </w:p>
    <w:p w14:paraId="18D969B5" w14:textId="77777777" w:rsidR="00AB1012" w:rsidRDefault="00AB1012" w:rsidP="00AB1012">
      <w:pPr>
        <w:pStyle w:val="NormalWeb"/>
      </w:pPr>
      <w:proofErr w:type="gramStart"/>
      <w:r>
        <w:rPr>
          <w:rStyle w:val="lev"/>
        </w:rPr>
        <w:t>n</w:t>
      </w:r>
      <w:proofErr w:type="gramEnd"/>
      <w:r>
        <w:rPr>
          <w:rStyle w:val="lev"/>
        </w:rPr>
        <w:t>°171</w:t>
      </w:r>
      <w:r>
        <w:t xml:space="preserve"> — En couple mixte, cohabitant depuis </w:t>
      </w:r>
      <w:r>
        <w:rPr>
          <w:rStyle w:val="lev"/>
        </w:rPr>
        <w:t>24 mois</w:t>
      </w:r>
      <w:r>
        <w:t xml:space="preserve">, </w:t>
      </w:r>
      <w:r>
        <w:rPr>
          <w:rStyle w:val="lev"/>
        </w:rPr>
        <w:t>avec enfant(s)</w:t>
      </w:r>
      <w:r>
        <w:t xml:space="preserve">. Premier rapport à 15 ans, 2 partenaires sur 12 mois, alcool ≤1x/mois. </w:t>
      </w:r>
      <w:r>
        <w:rPr>
          <w:rStyle w:val="lev"/>
        </w:rPr>
        <w:t>Deux tentatives de suicide</w:t>
      </w:r>
      <w:r>
        <w:t xml:space="preserve"> au cours de la vie, idées noires occasionnelles. Historique familial : violences sur les huit registres (F1-F9), comme n°3672.</w:t>
      </w:r>
      <w:r>
        <w:br/>
        <w:t xml:space="preserve">→ Cas particulièrement frappant déjà </w:t>
      </w:r>
      <w:proofErr w:type="gramStart"/>
      <w:r>
        <w:t>noté</w:t>
      </w:r>
      <w:proofErr w:type="gramEnd"/>
      <w:r>
        <w:t xml:space="preserve"> : très lourd passif familial et personnel (tentatives de suicide répétées) contrastant avec un seul acte conjugal actuel isolé, dans un couple cohabitant avec enfant.</w:t>
      </w:r>
    </w:p>
    <w:p w14:paraId="67B8F23C" w14:textId="77777777" w:rsidR="00AB1012" w:rsidRDefault="00AB1012" w:rsidP="00AB1012">
      <w:pPr>
        <w:pStyle w:val="NormalWeb"/>
      </w:pPr>
      <w:proofErr w:type="gramStart"/>
      <w:r>
        <w:rPr>
          <w:rStyle w:val="lev"/>
        </w:rPr>
        <w:t>n</w:t>
      </w:r>
      <w:proofErr w:type="gramEnd"/>
      <w:r>
        <w:rPr>
          <w:rStyle w:val="lev"/>
        </w:rPr>
        <w:t>°9725</w:t>
      </w:r>
      <w:r>
        <w:t xml:space="preserve"> — Aucun module de durée renseigné (relation récente). Premier rapport à 19 ans ; les variables de partenaires ne sont pas renseignées pour ce cas. </w:t>
      </w:r>
      <w:r>
        <w:rPr>
          <w:rStyle w:val="lev"/>
        </w:rPr>
        <w:t>Dépression/anxiété actuelle déclarée</w:t>
      </w:r>
      <w:r>
        <w:t>, alcool ≤1x/mois. Cinq registres de violence familiale antérieure (F1, F2, F3, F7, F8).</w:t>
      </w:r>
      <w:r>
        <w:br/>
        <w:t>→ Comme n°171 : lourd passif familial contrastant avec un acte conjugal isolé ; s'y ajoute ici une dépression actuelle.</w:t>
      </w:r>
    </w:p>
    <w:p w14:paraId="721337BF" w14:textId="379C0B67" w:rsidR="00AB1012" w:rsidRDefault="00AB1012" w:rsidP="00AB1012">
      <w:pPr>
        <w:pStyle w:val="NormalWeb"/>
      </w:pPr>
      <w:proofErr w:type="gramStart"/>
      <w:r>
        <w:rPr>
          <w:rStyle w:val="lev"/>
        </w:rPr>
        <w:t>n</w:t>
      </w:r>
      <w:proofErr w:type="gramEnd"/>
      <w:r>
        <w:rPr>
          <w:rStyle w:val="lev"/>
        </w:rPr>
        <w:t>°6400</w:t>
      </w:r>
      <w:r>
        <w:t xml:space="preserve"> — Aucun module de durée renseigné. Premier rapport à 16 ans, 4 partenaires sur 12 mois. </w:t>
      </w:r>
      <w:r>
        <w:rPr>
          <w:rStyle w:val="lev"/>
        </w:rPr>
        <w:t>Dépression/anxiété actuelle déclarée</w:t>
      </w:r>
      <w:r>
        <w:t>. Seule violence familiale antérieure : F9 (violence sexuelle familiale).</w:t>
      </w:r>
      <w:r>
        <w:br/>
        <w:t>→ Profil à part : c'est justement l'unique item familial déclaré ici qui est de nature sexuelle — potentiellement à mettre en lien, avec beaucoup de prudence vu l'effectif d'un seul cas, avec l'acte sexuel isolé subi en couple.</w:t>
      </w:r>
    </w:p>
    <w:p w14:paraId="4B9ED100" w14:textId="77777777" w:rsidR="00AB1012" w:rsidRDefault="00AB1012" w:rsidP="00AB1012">
      <w:pPr>
        <w:pStyle w:val="Titre4"/>
      </w:pPr>
      <w:r>
        <w:t>Groupe B — Acte sexuel isolé, contexte conjugal autrement peu ou pas problématique (n°2064, n°3572, n°6400, n°9725, n°171)</w:t>
      </w:r>
    </w:p>
    <w:p w14:paraId="26C4CEB5" w14:textId="77777777" w:rsidR="00AB1012" w:rsidRDefault="00AB1012" w:rsidP="00AB1012">
      <w:pPr>
        <w:pStyle w:val="NormalWeb"/>
      </w:pPr>
      <w:r>
        <w:t xml:space="preserve">Cinq femmes ne déclarant </w:t>
      </w:r>
      <w:r>
        <w:rPr>
          <w:rStyle w:val="lev"/>
        </w:rPr>
        <w:t>qu'un seul item de violence conjugale</w:t>
      </w:r>
      <w:r>
        <w:t xml:space="preserve"> (souvent une seule fois), sans autre violence psychologique ou physique associée dans le couple actuel :</w:t>
      </w:r>
    </w:p>
    <w:p w14:paraId="673ACA32" w14:textId="77777777" w:rsidR="00AB1012" w:rsidRDefault="00AB1012" w:rsidP="00AB1012">
      <w:pPr>
        <w:widowControl/>
        <w:numPr>
          <w:ilvl w:val="0"/>
          <w:numId w:val="36"/>
        </w:numPr>
        <w:suppressAutoHyphens w:val="0"/>
        <w:autoSpaceDN/>
        <w:spacing w:before="100" w:beforeAutospacing="1" w:after="100" w:afterAutospacing="1"/>
        <w:textAlignment w:val="auto"/>
      </w:pPr>
      <w:proofErr w:type="gramStart"/>
      <w:r>
        <w:rPr>
          <w:rStyle w:val="lev"/>
        </w:rPr>
        <w:t>n</w:t>
      </w:r>
      <w:proofErr w:type="gramEnd"/>
      <w:r>
        <w:rPr>
          <w:rStyle w:val="lev"/>
        </w:rPr>
        <w:t>°2064</w:t>
      </w:r>
      <w:r>
        <w:t xml:space="preserve"> et </w:t>
      </w:r>
      <w:r>
        <w:rPr>
          <w:rStyle w:val="lev"/>
        </w:rPr>
        <w:t>n°3572</w:t>
      </w:r>
      <w:r>
        <w:t xml:space="preserve"> : couple jugé "très satisfaisant", aucune intention de rupture (voire une seule pour 2064), un item sexuel isolé.</w:t>
      </w:r>
    </w:p>
    <w:p w14:paraId="556BD533" w14:textId="77777777" w:rsidR="00AB1012" w:rsidRDefault="00AB1012" w:rsidP="00AB1012">
      <w:pPr>
        <w:widowControl/>
        <w:numPr>
          <w:ilvl w:val="0"/>
          <w:numId w:val="36"/>
        </w:numPr>
        <w:suppressAutoHyphens w:val="0"/>
        <w:autoSpaceDN/>
        <w:spacing w:before="100" w:beforeAutospacing="1" w:after="100" w:afterAutospacing="1"/>
        <w:textAlignment w:val="auto"/>
      </w:pPr>
      <w:proofErr w:type="gramStart"/>
      <w:r>
        <w:rPr>
          <w:rStyle w:val="lev"/>
        </w:rPr>
        <w:t>n</w:t>
      </w:r>
      <w:proofErr w:type="gramEnd"/>
      <w:r>
        <w:rPr>
          <w:rStyle w:val="lev"/>
        </w:rPr>
        <w:t>°171</w:t>
      </w:r>
      <w:r>
        <w:t xml:space="preserve"> et </w:t>
      </w:r>
      <w:r>
        <w:rPr>
          <w:rStyle w:val="lev"/>
        </w:rPr>
        <w:t>n°9725</w:t>
      </w:r>
      <w:r>
        <w:t xml:space="preserve"> : cas particulièrement frappant — </w:t>
      </w:r>
      <w:r>
        <w:rPr>
          <w:rStyle w:val="lev"/>
        </w:rPr>
        <w:t>violence familiale antérieure très étendue</w:t>
      </w:r>
      <w:r>
        <w:t xml:space="preserve"> (tous les items F1-F9 pour 171 ; cinq items F pour 9725), contrastant avec un </w:t>
      </w:r>
      <w:r>
        <w:lastRenderedPageBreak/>
        <w:t>acte conjugal actuel unique et isolé. Suggère des trajectoires biographiques marquées par la violence bien en amont du couple actuel, avec un événement conjugal ponctuel qui vient s'y ajouter plutôt qu'un pattern conjugal installé.</w:t>
      </w:r>
    </w:p>
    <w:p w14:paraId="24DEFB18" w14:textId="77777777" w:rsidR="00AB1012" w:rsidRDefault="00AB1012" w:rsidP="00AB1012">
      <w:pPr>
        <w:pStyle w:val="NormalWeb"/>
      </w:pPr>
      <w:r>
        <w:t>→ Ce groupe interroge : est-ce que l'acte sexuel isolé déclenche, à lui seul, une lecture "violence conjugale" alors que le couple reste par ailleurs peu problématique ? Utile pour nuancer une lecture uniforme de la catégorie "violences sexuelles déclarées".</w:t>
      </w:r>
    </w:p>
    <w:p w14:paraId="786E3E83" w14:textId="77777777" w:rsidR="00AB1012" w:rsidRDefault="00AB1012" w:rsidP="00AB1012">
      <w:pPr>
        <w:pStyle w:val="NormalWeb"/>
      </w:pPr>
    </w:p>
    <w:p w14:paraId="6BEBAB73" w14:textId="07AAF559" w:rsidR="00AB1012" w:rsidRDefault="00FB64D9" w:rsidP="00FB64D9">
      <w:pPr>
        <w:pStyle w:val="NormalWeb"/>
        <w:spacing w:line="360" w:lineRule="auto"/>
        <w:jc w:val="both"/>
      </w:pPr>
      <w:r>
        <w:t xml:space="preserve">Un troisième groupe présente un écart frappant entre l'intensité objective des faits déclarés — plusieurs actes quotidiens, un viol répété — et une gravité perçue qualifiée par l'enquêtée elle-même de nulle ou faible, écho possible aux </w:t>
      </w:r>
      <w:r w:rsidRPr="00A10569">
        <w:rPr>
          <w:highlight w:val="yellow"/>
        </w:rPr>
        <w:t>mécanismes de minimisation documentés dans la littérature sur l'emprise conjugale, potentiellement renforcés ici par un contexte où la bisexualité, moins lisible dans un couple hétéro-apparent, offre une grille d'interprétation moins disponible pour nommer la violence subie.</w:t>
      </w:r>
      <w:r>
        <w:t xml:space="preserve"> </w:t>
      </w:r>
    </w:p>
    <w:p w14:paraId="55A594CE" w14:textId="77777777" w:rsidR="00AB1012" w:rsidRDefault="00AB1012" w:rsidP="00AB1012">
      <w:pPr>
        <w:pStyle w:val="Titre4"/>
      </w:pPr>
      <w:r>
        <w:t>Groupe C — Minimisation apparente : cumul réel mais gravité perçue faible</w:t>
      </w:r>
    </w:p>
    <w:p w14:paraId="4C4A8404" w14:textId="77777777" w:rsidR="00AB1012" w:rsidRDefault="00AB1012" w:rsidP="00AB1012">
      <w:pPr>
        <w:pStyle w:val="NormalWeb"/>
      </w:pPr>
      <w:proofErr w:type="gramStart"/>
      <w:r>
        <w:rPr>
          <w:rStyle w:val="lev"/>
        </w:rPr>
        <w:t>n</w:t>
      </w:r>
      <w:proofErr w:type="gramEnd"/>
      <w:r>
        <w:rPr>
          <w:rStyle w:val="lev"/>
        </w:rPr>
        <w:t>°8617</w:t>
      </w:r>
      <w:r>
        <w:t xml:space="preserve"> — Cohabitation depuis </w:t>
      </w:r>
      <w:r>
        <w:rPr>
          <w:rStyle w:val="lev"/>
        </w:rPr>
        <w:t>84 mois (7 ans)</w:t>
      </w:r>
      <w:r>
        <w:t xml:space="preserve">, sans enfant — la relation la plus longue du groupe C. Entrée tardive dans la sexualité (premier rapport à </w:t>
      </w:r>
      <w:r>
        <w:rPr>
          <w:rStyle w:val="lev"/>
        </w:rPr>
        <w:t>25 ans</w:t>
      </w:r>
      <w:r>
        <w:t xml:space="preserve">), 1 seul partenaire sur 12 mois, alcool 4x+/semaine. Pas de dépression actuelle déclarée, mais </w:t>
      </w:r>
      <w:r>
        <w:rPr>
          <w:rStyle w:val="lev"/>
        </w:rPr>
        <w:t>plusieurs tentatives de suicide</w:t>
      </w:r>
      <w:r>
        <w:t xml:space="preserve"> au cours de la vie. Pas de violence familiale antérieure déclarée.</w:t>
      </w:r>
      <w:r>
        <w:br/>
        <w:t>→ Le décalage le plus frappant du corpus (7 items psy quotidiens, viol répété, "tous sans gravité") s'inscrit ici dans une relation longue et stable en apparence, avec un passé de tentatives de suicide qui n'est pas anodin à mettre en regard de la minimisation déclarée.</w:t>
      </w:r>
    </w:p>
    <w:p w14:paraId="61B77DD8" w14:textId="77777777" w:rsidR="00AB1012" w:rsidRDefault="00AB1012" w:rsidP="00AB1012">
      <w:pPr>
        <w:pStyle w:val="NormalWeb"/>
      </w:pPr>
      <w:proofErr w:type="gramStart"/>
      <w:r>
        <w:rPr>
          <w:rStyle w:val="lev"/>
        </w:rPr>
        <w:t>n</w:t>
      </w:r>
      <w:proofErr w:type="gramEnd"/>
      <w:r>
        <w:rPr>
          <w:rStyle w:val="lev"/>
        </w:rPr>
        <w:t>°2296</w:t>
      </w:r>
      <w:r>
        <w:t xml:space="preserve"> — Cohabitant depuis </w:t>
      </w:r>
      <w:r>
        <w:rPr>
          <w:rStyle w:val="lev"/>
        </w:rPr>
        <w:t>12 mois</w:t>
      </w:r>
      <w:r>
        <w:t>. Entrée très précoce dans la sexualité (</w:t>
      </w:r>
      <w:r>
        <w:rPr>
          <w:rStyle w:val="lev"/>
        </w:rPr>
        <w:t>13 ans</w:t>
      </w:r>
      <w:r>
        <w:t xml:space="preserve">), </w:t>
      </w:r>
      <w:r>
        <w:rPr>
          <w:rStyle w:val="lev"/>
        </w:rPr>
        <w:t>30 partenaires</w:t>
      </w:r>
      <w:r>
        <w:t xml:space="preserve"> sur 12 mois — le nombre le plus élevé du corpus —, alcool 2-3x/semaine. Idées noires fréquentes ("souvent") mais pas de dépression déclarée à proprement parler. Trois registres de violence familiale antérieure (F1, F2, F3).</w:t>
      </w:r>
      <w:r>
        <w:br/>
        <w:t xml:space="preserve">→ Profil qui cumule précocité extrême, </w:t>
      </w:r>
      <w:proofErr w:type="spellStart"/>
      <w:r>
        <w:t>multipartenariat</w:t>
      </w:r>
      <w:proofErr w:type="spellEnd"/>
      <w:r>
        <w:t xml:space="preserve"> très élevé et détresse psychologique (idées noires fréquentes), malgré une gravité perçue nulle des faits conjugaux et une satisfaction déclarée "très satisfaisante" — l'écart entre vécu subjectif global et évaluation spécifique du couple est ici particulièrement net.</w:t>
      </w:r>
    </w:p>
    <w:p w14:paraId="5763B2FD" w14:textId="77777777" w:rsidR="00AB1012" w:rsidRDefault="00AB1012" w:rsidP="00AB1012">
      <w:pPr>
        <w:pStyle w:val="NormalWeb"/>
      </w:pPr>
      <w:proofErr w:type="gramStart"/>
      <w:r>
        <w:rPr>
          <w:rStyle w:val="lev"/>
        </w:rPr>
        <w:t>n</w:t>
      </w:r>
      <w:proofErr w:type="gramEnd"/>
      <w:r>
        <w:rPr>
          <w:rStyle w:val="lev"/>
        </w:rPr>
        <w:t>°3916</w:t>
      </w:r>
      <w:r>
        <w:t xml:space="preserve"> — Cohabitant depuis </w:t>
      </w:r>
      <w:r>
        <w:rPr>
          <w:rStyle w:val="lev"/>
        </w:rPr>
        <w:t>36 mois</w:t>
      </w:r>
      <w:r>
        <w:t>, la plus âgée du corpus (40-49 ans). Premier rapport à 17 ans, 5 partenaires sur 12 mois, alcool 4x+/semaine. Pas de dépression ni d'idées noires. Deux registres de violence familiale antérieure (F1, F8 — dont un item sexuel).</w:t>
      </w:r>
    </w:p>
    <w:p w14:paraId="3DE7FB92" w14:textId="178FEADC" w:rsidR="00AB1012" w:rsidRDefault="00AB1012" w:rsidP="00AB1012">
      <w:pPr>
        <w:pStyle w:val="NormalWeb"/>
      </w:pPr>
      <w:proofErr w:type="gramStart"/>
      <w:r>
        <w:rPr>
          <w:rStyle w:val="lev"/>
        </w:rPr>
        <w:t>n</w:t>
      </w:r>
      <w:proofErr w:type="gramEnd"/>
      <w:r>
        <w:rPr>
          <w:rStyle w:val="lev"/>
        </w:rPr>
        <w:t>°6027</w:t>
      </w:r>
      <w:r>
        <w:t xml:space="preserve"> — En couple de même sexe, aucun module de durée renseigné. Entrée très précoce (</w:t>
      </w:r>
      <w:r>
        <w:rPr>
          <w:rStyle w:val="lev"/>
        </w:rPr>
        <w:t>12 ans</w:t>
      </w:r>
      <w:r>
        <w:t xml:space="preserve">, la plus jeune du corpus avec 3672), 1 partenaire sur 12 mois. </w:t>
      </w:r>
      <w:r>
        <w:rPr>
          <w:rStyle w:val="lev"/>
        </w:rPr>
        <w:t>Dépression actuelle</w:t>
      </w:r>
      <w:r>
        <w:t xml:space="preserve">, idées noires occasionnelles, </w:t>
      </w:r>
      <w:r>
        <w:rPr>
          <w:rStyle w:val="lev"/>
        </w:rPr>
        <w:t>plusieurs tentatives de suicide</w:t>
      </w:r>
      <w:r>
        <w:t xml:space="preserve">. Quatre registres de violence familiale (F1, </w:t>
      </w:r>
      <w:r>
        <w:lastRenderedPageBreak/>
        <w:t>F2, F5, F7).</w:t>
      </w:r>
      <w:r>
        <w:br/>
        <w:t>→ Malgré le couple de même sexe (contexte a priori moins associé à la violence sexuelle dans nos résultats agrégés), ce cas cumule un passif personnel et familial lourd.</w:t>
      </w:r>
    </w:p>
    <w:p w14:paraId="1BAE14F6" w14:textId="77777777" w:rsidR="00AB1012" w:rsidRDefault="00AB1012" w:rsidP="00AB1012">
      <w:pPr>
        <w:pStyle w:val="Titre4"/>
      </w:pPr>
      <w:r>
        <w:t>Groupe C — Minimisation apparente : cumul réel mais gravité perçue faible (n°2296, n°3916, n°8617, n°6027)</w:t>
      </w:r>
    </w:p>
    <w:p w14:paraId="0066F345" w14:textId="77777777" w:rsidR="00AB1012" w:rsidRDefault="00AB1012" w:rsidP="00AB1012">
      <w:pPr>
        <w:pStyle w:val="NormalWeb"/>
      </w:pPr>
      <w:r>
        <w:t xml:space="preserve">Cas où la </w:t>
      </w:r>
      <w:r>
        <w:rPr>
          <w:rStyle w:val="lev"/>
        </w:rPr>
        <w:t>gravité perçue déclarée (C13) contredit l'intensité des faits rapportés</w:t>
      </w:r>
      <w:r>
        <w:t xml:space="preserve"> :</w:t>
      </w:r>
    </w:p>
    <w:p w14:paraId="088F3FA3" w14:textId="77777777" w:rsidR="00AB1012" w:rsidRDefault="00AB1012" w:rsidP="00AB1012">
      <w:pPr>
        <w:widowControl/>
        <w:numPr>
          <w:ilvl w:val="0"/>
          <w:numId w:val="37"/>
        </w:numPr>
        <w:suppressAutoHyphens w:val="0"/>
        <w:autoSpaceDN/>
        <w:spacing w:before="100" w:beforeAutospacing="1" w:after="100" w:afterAutospacing="1"/>
        <w:textAlignment w:val="auto"/>
      </w:pPr>
      <w:proofErr w:type="gramStart"/>
      <w:r>
        <w:rPr>
          <w:rStyle w:val="lev"/>
        </w:rPr>
        <w:t>n</w:t>
      </w:r>
      <w:proofErr w:type="gramEnd"/>
      <w:r>
        <w:rPr>
          <w:rStyle w:val="lev"/>
        </w:rPr>
        <w:t>°8617</w:t>
      </w:r>
      <w:r>
        <w:t xml:space="preserve"> : le décalage le plus frappant du corpus — 7 items psychologiques dont plusieurs </w:t>
      </w:r>
      <w:r>
        <w:rPr>
          <w:rStyle w:val="Accentuation"/>
        </w:rPr>
        <w:t>quotidiens</w:t>
      </w:r>
      <w:r>
        <w:t>, un viol répété "6 fois ou plus", et pourtant elle qualifie l'ensemble de "tous sans gravité". Couple jugé "satisfaisant".</w:t>
      </w:r>
    </w:p>
    <w:p w14:paraId="7A891213" w14:textId="77777777" w:rsidR="00AB1012" w:rsidRDefault="00AB1012" w:rsidP="00AB1012">
      <w:pPr>
        <w:widowControl/>
        <w:numPr>
          <w:ilvl w:val="0"/>
          <w:numId w:val="37"/>
        </w:numPr>
        <w:suppressAutoHyphens w:val="0"/>
        <w:autoSpaceDN/>
        <w:spacing w:before="100" w:beforeAutospacing="1" w:after="100" w:afterAutospacing="1"/>
        <w:textAlignment w:val="auto"/>
      </w:pPr>
      <w:proofErr w:type="gramStart"/>
      <w:r>
        <w:rPr>
          <w:rStyle w:val="lev"/>
        </w:rPr>
        <w:t>n</w:t>
      </w:r>
      <w:proofErr w:type="gramEnd"/>
      <w:r>
        <w:rPr>
          <w:rStyle w:val="lev"/>
        </w:rPr>
        <w:t>°2296</w:t>
      </w:r>
      <w:r>
        <w:t xml:space="preserve"> et </w:t>
      </w:r>
      <w:r>
        <w:rPr>
          <w:rStyle w:val="lev"/>
        </w:rPr>
        <w:t>n°3916</w:t>
      </w:r>
      <w:r>
        <w:t xml:space="preserve"> : même pattern à moindre échelle (3 items psy + 2 items sexuels pour l'une, historique familial pour l'autre), gravité "tous sans gravité".</w:t>
      </w:r>
    </w:p>
    <w:p w14:paraId="77876484" w14:textId="77777777" w:rsidR="00AB1012" w:rsidRDefault="00AB1012" w:rsidP="00AB1012">
      <w:pPr>
        <w:widowControl/>
        <w:numPr>
          <w:ilvl w:val="0"/>
          <w:numId w:val="37"/>
        </w:numPr>
        <w:suppressAutoHyphens w:val="0"/>
        <w:autoSpaceDN/>
        <w:spacing w:before="100" w:beforeAutospacing="1" w:after="100" w:afterAutospacing="1"/>
        <w:textAlignment w:val="auto"/>
      </w:pPr>
      <w:proofErr w:type="gramStart"/>
      <w:r>
        <w:rPr>
          <w:rStyle w:val="lev"/>
        </w:rPr>
        <w:t>n</w:t>
      </w:r>
      <w:proofErr w:type="gramEnd"/>
      <w:r>
        <w:rPr>
          <w:rStyle w:val="lev"/>
        </w:rPr>
        <w:t>°6027</w:t>
      </w:r>
      <w:r>
        <w:t xml:space="preserve"> : "très satisfaisante", aucune intention de rupture, mais un acte sexuel forcé retenu comme </w:t>
      </w:r>
      <w:r>
        <w:rPr>
          <w:rStyle w:val="Accentuation"/>
        </w:rPr>
        <w:t>fait le plus marquant</w:t>
      </w:r>
      <w:r>
        <w:t xml:space="preserve"> malgré la gravité perçue modérée.</w:t>
      </w:r>
    </w:p>
    <w:p w14:paraId="2028162A" w14:textId="77777777" w:rsidR="00AB1012" w:rsidRDefault="00AB1012" w:rsidP="00AB1012">
      <w:pPr>
        <w:pStyle w:val="NormalWeb"/>
      </w:pPr>
      <w:r>
        <w:t>→ Point à discuter frontalement dans le chapitre : la mesure déclarative de la gravité (C13) peut sous-estimer fortement des situations objectivement sévères — écho possible aux mécanismes de minimisation/normalisation documentés dans la littérature sur l'emprise conjugale, potentiellement renforcés ici par le contexte de couple hétéro-apparent où la bisexualité peut être moins lisible/légitimée comme grille d'interprétation de la violence subie.</w:t>
      </w:r>
    </w:p>
    <w:p w14:paraId="0731BA5D" w14:textId="77777777" w:rsidR="00AB1012" w:rsidRDefault="00AB1012" w:rsidP="00AB1012">
      <w:pPr>
        <w:pStyle w:val="NormalWeb"/>
      </w:pPr>
    </w:p>
    <w:p w14:paraId="53823651" w14:textId="6005FD0F" w:rsidR="00FB64D9" w:rsidRDefault="00FB64D9" w:rsidP="00FB64D9">
      <w:pPr>
        <w:pStyle w:val="NormalWeb"/>
        <w:spacing w:line="360" w:lineRule="auto"/>
        <w:jc w:val="both"/>
      </w:pPr>
      <w:r>
        <w:t>Un dernier groupe, enfin, regroupe des situations intermédiaires, où l'intention de rupture est fréquente sans que la sévérité n'atteigne celle du premier groupe.</w:t>
      </w:r>
    </w:p>
    <w:p w14:paraId="44D733BD" w14:textId="77777777" w:rsidR="00AB1012" w:rsidRDefault="00AB1012" w:rsidP="00AB1012">
      <w:pPr>
        <w:pStyle w:val="Titre4"/>
      </w:pPr>
      <w:r>
        <w:t>Groupe D — Situations intermédiaires</w:t>
      </w:r>
    </w:p>
    <w:p w14:paraId="0EE8B766" w14:textId="77777777" w:rsidR="00AB1012" w:rsidRDefault="00AB1012" w:rsidP="00AB1012">
      <w:pPr>
        <w:pStyle w:val="NormalWeb"/>
      </w:pPr>
      <w:r>
        <w:rPr>
          <w:rStyle w:val="lev"/>
        </w:rPr>
        <w:t>n°699</w:t>
      </w:r>
      <w:r>
        <w:t xml:space="preserve"> : cohabitant 24 mois, sans enfant, premier rapport à 21 ans (le plus tardif hors 8617), 1 seul partenaire sur 12 mois, dépression actuelle déclarée, une tentative de suicide.</w:t>
      </w:r>
      <w:r>
        <w:br/>
      </w:r>
      <w:r>
        <w:rPr>
          <w:rStyle w:val="lev"/>
        </w:rPr>
        <w:t>n°5056</w:t>
      </w:r>
      <w:r>
        <w:t xml:space="preserve"> : pas de module de durée, premier rapport à 19 ans, 3 partenaires, dépression actuelle, alcool 4x+/semaine.</w:t>
      </w:r>
      <w:r>
        <w:br/>
      </w:r>
      <w:r>
        <w:rPr>
          <w:rStyle w:val="lev"/>
        </w:rPr>
        <w:t>n°6438</w:t>
      </w:r>
      <w:r>
        <w:t xml:space="preserve"> : pas de module de durée, premier rapport à 16 ans, 2 partenaires, pas de dépression déclarée, deux registres de violence familiale (F1, F2, F7).</w:t>
      </w:r>
      <w:r>
        <w:br/>
      </w:r>
      <w:r>
        <w:rPr>
          <w:rStyle w:val="lev"/>
        </w:rPr>
        <w:t>n°7886</w:t>
      </w:r>
      <w:r>
        <w:t xml:space="preserve"> : pas de module de durée, premier rapport à 15 ans, 2 partenaires, dépression actuelle et idées noires fréquentes, deux registres familiaux (F1, F7).</w:t>
      </w:r>
      <w:r>
        <w:br/>
      </w:r>
      <w:r>
        <w:rPr>
          <w:rStyle w:val="lev"/>
        </w:rPr>
        <w:t>n°12095</w:t>
      </w:r>
      <w:r>
        <w:t xml:space="preserve"> : cohabitant depuis </w:t>
      </w:r>
      <w:r>
        <w:rPr>
          <w:rStyle w:val="lev"/>
        </w:rPr>
        <w:t>132 mois (11 ans)</w:t>
      </w:r>
      <w:r>
        <w:t xml:space="preserve"> — la relation la plus longue de tout le corpus —, premier rapport à 15 ans, 1 partenaire sur 12 mois, dépression actuelle, idées noires occasionnelles, trois registres familiaux (F1, F2, F3).</w:t>
      </w:r>
    </w:p>
    <w:p w14:paraId="64103F9E" w14:textId="77777777" w:rsidR="00AB1012" w:rsidRDefault="00AB1012" w:rsidP="00AB1012">
      <w:pPr>
        <w:pStyle w:val="Titre4"/>
      </w:pPr>
      <w:r>
        <w:lastRenderedPageBreak/>
        <w:t>Groupe D — Situations intermédiaires, peu satisfaisantes mais peu cumulées (n°699, n°5056, n°6438, n°7886, n°12095)</w:t>
      </w:r>
    </w:p>
    <w:p w14:paraId="5E656F1B" w14:textId="77777777" w:rsidR="00AB1012" w:rsidRDefault="00AB1012" w:rsidP="00AB1012">
      <w:pPr>
        <w:pStyle w:val="NormalWeb"/>
      </w:pPr>
      <w:r>
        <w:t xml:space="preserve">Femmes en couple jugé peu ou moyennement satisfaisant, intention de rupture fréquente, avec un nombre modéré d'items déclarés (3 à 10), sans atteindre la sévérité du Groupe A. Notable : </w:t>
      </w:r>
      <w:r>
        <w:rPr>
          <w:rStyle w:val="lev"/>
        </w:rPr>
        <w:t>n°699</w:t>
      </w:r>
      <w:r>
        <w:t xml:space="preserve"> retient explicitement le viol comme fait le plus marquant malgré 9 items psychologiques par ailleurs — même logique de priorisation du sexuel que dans le Groupe A.</w:t>
      </w:r>
    </w:p>
    <w:p w14:paraId="4470B7DC" w14:textId="77777777" w:rsidR="00AB1012" w:rsidRDefault="00AB1012" w:rsidP="00AB1012">
      <w:pPr>
        <w:pStyle w:val="Titre3"/>
      </w:pPr>
      <w:r>
        <w:t>Trois lignes de lecture transversales</w:t>
      </w:r>
    </w:p>
    <w:p w14:paraId="334A3B9A" w14:textId="77777777" w:rsidR="00AB1012" w:rsidRDefault="00AB1012" w:rsidP="00AB1012">
      <w:pPr>
        <w:widowControl/>
        <w:numPr>
          <w:ilvl w:val="0"/>
          <w:numId w:val="38"/>
        </w:numPr>
        <w:suppressAutoHyphens w:val="0"/>
        <w:autoSpaceDN/>
        <w:spacing w:before="100" w:beforeAutospacing="1" w:after="100" w:afterAutospacing="1"/>
        <w:textAlignment w:val="auto"/>
      </w:pPr>
      <w:r>
        <w:rPr>
          <w:rStyle w:val="lev"/>
        </w:rPr>
        <w:t>La violence sexuelle chez les bies en couple mixte n'est presque jamais isolée d'un point de vue statistique du profil global</w:t>
      </w:r>
      <w:r>
        <w:t xml:space="preserve"> — sauf dans le Groupe B, où elle semble en revanche se greffer sur des trajectoires de violence </w:t>
      </w:r>
      <w:r>
        <w:rPr>
          <w:rStyle w:val="Accentuation"/>
        </w:rPr>
        <w:t>antérieures</w:t>
      </w:r>
      <w:r>
        <w:t xml:space="preserve"> (familiales) plutôt que sur un pattern conjugal actuel installé. Ça vaut le coup de vérifier si ce sous-groupe recoupe des femmes plus jeunes ou des relations plus récentes.</w:t>
      </w:r>
    </w:p>
    <w:p w14:paraId="41DD6421" w14:textId="77777777" w:rsidR="00AB1012" w:rsidRDefault="00AB1012" w:rsidP="00AB1012">
      <w:pPr>
        <w:widowControl/>
        <w:numPr>
          <w:ilvl w:val="0"/>
          <w:numId w:val="38"/>
        </w:numPr>
        <w:suppressAutoHyphens w:val="0"/>
        <w:autoSpaceDN/>
        <w:spacing w:before="100" w:beforeAutospacing="1" w:after="100" w:afterAutospacing="1"/>
        <w:textAlignment w:val="auto"/>
      </w:pPr>
      <w:r>
        <w:rPr>
          <w:rStyle w:val="lev"/>
        </w:rPr>
        <w:t>Un écart net entre gravité perçue et intensité objective des faits</w:t>
      </w:r>
      <w:r>
        <w:t xml:space="preserve"> (Groupe C) — à mettre en regard du même phénomène observé en PG ("acceptation apparente masquant le contrôle"), mais ici potentiellement amplifié par le contexte spécifique du couple mixte bi-hétéro.</w:t>
      </w:r>
    </w:p>
    <w:p w14:paraId="65571004" w14:textId="77777777" w:rsidR="00AB1012" w:rsidRDefault="00AB1012" w:rsidP="00AB1012">
      <w:pPr>
        <w:widowControl/>
        <w:numPr>
          <w:ilvl w:val="0"/>
          <w:numId w:val="38"/>
        </w:numPr>
        <w:suppressAutoHyphens w:val="0"/>
        <w:autoSpaceDN/>
        <w:spacing w:before="100" w:beforeAutospacing="1" w:after="100" w:afterAutospacing="1"/>
        <w:textAlignment w:val="auto"/>
      </w:pPr>
      <w:r>
        <w:rPr>
          <w:rStyle w:val="lev"/>
        </w:rPr>
        <w:t>Le rapport sexuel forcé est identifié comme fait le plus marquant</w:t>
      </w:r>
      <w:r>
        <w:t xml:space="preserve"> dans plusieurs cas même en présence de nombreux items psychologiques — </w:t>
      </w:r>
      <w:proofErr w:type="spellStart"/>
      <w:r>
        <w:t>signal</w:t>
      </w:r>
      <w:proofErr w:type="spellEnd"/>
      <w:r>
        <w:t xml:space="preserve"> que, subjectivement, la violence sexuelle est vécue comme le point de bascule, malgré sa moindre fréquence comparée aux violences psychologiques (cohérent avec les taux globaux beaucoup plus bas du domaine sexuel).</w:t>
      </w:r>
    </w:p>
    <w:p w14:paraId="60CA1D69" w14:textId="77777777" w:rsidR="00AB1012" w:rsidRDefault="00AB1012" w:rsidP="00FB64D9">
      <w:pPr>
        <w:pStyle w:val="NormalWeb"/>
        <w:spacing w:line="360" w:lineRule="auto"/>
        <w:jc w:val="both"/>
      </w:pPr>
    </w:p>
    <w:p w14:paraId="456A98DE" w14:textId="399E5810" w:rsidR="00FB64D9" w:rsidRDefault="00FB64D9" w:rsidP="00FB64D9">
      <w:pPr>
        <w:pStyle w:val="NormalWeb"/>
        <w:spacing w:line="360" w:lineRule="auto"/>
        <w:jc w:val="both"/>
      </w:pPr>
      <w:r>
        <w:t>Trois éléments transversaux ressortent de cette lecture. D'abord, contrairement à ce qu'on observe dans le deuxième groupe, la violence sexuelle chez les bisexuelles en couple mixte n'est presque jamais un fait isolé du reste du profil de violence — elle s'accompagne le plus souvent d'un contrôle psychologique déjà installé. Ensuite, l'écart entre gravité perçue et intensité objective des faits, déjà repéré de façon plus diffuse en population générale à travers l'acceptation apparente du conjoint, prend ici une forme plus aiguë et directement mesurable sur l'item de violence sexuelle lui-même. Enfin, le fait sexuel est identifié à plusieurs reprises comme le fait le plus marquant de la relation malgré la présence, souvent plus nombreuse en fréquence, d'actes psychologiques — signe que, subjectivement, la violence sexuelle constitue un point de bascule dans l'expérience conjugale, alors même qu'elle reste, à l'échelle agrégée, largement minoritaire par rapport aux violences psychologiques (3,9 % contre 60,7 %).</w:t>
      </w:r>
    </w:p>
    <w:p w14:paraId="00ADC3D3" w14:textId="77777777" w:rsidR="00AB1012" w:rsidRDefault="00AB1012" w:rsidP="00AB1012">
      <w:pPr>
        <w:pStyle w:val="Titre3"/>
      </w:pPr>
      <w:r>
        <w:lastRenderedPageBreak/>
        <w:t>Ce que ces éléments ajoutent à la lecture transversale</w:t>
      </w:r>
    </w:p>
    <w:p w14:paraId="253E2CE0" w14:textId="77777777" w:rsidR="00AB1012" w:rsidRDefault="00AB1012" w:rsidP="00AB1012">
      <w:pPr>
        <w:widowControl/>
        <w:numPr>
          <w:ilvl w:val="0"/>
          <w:numId w:val="34"/>
        </w:numPr>
        <w:suppressAutoHyphens w:val="0"/>
        <w:autoSpaceDN/>
        <w:spacing w:before="100" w:beforeAutospacing="1" w:after="100" w:afterAutospacing="1"/>
        <w:textAlignment w:val="auto"/>
      </w:pPr>
      <w:r>
        <w:rPr>
          <w:rStyle w:val="lev"/>
        </w:rPr>
        <w:t>La durée de la relation ne protège pas de la violence sexuelle</w:t>
      </w:r>
      <w:r>
        <w:t xml:space="preserve"> : la cohabitation la plus longue du corpus entier (n°12095, 11 ans) et l'une des plus longues (n°8617, 7 ans) figurent respectivement dans les groupes D et C — pas dans un sous-groupe "relations récentes et instables" comme on aurait pu l'anticiper.</w:t>
      </w:r>
    </w:p>
    <w:p w14:paraId="5D4C6232" w14:textId="77777777" w:rsidR="00AB1012" w:rsidRDefault="00AB1012" w:rsidP="00AB1012">
      <w:pPr>
        <w:widowControl/>
        <w:numPr>
          <w:ilvl w:val="0"/>
          <w:numId w:val="34"/>
        </w:numPr>
        <w:suppressAutoHyphens w:val="0"/>
        <w:autoSpaceDN/>
        <w:spacing w:before="100" w:beforeAutospacing="1" w:after="100" w:afterAutospacing="1"/>
        <w:textAlignment w:val="auto"/>
      </w:pPr>
      <w:r>
        <w:rPr>
          <w:rStyle w:val="lev"/>
        </w:rPr>
        <w:t>Dépression/anxiété actuelle est très répandue</w:t>
      </w:r>
      <w:r>
        <w:t xml:space="preserve"> : 10 des 17 femmes la déclarent, sans corrélation nette avec la sévérité du groupe (présente aussi bien en B qu'en A) — cohérent avec le résultat déjà établi au Chapitre II sur la santé mentale dégradée des bisexuelles indépendamment de la qualité perçue du couple.</w:t>
      </w:r>
    </w:p>
    <w:p w14:paraId="565FEED1" w14:textId="77777777" w:rsidR="00AB1012" w:rsidRDefault="00AB1012" w:rsidP="00AB1012">
      <w:pPr>
        <w:widowControl/>
        <w:numPr>
          <w:ilvl w:val="0"/>
          <w:numId w:val="34"/>
        </w:numPr>
        <w:suppressAutoHyphens w:val="0"/>
        <w:autoSpaceDN/>
        <w:spacing w:before="100" w:beforeAutospacing="1" w:after="100" w:afterAutospacing="1"/>
        <w:textAlignment w:val="auto"/>
      </w:pPr>
      <w:r>
        <w:rPr>
          <w:rStyle w:val="lev"/>
        </w:rPr>
        <w:t>Deux profils cumulent précocité sexuelle extrême (9 et 12 ans) et violence familiale la plus étendue</w:t>
      </w:r>
      <w:r>
        <w:t xml:space="preserve"> (n°3672, n°6027) — écho direct au sous-groupe identifié en population générale (Groupe E, PG) sur le lien entre initiation précoce, victimisation familiale et violence conjugale ultérieure (</w:t>
      </w:r>
      <w:proofErr w:type="spellStart"/>
      <w:r>
        <w:t>Jaspard</w:t>
      </w:r>
      <w:proofErr w:type="spellEnd"/>
      <w:r>
        <w:t xml:space="preserve"> et al., 2002 ; </w:t>
      </w:r>
      <w:proofErr w:type="spellStart"/>
      <w:r>
        <w:t>Bajos</w:t>
      </w:r>
      <w:proofErr w:type="spellEnd"/>
      <w:r>
        <w:t xml:space="preserve"> et Bozon, 2008).</w:t>
      </w:r>
    </w:p>
    <w:p w14:paraId="3959B792" w14:textId="77777777" w:rsidR="00AB1012" w:rsidRDefault="00AB1012" w:rsidP="00AB1012">
      <w:pPr>
        <w:widowControl/>
        <w:numPr>
          <w:ilvl w:val="0"/>
          <w:numId w:val="34"/>
        </w:numPr>
        <w:suppressAutoHyphens w:val="0"/>
        <w:autoSpaceDN/>
        <w:spacing w:before="100" w:beforeAutospacing="1" w:after="100" w:afterAutospacing="1"/>
        <w:textAlignment w:val="auto"/>
      </w:pPr>
      <w:r>
        <w:rPr>
          <w:rStyle w:val="lev"/>
        </w:rPr>
        <w:t>Aucune attirance exclusivement homosexuelle</w:t>
      </w:r>
      <w:r>
        <w:t xml:space="preserve"> dans le corpus : toutes déclarent une attirance mixte ("autant H/F", "surtout F+H" ou "surtout H+F") sauf trois cas d'attirance "uniquement hommes" — cohérent avec l'usage d'un indicateur d'identification qui peut recouvrir des profils d'attirance différenciés, point qu'on avait évoqué comme piste à explorer dans tes notes de lecture.</w:t>
      </w:r>
    </w:p>
    <w:p w14:paraId="0AA540A6" w14:textId="77777777" w:rsidR="00AB1012" w:rsidRDefault="00AB1012" w:rsidP="00FB64D9">
      <w:pPr>
        <w:pStyle w:val="NormalWeb"/>
        <w:spacing w:line="360" w:lineRule="auto"/>
        <w:jc w:val="both"/>
      </w:pPr>
    </w:p>
    <w:p w14:paraId="25775584" w14:textId="77777777" w:rsidR="00FB64D9" w:rsidRDefault="00FB64D9" w:rsidP="00FB64D9">
      <w:pPr>
        <w:pStyle w:val="NormalWeb"/>
        <w:spacing w:line="360" w:lineRule="auto"/>
        <w:jc w:val="both"/>
      </w:pPr>
      <w:r>
        <w:t>Comme pour l'analyse menée en population générale, aucune des dix-sept femmes ne rattache explicitement la violence sexuelle vécue à un conflit sur sa bisexualité — un constat de non-spécificité apparente du contenu des faits qui se confirme donc sur les deux enquêtes et les deux registres de violence étudiés.</w:t>
      </w:r>
    </w:p>
    <w:p w14:paraId="6E186CC3" w14:textId="3A0D79F0" w:rsidR="00FB64D9" w:rsidRDefault="00FB64D9" w:rsidP="00FB64D9">
      <w:pPr>
        <w:pStyle w:val="NormalWeb"/>
        <w:spacing w:line="360" w:lineRule="auto"/>
        <w:jc w:val="both"/>
      </w:pPr>
      <w:r>
        <w:t>Cette analyse comporte des limites qu'il convient de garder à l'esprit. Les modules relatifs à la santé mentale actuelle et au parcours sexuel biographique — nombre de partenaires, âge au premier rapport — n'ont pas été mobilisés dans cette passe, alors même que la littérature identifie ces variables comme des facteurs associés à la déclaration de violences sexuelles (</w:t>
      </w:r>
      <w:proofErr w:type="spellStart"/>
      <w:r>
        <w:t>Jaspard</w:t>
      </w:r>
      <w:proofErr w:type="spellEnd"/>
      <w:r>
        <w:t xml:space="preserve"> et al., 2002 ; Lhomond et Saurel-</w:t>
      </w:r>
      <w:proofErr w:type="spellStart"/>
      <w:r>
        <w:t>Cubizolles</w:t>
      </w:r>
      <w:proofErr w:type="spellEnd"/>
      <w:r>
        <w:t xml:space="preserve">, 2013 ; </w:t>
      </w:r>
      <w:proofErr w:type="spellStart"/>
      <w:r>
        <w:t>Maillochon</w:t>
      </w:r>
      <w:proofErr w:type="spellEnd"/>
      <w:r>
        <w:t xml:space="preserve"> et </w:t>
      </w:r>
      <w:proofErr w:type="spellStart"/>
      <w:r>
        <w:t>Selz</w:t>
      </w:r>
      <w:proofErr w:type="spellEnd"/>
      <w:r>
        <w:t>, 2010) et qu'elles avaient permis, en population générale, d'identifier un sous-groupe de trajectoires cumulées. Leur intégration constituerait un prolongement naturel de ce travail. L'effectif de dix-sept, par ailleurs, reste non généralisable, et la répartition très déséquilibrée entre couples mixtes et couples de même sexe (quinze contre deux) limite fortement la portée de toute comparaison interne à ce sous-corpus selon le type de couple.</w:t>
      </w:r>
    </w:p>
    <w:p w14:paraId="000250D1" w14:textId="77777777" w:rsidR="00FB64D9" w:rsidRDefault="00FB64D9" w:rsidP="00FB64D9">
      <w:pPr>
        <w:pStyle w:val="Titre2"/>
      </w:pPr>
      <w:r>
        <w:lastRenderedPageBreak/>
        <w:t>Conclusion du chapitre</w:t>
      </w:r>
    </w:p>
    <w:p w14:paraId="73E318EC" w14:textId="77777777" w:rsidR="00FB64D9" w:rsidRDefault="00FB64D9" w:rsidP="00FB64D9">
      <w:pPr>
        <w:pStyle w:val="NormalWeb"/>
        <w:spacing w:line="360" w:lineRule="auto"/>
        <w:jc w:val="both"/>
      </w:pPr>
      <w:r>
        <w:t>Les deux enquêtes convergent vers un même résultat central : la violence conjugale déclarée par les femmes bisexuelles, qu'elle soit psychologique ou sexuelle, ne se distribue pas uniformément selon l'identification sexuelle mais se concentre de façon marquée dans les configurations de couple hétéro-apparentes. Ce résultat prolonge directement celui du Chapitre II sur les styles de conjugalité et l'évaluation de la qualité des relations : les femmes bisexuelles en couple avec un homme, déjà identifiées comme moins satisfaites, moins souvent amoureuses de leur partenaire, plus enclines à la dépression et à l'intention de rupture, sont également celles qui déclarent le plus de violences conjugales, tous registres confondus.</w:t>
      </w:r>
    </w:p>
    <w:p w14:paraId="6A3FFC03" w14:textId="77777777" w:rsidR="00FB64D9" w:rsidRDefault="00FB64D9" w:rsidP="00FB64D9">
      <w:pPr>
        <w:pStyle w:val="NormalWeb"/>
        <w:spacing w:line="360" w:lineRule="auto"/>
        <w:jc w:val="both"/>
      </w:pPr>
      <w:r>
        <w:t>Contrairement à ce que suggérait une partie de la littérature anglo-saxonne centrée sur la bi-négativité explicite du ou de la partenaire, cette violence ne semble que rarement s'articuler frontalement au contenu de l'identité bisexuelle des enquêtées. Elle prend plutôt la forme de mécanismes plus diffus — contrôle relationnel et économique, mépris des opinions, minimisation de la gravité perçue par les victimes elles-mêmes — cohérents avec l'hypothèse d'une bisexualité opérant comme facteur de vulnérabilité structurel plutôt que comme motif explicite de la violence subie. Cette lecture rejoint les travaux sur l'invisibilisation bisexuelle (Yoshino, 2000 ; Rust, 2002 ; Ochs, 1996) : dans un couple où l'orientation sexuelle de l'</w:t>
      </w:r>
      <w:proofErr w:type="spellStart"/>
      <w:r>
        <w:t>un·e</w:t>
      </w:r>
      <w:proofErr w:type="spellEnd"/>
      <w:r>
        <w:t xml:space="preserve"> des partenaires reste peu lisible socialement, voire ignorée du ou de la conjoint·e dans certains cas, les violences subies pourraient être à la fois moins facilement nommées comme telles et moins facilement rattachées à un cadre interprétatif spécifiquement bisexuel.</w:t>
      </w:r>
    </w:p>
    <w:p w14:paraId="320BD22B" w14:textId="77777777" w:rsidR="00FB64D9" w:rsidRDefault="00FB64D9" w:rsidP="00FB64D9">
      <w:pPr>
        <w:pStyle w:val="NormalWeb"/>
        <w:spacing w:line="360" w:lineRule="auto"/>
        <w:jc w:val="both"/>
      </w:pPr>
    </w:p>
    <w:p w14:paraId="0CE69B73" w14:textId="77777777" w:rsidR="004C7E05" w:rsidRDefault="004C7E05" w:rsidP="00A34B28">
      <w:pPr>
        <w:pStyle w:val="Textbody"/>
        <w:pBdr>
          <w:bottom w:val="single" w:sz="6" w:space="1" w:color="auto"/>
        </w:pBdr>
      </w:pPr>
    </w:p>
    <w:p w14:paraId="0C33DF15" w14:textId="243C8152" w:rsidR="00F17702" w:rsidRDefault="00F17702" w:rsidP="00A34B28">
      <w:pPr>
        <w:pStyle w:val="Textbody"/>
      </w:pPr>
    </w:p>
    <w:p w14:paraId="4039F6E3" w14:textId="16992823" w:rsidR="004C7E05" w:rsidRDefault="004C7E05" w:rsidP="004C7E05">
      <w:pPr>
        <w:pStyle w:val="Titre2"/>
      </w:pPr>
      <w:r>
        <w:t xml:space="preserve">Notes réflexion / Notes de lecture </w:t>
      </w:r>
    </w:p>
    <w:p w14:paraId="29191A12" w14:textId="54850481" w:rsidR="008425B9" w:rsidRDefault="008425B9" w:rsidP="00DC2108">
      <w:pPr>
        <w:pStyle w:val="Textbody"/>
      </w:pPr>
      <w:r>
        <w:t xml:space="preserve">On sait que la déclaration de violences est liée à l’âge, le diplôme : des effets de générations et de capital culturel favorisent ou non la reconnaissance et la déclaration des violences. Les bisexuelles étant plus jeunes et plus diplômées que les hétérosexuelles on pourrait supposer qu’il s’agit ici de </w:t>
      </w:r>
      <w:r>
        <w:lastRenderedPageBreak/>
        <w:t xml:space="preserve">l’effet d’une meilleure capacité à déclarer les violences. De plus on sait que les personnes ayant eu plus de partenaire au cours de la vie ou ayant une entrée précoce dans la sexualité déclarent plus de violence. Les bisexuelles sont dans ce cas de figure. On peut également chercher à contrôler l’effet de ces expériences de vie. </w:t>
      </w:r>
    </w:p>
    <w:p w14:paraId="0E0A9DE9" w14:textId="3003C0CB" w:rsidR="006E089E" w:rsidRDefault="00C45BE6" w:rsidP="00DC2108">
      <w:pPr>
        <w:pStyle w:val="Textbody"/>
      </w:pPr>
      <w:r>
        <w:t xml:space="preserve">Idée : comparer les déclarations de violence selon l’indicateur retenu (attirance, pratiques, attirances). Pour donner pistes explicatives sur la surexposition. </w:t>
      </w:r>
    </w:p>
    <w:p w14:paraId="1B07E91D" w14:textId="7C34E0DB" w:rsidR="00C45BE6" w:rsidRDefault="00C45BE6" w:rsidP="00DC2108">
      <w:pPr>
        <w:pStyle w:val="Textbody"/>
      </w:pPr>
      <w:r>
        <w:t xml:space="preserve">Idée : observer nb partenaires et rapport alcool (voir </w:t>
      </w:r>
      <w:proofErr w:type="spellStart"/>
      <w:r>
        <w:t>Flanders</w:t>
      </w:r>
      <w:proofErr w:type="spellEnd"/>
      <w:r>
        <w:t xml:space="preserve">) </w:t>
      </w:r>
    </w:p>
    <w:p w14:paraId="29D375DA" w14:textId="4D67775D" w:rsidR="002E4235" w:rsidRPr="002E4235" w:rsidRDefault="002E4235" w:rsidP="00DC2108">
      <w:pPr>
        <w:pStyle w:val="Textbody"/>
        <w:rPr>
          <w:b/>
          <w:bCs/>
        </w:rPr>
      </w:pPr>
      <w:r w:rsidRPr="002E4235">
        <w:rPr>
          <w:b/>
          <w:bCs/>
        </w:rPr>
        <w:t xml:space="preserve">Thèse Tania </w:t>
      </w:r>
    </w:p>
    <w:p w14:paraId="0CFEB734" w14:textId="07B79B74" w:rsidR="006E089E" w:rsidRDefault="006E089E" w:rsidP="00DC2108">
      <w:pPr>
        <w:pStyle w:val="Textbody"/>
      </w:pPr>
      <w:r>
        <w:t xml:space="preserve">Constatant que les femmes qui entrent précocement dans la sexualité ont plus de partenaires </w:t>
      </w:r>
      <w:proofErr w:type="spellStart"/>
      <w:r>
        <w:t>sexuel·le·s</w:t>
      </w:r>
      <w:proofErr w:type="spellEnd"/>
      <w:r>
        <w:t xml:space="preserve"> que les autres, M. Bozon suppose que « [l]e calendrier d’initiation sexuelle permet ainsi de prédire des trajectoires affectives et sexuelles, marquées par plus ou moins de diversité et de renouvellement » (Bozon, 2008a, p. 138). Qu’en est-il pour les configurations de sexualités issues des données Virage ? Les classes qui rapportent le plus de partenaires </w:t>
      </w:r>
      <w:proofErr w:type="spellStart"/>
      <w:r>
        <w:t>sexuel·le·s</w:t>
      </w:r>
      <w:proofErr w:type="spellEnd"/>
      <w:r>
        <w:t xml:space="preserve"> sont celles </w:t>
      </w:r>
      <w:proofErr w:type="spellStart"/>
      <w:r>
        <w:t>bicentrées</w:t>
      </w:r>
      <w:proofErr w:type="spellEnd"/>
      <w:r>
        <w:t xml:space="preserve"> : la « Bisexualité affirmée », dont les femmes ont principalement des relations avec des hommes, et la « Bisexualité </w:t>
      </w:r>
      <w:proofErr w:type="spellStart"/>
      <w:r>
        <w:t>gynocentrée</w:t>
      </w:r>
      <w:proofErr w:type="spellEnd"/>
      <w:r>
        <w:t xml:space="preserve"> », dont les femmes ont principalement des relations avec des femmes. À l’inverse, celles qui en rapportent le moins sont deux classes </w:t>
      </w:r>
      <w:proofErr w:type="spellStart"/>
      <w:r>
        <w:t>androcentrées</w:t>
      </w:r>
      <w:proofErr w:type="spellEnd"/>
      <w:r>
        <w:t>, l</w:t>
      </w:r>
      <w:proofErr w:type="gramStart"/>
      <w:r>
        <w:t>’«</w:t>
      </w:r>
      <w:proofErr w:type="gramEnd"/>
      <w:r>
        <w:t xml:space="preserve"> Hétérosexualité affirmée » et l’« Hétérosexualité théorique » avec presque exclusivement des partenaires masculins. Les autres configurations se situent dans des positions intermédiaires. Ainsi, il semblerait effectivement que « [p]lus le premier rapport est précoce, plus le nombre de partenaires sexuels pendant la vie est élevé » (Bozon, 1993, p. 1338). Cependant, on peut se demander s’il s’agit ici de pratiques effectives ou d’un effet de déclaration. En effet, des travaux ont montré que sur le sujet, les écarts de déclarations entre les femmes et les hommes s’expliquent de différentes façons (Lagrange, 1991 ; Leridon, 2008) : si une partie est due à des différences réelles – les hommes ont en moyenne un nombre plus élevé de partenaires que les femmes –, une autre provient des définitions variables des relations sexuelles – les hommes engloberaient plus de situations que les femmes sous ce terme. Il pourrait en être de même pour les configurations de sexualités féminines : alors que les femmes des classes </w:t>
      </w:r>
      <w:proofErr w:type="spellStart"/>
      <w:r>
        <w:t>bicentrées</w:t>
      </w:r>
      <w:proofErr w:type="spellEnd"/>
      <w:r>
        <w:t xml:space="preserve"> présentent un rapport plus ouvert et intéressé à la sexualité, elles pourraient effectivement avoir connu un nombre plus important d’expériences sexuelles, mais aussi avoir une propension plus grande à les déclarer.</w:t>
      </w:r>
    </w:p>
    <w:p w14:paraId="2962011F" w14:textId="2FD1C6AC" w:rsidR="006E089E" w:rsidRDefault="006E089E" w:rsidP="00DC2108">
      <w:pPr>
        <w:pStyle w:val="Textbody"/>
      </w:pPr>
    </w:p>
    <w:p w14:paraId="1DBF881B" w14:textId="445310AE" w:rsidR="006E089E" w:rsidRDefault="006E089E" w:rsidP="00DC2108">
      <w:pPr>
        <w:pStyle w:val="Textbody"/>
      </w:pPr>
      <w:r>
        <w:t xml:space="preserve">En ce qui concerne les parcours sexuels et conjugaux, les femmes qui déclarent des violences sexuelles entrent plus précocement dans la sexualité, ont plus de partenaires </w:t>
      </w:r>
      <w:proofErr w:type="spellStart"/>
      <w:r>
        <w:t>sexuel∙le∙s</w:t>
      </w:r>
      <w:proofErr w:type="spellEnd"/>
      <w:r>
        <w:t xml:space="preserve"> et sont moins souvent en couple (</w:t>
      </w:r>
      <w:proofErr w:type="spellStart"/>
      <w:r>
        <w:t>Jaspard</w:t>
      </w:r>
      <w:proofErr w:type="spellEnd"/>
      <w:r>
        <w:t xml:space="preserve"> et al., 2002 ; Lhomond et Saurel-</w:t>
      </w:r>
      <w:proofErr w:type="spellStart"/>
      <w:r>
        <w:t>Cubizolles</w:t>
      </w:r>
      <w:proofErr w:type="spellEnd"/>
      <w:r>
        <w:t xml:space="preserve">, 2013 ; </w:t>
      </w:r>
      <w:proofErr w:type="spellStart"/>
      <w:r>
        <w:t>Maillochon</w:t>
      </w:r>
      <w:proofErr w:type="spellEnd"/>
      <w:r>
        <w:t xml:space="preserve"> et </w:t>
      </w:r>
      <w:proofErr w:type="spellStart"/>
      <w:r>
        <w:t>Selz</w:t>
      </w:r>
      <w:proofErr w:type="spellEnd"/>
      <w:r>
        <w:t>, 2010). Si ces trois caractéristiques peuvent être à l’origine d’une plus forte exposition aux violences sexuelles, l’inverse est possible également : l’exposition à ces violences infléchirait des aspects des parcours sexuels et conjugaux (</w:t>
      </w:r>
      <w:proofErr w:type="spellStart"/>
      <w:r>
        <w:t>Maillochon</w:t>
      </w:r>
      <w:proofErr w:type="spellEnd"/>
      <w:r>
        <w:t xml:space="preserve"> et </w:t>
      </w:r>
      <w:proofErr w:type="spellStart"/>
      <w:r>
        <w:t>Selz</w:t>
      </w:r>
      <w:proofErr w:type="spellEnd"/>
      <w:r>
        <w:t>, 2010)</w:t>
      </w:r>
    </w:p>
    <w:p w14:paraId="41B3C9CA" w14:textId="29511769" w:rsidR="009C5835" w:rsidRDefault="009C5835" w:rsidP="00DC2108">
      <w:pPr>
        <w:pStyle w:val="Textbody"/>
      </w:pPr>
    </w:p>
    <w:p w14:paraId="26FBE67F" w14:textId="59E18413" w:rsidR="009C5835" w:rsidRDefault="009C5835" w:rsidP="00DC2108">
      <w:pPr>
        <w:pStyle w:val="Textbody"/>
      </w:pPr>
      <w:r>
        <w:t>Pour s’intéresser à la déclaration de violences sexuelles, la littérature existante invite ainsi à prendre en compte un certain nombre de variables socio-démographiques, sexuelles et conjugales dans les régressions logistiques (Encadré 4.1)</w:t>
      </w:r>
    </w:p>
    <w:p w14:paraId="3B94AA7D" w14:textId="61B96B12" w:rsidR="00F07F1A" w:rsidRDefault="00F07F1A" w:rsidP="00DC2108">
      <w:pPr>
        <w:pStyle w:val="Textbody"/>
      </w:pPr>
      <w:r>
        <w:t>Certaines femmes rapportent plus de violences sexuelles que d’autres, par exemple celles avec un niveau élevé d’études, celles appartenant aux catégories socio-professionnelles élevées ou celles au chômage ou inactives (</w:t>
      </w:r>
      <w:proofErr w:type="spellStart"/>
      <w:r>
        <w:t>Bajos</w:t>
      </w:r>
      <w:proofErr w:type="spellEnd"/>
      <w:r>
        <w:t xml:space="preserve"> et Bozon, 2008 ; </w:t>
      </w:r>
      <w:proofErr w:type="spellStart"/>
      <w:r>
        <w:t>Cavalin</w:t>
      </w:r>
      <w:proofErr w:type="spellEnd"/>
      <w:r>
        <w:t>, 2010d). Par ailleurs, du fait certainement de la conjugaison d’un effet de génération et d’un effet de mémoire, les jeunes générations en déclarent plus (</w:t>
      </w:r>
      <w:proofErr w:type="spellStart"/>
      <w:r>
        <w:t>Bajos</w:t>
      </w:r>
      <w:proofErr w:type="spellEnd"/>
      <w:r>
        <w:t xml:space="preserve"> et Bozon, 2008 ; Brown et </w:t>
      </w:r>
      <w:proofErr w:type="spellStart"/>
      <w:r>
        <w:t>Maillochon</w:t>
      </w:r>
      <w:proofErr w:type="spellEnd"/>
      <w:r>
        <w:t xml:space="preserve">, 2002 ; </w:t>
      </w:r>
      <w:proofErr w:type="spellStart"/>
      <w:r>
        <w:t>Cavalin</w:t>
      </w:r>
      <w:proofErr w:type="spellEnd"/>
      <w:r>
        <w:t xml:space="preserve">, 2010d). Les grandes agglomérations étant propices à l’exercice de violences dans les espaces publics, les urbaines y subissent plus de sévices sexuels (Brown et </w:t>
      </w:r>
      <w:proofErr w:type="spellStart"/>
      <w:r>
        <w:t>Maillochon</w:t>
      </w:r>
      <w:proofErr w:type="spellEnd"/>
      <w:r>
        <w:t xml:space="preserve">, 2002 ; </w:t>
      </w:r>
      <w:proofErr w:type="spellStart"/>
      <w:r>
        <w:t>Cavalin</w:t>
      </w:r>
      <w:proofErr w:type="spellEnd"/>
      <w:r>
        <w:t xml:space="preserve">, 171 2010d). Enfin, les situations de précarité associées à certains parcours de migration exposent spécifiquement des femmes au statut migratoire minoritaire (Pannetier et al., 2020). En ce qui concerne les parcours sexuels et conjugaux, les femmes qui déclarent des violences sexuelles entrent plus précocement dans la sexualité, ont plus de partenaires </w:t>
      </w:r>
      <w:proofErr w:type="spellStart"/>
      <w:r>
        <w:t>sexuel∙le∙s</w:t>
      </w:r>
      <w:proofErr w:type="spellEnd"/>
      <w:r>
        <w:t xml:space="preserve"> et sont moins souvent en couple (</w:t>
      </w:r>
      <w:proofErr w:type="spellStart"/>
      <w:r>
        <w:t>Jaspard</w:t>
      </w:r>
      <w:proofErr w:type="spellEnd"/>
      <w:r>
        <w:t xml:space="preserve"> et al., 2002 ; Lhomond et Saurel-</w:t>
      </w:r>
      <w:proofErr w:type="spellStart"/>
      <w:r>
        <w:t>Cubizolles</w:t>
      </w:r>
      <w:proofErr w:type="spellEnd"/>
      <w:r>
        <w:t xml:space="preserve">, 2013 ; </w:t>
      </w:r>
      <w:proofErr w:type="spellStart"/>
      <w:r>
        <w:t>Maillochon</w:t>
      </w:r>
      <w:proofErr w:type="spellEnd"/>
      <w:r>
        <w:t xml:space="preserve"> et </w:t>
      </w:r>
      <w:proofErr w:type="spellStart"/>
      <w:r>
        <w:t>Selz</w:t>
      </w:r>
      <w:proofErr w:type="spellEnd"/>
      <w:r>
        <w:t>, 2010). Si ces trois caractéristiques peuvent être à l’origine d’une plus forte exposition aux violences sexuelles, l’inverse est possible également : l’exposition à ces violences infléchirait des aspects des parcours sexuels et conjugaux (</w:t>
      </w:r>
      <w:proofErr w:type="spellStart"/>
      <w:r>
        <w:t>Maillochon</w:t>
      </w:r>
      <w:proofErr w:type="spellEnd"/>
      <w:r>
        <w:t xml:space="preserve"> et </w:t>
      </w:r>
      <w:proofErr w:type="spellStart"/>
      <w:r>
        <w:t>Selz</w:t>
      </w:r>
      <w:proofErr w:type="spellEnd"/>
      <w:r>
        <w:t>, 2010).</w:t>
      </w:r>
    </w:p>
    <w:p w14:paraId="214D88AD" w14:textId="5DCB4E5E" w:rsidR="00F07F1A" w:rsidRDefault="00F07F1A" w:rsidP="00DC2108">
      <w:pPr>
        <w:pStyle w:val="Textbody"/>
      </w:pPr>
      <w:r>
        <w:t xml:space="preserve">Tenir compte du « seuil de rejet » des violences La prise en compte d’informations comme l’âge ou l’appartenance territoriale dans les variables de contrôle apparaît évidente pour étudier les déclarations de violences sexuelles, là où d’autres semblent moins importantes. S’intéressant au </w:t>
      </w:r>
      <w:r>
        <w:lastRenderedPageBreak/>
        <w:t xml:space="preserve">dénombrement de ces faits dans les enquêtes quantitatives françaises, Nathalie </w:t>
      </w:r>
      <w:proofErr w:type="spellStart"/>
      <w:r>
        <w:t>Bajos</w:t>
      </w:r>
      <w:proofErr w:type="spellEnd"/>
      <w:r>
        <w:t xml:space="preserve"> et Michel Bozon soulignent que depuis le début du 21ème siècle les débats et actions publiques sur le sujet ont favorisé leur reconnaissance sociale (</w:t>
      </w:r>
      <w:proofErr w:type="spellStart"/>
      <w:r>
        <w:t>Bajos</w:t>
      </w:r>
      <w:proofErr w:type="spellEnd"/>
      <w:r>
        <w:t xml:space="preserve"> et Bozon, 2008 ; </w:t>
      </w:r>
      <w:proofErr w:type="spellStart"/>
      <w:r>
        <w:t>Bajos</w:t>
      </w:r>
      <w:proofErr w:type="spellEnd"/>
      <w:r>
        <w:t>, Bozon et l’équipe CSF, 2008). Cela a abaissé le « seuil de rejet » des violences sexuelles, les femmes tendant « aujourd’hui à appréhender comme des agressions des événements qu’elles n’auraient pas considérés auparavant comme tels » (</w:t>
      </w:r>
      <w:proofErr w:type="spellStart"/>
      <w:r>
        <w:t>Bajos</w:t>
      </w:r>
      <w:proofErr w:type="spellEnd"/>
      <w:r>
        <w:t xml:space="preserve">, Bozon et l’équipe CSF, 2008, p. 3). Ainsi, une évolution du « seuil de tolérance » serait associée aux perceptions des violences sexuelles et donc à leur déclaration. Or, si ce seuil peut être appréhendé par exemple en contrôlant l’âge, des formes de politisation aux violences sexuelles, que ne partagent pas un même groupe d’âge, peuvent aussi entrer en compte. Le questionnaire de Virage ne mesure pas les degrés de politisation. Cependant, deux questions peuvent être utilisées comme proxy d’indicateurs de politisation au genre, c’est-à-dire de processus par lesquels les personnes prennent conscience de l’existence de rôles de genre asymétriques associés à chacun des deux sexes qui se font au détriment des femmes et qui peuvent favoriser l’exercice de violences des hommes sur les femmes. 172 La première question demande : « Diriez-vous que dans un couple il faut tout faire ensemble ? Tout-à-fait d’accord ; plutôt d’accord ; plutôt pas d’accord ; pas du tout d’accord ; ne souhaite pas répondre ; ne sait pas ». En interrogeant un positionnement extrême, cette question permet de capter le rapport à une norme conjugale, la place centrale du couple dans la vie des individus, qui participe à la construction de l’hétéronormativité (Chapitre 1). Le rôle du couple dans le contrôle social des femmes (Artigas Burr et </w:t>
      </w:r>
      <w:proofErr w:type="spellStart"/>
      <w:r>
        <w:t>Salcedo</w:t>
      </w:r>
      <w:proofErr w:type="spellEnd"/>
      <w:r>
        <w:t xml:space="preserve"> </w:t>
      </w:r>
      <w:proofErr w:type="spellStart"/>
      <w:r>
        <w:t>Robledo</w:t>
      </w:r>
      <w:proofErr w:type="spellEnd"/>
      <w:r>
        <w:t xml:space="preserve">, 2016 ; </w:t>
      </w:r>
      <w:proofErr w:type="spellStart"/>
      <w:r>
        <w:t>Hanmer</w:t>
      </w:r>
      <w:proofErr w:type="spellEnd"/>
      <w:r>
        <w:t xml:space="preserve">, 1977) a amené certaines théoriciennes féministes à développer une vision critique de la conjugalité qui remet en cause sa centralité et son caractère totalisant (Guillaumin, 1992 ; Mathieu, 1991 ; Tabet, 2001). Ainsi, cette question ne renseigne pas directement un degré de politisation, mais saisit des positionnements vis-à-vis d’une forme explicite d’hétéronormativité. Elle peut alors servir de proxy d’indicateur de politisation aux normes de genre. </w:t>
      </w:r>
    </w:p>
    <w:p w14:paraId="5B8A4B88" w14:textId="5718C340" w:rsidR="00F07F1A" w:rsidRDefault="00F07F1A" w:rsidP="00DC2108">
      <w:pPr>
        <w:pStyle w:val="Textbody"/>
      </w:pPr>
      <w:r>
        <w:t xml:space="preserve">La deuxième question demande : « Au cours des 12 derniers mois, est-ce que vous avez participé à des activités associatives, politiques ou syndicales ? Non ; de temps en temps ; souvent ; très souvent ; ne souhaite pas répondre ; ne sait pas ». Le manque de précision dans la formulation de la question ne permet pas d’expliciter la forme d’activité. Mais si l’engagement des enquêtées est interrogé au sens large, cette question saisit aussi des activités qui peuvent accroître le degré de politisation au genre, comme le féminisme, le syndicalisme, l’engagement auprès d’associations </w:t>
      </w:r>
      <w:r>
        <w:lastRenderedPageBreak/>
        <w:t>de défense des droits de personnes, etc. L’analyse brute des réponses oppose les mêmes groupes de configurations sexuelles que pour la question sur la vision du couple (Figure 4.3). Alors que près des deux tiers des classes « Hétérosexualité affirmée » et « Hétérosexualité théorique » n’ont participé à aucune activité associative, politique ou syndicale, environ 50 % à 60 % des autres configurations l’ont fait. Ces deux questions ne saisissent pas directement la politisation des individus, mais elles sont des proxys de leur degré de politisation au genre et cette dernière peut favoriser la propension à déclarer des violences de genre</w:t>
      </w:r>
    </w:p>
    <w:p w14:paraId="6C07435E" w14:textId="3AADA126" w:rsidR="00E441B7" w:rsidRDefault="00E441B7" w:rsidP="00E441B7">
      <w:pPr>
        <w:pStyle w:val="Textbody"/>
        <w:numPr>
          <w:ilvl w:val="0"/>
          <w:numId w:val="26"/>
        </w:numPr>
      </w:pPr>
      <w:r>
        <w:t xml:space="preserve">Ici c’est des variables qui favorise la déclaration de violences sexuelles (précoce, nb partenaire) peut être pas pertinent ici </w:t>
      </w:r>
    </w:p>
    <w:p w14:paraId="320C020D" w14:textId="777AF6C9" w:rsidR="00E441B7" w:rsidRDefault="00E441B7" w:rsidP="00E441B7">
      <w:pPr>
        <w:pStyle w:val="Textbody"/>
        <w:numPr>
          <w:ilvl w:val="0"/>
          <w:numId w:val="26"/>
        </w:numPr>
      </w:pPr>
      <w:r>
        <w:t xml:space="preserve">Variables de contrôle : âge, diplôme, revenu, territoire, statut conjugal, parental, statut activité </w:t>
      </w:r>
    </w:p>
    <w:p w14:paraId="435A75A7" w14:textId="5ADFD187" w:rsidR="00E45841" w:rsidRDefault="00E45841" w:rsidP="00E45841">
      <w:pPr>
        <w:pStyle w:val="Textbody"/>
      </w:pPr>
      <w:r>
        <w:t>En effet, dans cette sphère, les violences sexuelles proviennent avant tout d’un conjoint homme, les violences exercées par des femmes s’exprimant moins par des actes physiques que par des actes psychologiques (</w:t>
      </w:r>
      <w:proofErr w:type="spellStart"/>
      <w:r>
        <w:t>Lejbowicz</w:t>
      </w:r>
      <w:proofErr w:type="spellEnd"/>
      <w:r>
        <w:t>, 2023b, à paraître).</w:t>
      </w:r>
    </w:p>
    <w:p w14:paraId="534D60D4" w14:textId="403E1754" w:rsidR="002E4235" w:rsidRPr="002E4235" w:rsidRDefault="002E4235" w:rsidP="00DC2108">
      <w:pPr>
        <w:pStyle w:val="Textbody"/>
        <w:rPr>
          <w:b/>
          <w:bCs/>
        </w:rPr>
      </w:pPr>
      <w:r w:rsidRPr="002E4235">
        <w:rPr>
          <w:b/>
          <w:bCs/>
        </w:rPr>
        <w:t>Article </w:t>
      </w:r>
      <w:r>
        <w:rPr>
          <w:b/>
          <w:bCs/>
        </w:rPr>
        <w:t>T</w:t>
      </w:r>
      <w:r w:rsidRPr="002E4235">
        <w:rPr>
          <w:b/>
          <w:bCs/>
        </w:rPr>
        <w:t xml:space="preserve">ania : </w:t>
      </w:r>
    </w:p>
    <w:p w14:paraId="7004222E" w14:textId="2911BFBE" w:rsidR="004628CC" w:rsidRDefault="002E4235" w:rsidP="00DC2108">
      <w:pPr>
        <w:pStyle w:val="Textbody"/>
      </w:pPr>
      <w:proofErr w:type="gramStart"/>
      <w:r>
        <w:t>paragraphe</w:t>
      </w:r>
      <w:proofErr w:type="gramEnd"/>
      <w:r>
        <w:t xml:space="preserve"> parfait présentation débat symétrie / asymétrie </w:t>
      </w:r>
    </w:p>
    <w:p w14:paraId="28F5A7C7" w14:textId="7C867DFE" w:rsidR="002E4235" w:rsidRDefault="002E4235" w:rsidP="00DC2108">
      <w:pPr>
        <w:pStyle w:val="Textbody"/>
      </w:pPr>
      <w:proofErr w:type="gramStart"/>
      <w:r>
        <w:t>définition</w:t>
      </w:r>
      <w:proofErr w:type="gramEnd"/>
      <w:r>
        <w:t xml:space="preserve"> violence de genre </w:t>
      </w:r>
    </w:p>
    <w:p w14:paraId="4E9C70C9" w14:textId="0B43B0A7" w:rsidR="002E4235" w:rsidRDefault="002E4235" w:rsidP="00DC2108">
      <w:pPr>
        <w:pStyle w:val="Textbody"/>
      </w:pPr>
      <w:proofErr w:type="gramStart"/>
      <w:r>
        <w:t>état</w:t>
      </w:r>
      <w:proofErr w:type="gramEnd"/>
      <w:r>
        <w:t xml:space="preserve"> de l’art violences conjugales couple de femme </w:t>
      </w:r>
    </w:p>
    <w:p w14:paraId="3EDCB92B" w14:textId="25DBA7E4" w:rsidR="002E4235" w:rsidRDefault="002E4235" w:rsidP="00DC2108">
      <w:pPr>
        <w:pStyle w:val="Textbody"/>
      </w:pPr>
      <w:r>
        <w:t xml:space="preserve">2 hypothèses : </w:t>
      </w:r>
    </w:p>
    <w:p w14:paraId="76C4A0E7" w14:textId="44C47CA7" w:rsidR="002E4235" w:rsidRDefault="002E4235" w:rsidP="002E4235">
      <w:pPr>
        <w:pStyle w:val="Textbody"/>
        <w:numPr>
          <w:ilvl w:val="0"/>
          <w:numId w:val="27"/>
        </w:numPr>
      </w:pPr>
      <w:r>
        <w:t xml:space="preserve">Violences couples de femmes pas les mêmes : pas mêmes actes, pas même fréquence, pas mêmes conséquences </w:t>
      </w:r>
    </w:p>
    <w:p w14:paraId="40EEDCFF" w14:textId="460ACE68" w:rsidR="002E4235" w:rsidRDefault="002E4235" w:rsidP="002E4235">
      <w:pPr>
        <w:pStyle w:val="Textbody"/>
        <w:numPr>
          <w:ilvl w:val="0"/>
          <w:numId w:val="27"/>
        </w:numPr>
      </w:pPr>
      <w:r>
        <w:t>Violences déclarées par bies et lesbiennes quand elles étaient en couple avec homme ne sont pas les mêmes dans forme et nature</w:t>
      </w:r>
    </w:p>
    <w:p w14:paraId="279D3AC2" w14:textId="23B170F2" w:rsidR="002E4235" w:rsidRDefault="002E4235" w:rsidP="002E4235">
      <w:pPr>
        <w:pStyle w:val="Textbody"/>
      </w:pPr>
      <w:r>
        <w:t xml:space="preserve">Lien étude violence et identification </w:t>
      </w:r>
    </w:p>
    <w:p w14:paraId="6946AF68" w14:textId="29A9CD87" w:rsidR="002E4235" w:rsidRDefault="002E4235" w:rsidP="002E4235">
      <w:pPr>
        <w:pStyle w:val="Textbody"/>
      </w:pPr>
      <w:r>
        <w:t xml:space="preserve">Présentation virage </w:t>
      </w:r>
      <w:proofErr w:type="spellStart"/>
      <w:r>
        <w:t>pg</w:t>
      </w:r>
      <w:proofErr w:type="spellEnd"/>
      <w:r>
        <w:t xml:space="preserve"> et lgbt en lien avec violences + </w:t>
      </w:r>
      <w:r w:rsidR="00EE6749">
        <w:t xml:space="preserve">utilisation </w:t>
      </w:r>
      <w:proofErr w:type="spellStart"/>
      <w:r w:rsidR="00EE6749">
        <w:t>cojointe</w:t>
      </w:r>
      <w:proofErr w:type="spellEnd"/>
      <w:r w:rsidR="00EE6749">
        <w:t xml:space="preserve"> deux bases possible car on peut anticiper les effets induits du mode de collecte (littérature) </w:t>
      </w:r>
    </w:p>
    <w:p w14:paraId="723E8C15" w14:textId="50430F54" w:rsidR="00EE6749" w:rsidRDefault="00EE6749" w:rsidP="002E4235">
      <w:pPr>
        <w:pStyle w:val="Textbody"/>
      </w:pPr>
      <w:r>
        <w:lastRenderedPageBreak/>
        <w:t xml:space="preserve">Fusion des bases de données : femmes cis (que cis dans PG et très peu de femmes trans dans LGBT) ; déclarant violences (+ dans LGBT que dans PG) ; application d’une pondération &gt; CAH </w:t>
      </w:r>
    </w:p>
    <w:p w14:paraId="37AFEDBC" w14:textId="340C7E73" w:rsidR="00EE6749" w:rsidRDefault="00EE6749" w:rsidP="002E4235">
      <w:pPr>
        <w:pStyle w:val="Textbody"/>
      </w:pPr>
      <w:r>
        <w:t xml:space="preserve">Explication de la mesure des violences dans le questionnaire + uniquement avant 12 mois (pas les mêmes personnes, pas les mêmes questions, permet plus de monde, permet </w:t>
      </w:r>
      <w:proofErr w:type="gramStart"/>
      <w:r>
        <w:t>relations hétéro</w:t>
      </w:r>
      <w:proofErr w:type="gramEnd"/>
      <w:r>
        <w:t xml:space="preserve"> de femmes bies / lesbiennes) + explication de la construction des indicateurs &amp; des niveaux </w:t>
      </w:r>
    </w:p>
    <w:p w14:paraId="5E5BC224" w14:textId="47115E64" w:rsidR="00EE6749" w:rsidRDefault="00EE6749" w:rsidP="002E4235">
      <w:pPr>
        <w:pStyle w:val="Textbody"/>
      </w:pPr>
      <w:r>
        <w:t xml:space="preserve">Présentation des configurations des violences conjugales avec la CAH. </w:t>
      </w:r>
      <w:r w:rsidR="00567EA8">
        <w:t xml:space="preserve">Prise en compte de la </w:t>
      </w:r>
      <w:proofErr w:type="spellStart"/>
      <w:r w:rsidR="00567EA8">
        <w:t>polyvictimation</w:t>
      </w:r>
      <w:proofErr w:type="spellEnd"/>
      <w:r w:rsidR="00567EA8">
        <w:t xml:space="preserve"> pour établir les configurations </w:t>
      </w:r>
    </w:p>
    <w:p w14:paraId="005F0A2F" w14:textId="18B5EB07" w:rsidR="00567EA8" w:rsidRDefault="00567EA8" w:rsidP="002E4235">
      <w:pPr>
        <w:pStyle w:val="Textbody"/>
      </w:pPr>
      <w:r>
        <w:t xml:space="preserve">Violences infligées par les femmes sont moins souvent corporelles, faits plutôt de basse </w:t>
      </w:r>
      <w:proofErr w:type="gramStart"/>
      <w:r>
        <w:t>intensité,  moins</w:t>
      </w:r>
      <w:proofErr w:type="gramEnd"/>
      <w:r>
        <w:t xml:space="preserve"> souvent sexuelles et moins souvent sévères que quand homme auteur. Caractéristiques socio-démo couple de femmes : même </w:t>
      </w:r>
      <w:proofErr w:type="gramStart"/>
      <w:r>
        <w:t>que étude</w:t>
      </w:r>
      <w:proofErr w:type="gramEnd"/>
      <w:r>
        <w:t xml:space="preserve"> femmes minorités. Couple de sexe différent : identiques aux femmes en pop générale qui ne subissent pas de </w:t>
      </w:r>
      <w:proofErr w:type="gramStart"/>
      <w:r>
        <w:t>violence sauf</w:t>
      </w:r>
      <w:proofErr w:type="gramEnd"/>
      <w:r>
        <w:t> : plus souvent des enfants et plus souvent pas en couple au moment enquête (difficulté retrouver conjoint ou éloignement conjugalité).</w:t>
      </w:r>
    </w:p>
    <w:p w14:paraId="16061FB2" w14:textId="1E912401" w:rsidR="00567EA8" w:rsidRDefault="00567EA8" w:rsidP="002E4235">
      <w:pPr>
        <w:pStyle w:val="Textbody"/>
      </w:pPr>
      <w:r>
        <w:t xml:space="preserve">Violences exercées par des hommes, avant 12 mois, selon identification sexuelle au moment enquête : hétérosexuelles déclarent plus physiques / bies et homos déclarent plus sexuel. Moyen de coercition pour violences sexuelles : plus physique pour hétéro, plus chantage émotionnel et abus de confiance pour bies et homo. </w:t>
      </w:r>
      <w:r>
        <w:sym w:font="Wingdings" w:char="F0E0"/>
      </w:r>
      <w:r>
        <w:t xml:space="preserve"> </w:t>
      </w:r>
      <w:proofErr w:type="gramStart"/>
      <w:r>
        <w:t>inégale</w:t>
      </w:r>
      <w:proofErr w:type="gramEnd"/>
      <w:r>
        <w:t xml:space="preserve"> exposition / façon dont les violences sont exercées permet plus ou moins bien de les identifier : identification varie selon hétéro, </w:t>
      </w:r>
      <w:proofErr w:type="spellStart"/>
      <w:r>
        <w:t>bie</w:t>
      </w:r>
      <w:proofErr w:type="spellEnd"/>
      <w:r>
        <w:t xml:space="preserve">, homo. </w:t>
      </w:r>
    </w:p>
    <w:p w14:paraId="47FEC6C5" w14:textId="77777777" w:rsidR="001306BB" w:rsidRDefault="00567EA8" w:rsidP="002E4235">
      <w:pPr>
        <w:pStyle w:val="Textbody"/>
      </w:pPr>
      <w:proofErr w:type="spellStart"/>
      <w:r>
        <w:t>Hypohtèse</w:t>
      </w:r>
      <w:proofErr w:type="spellEnd"/>
      <w:r>
        <w:t xml:space="preserve"> 1 : validé. Femmes exercent violence de moins grande intensité et le plus souvent sans atteinte corporelle. Quand on observe les configurations conjugales cela explique (moins souvent enfant, écart d’âge, relations plus courtes). Les violences s’inscrivent dans un contexte conjugal (par exemple cohabitant, enfants). Rapport au corps en couple de même sexe, de sexe différent n’est pas le même. Rejoint féministe matérialiste et violence, appropriation du corps comme contrôle social. 2 constats pour différence place violence corporelle : organisation mise en couple hétéro (masse corporelle des hommes </w:t>
      </w:r>
      <w:r w:rsidR="001306BB">
        <w:t xml:space="preserve">plus importante : contrôle plus fort) / apprentissage violence corporelle par garçon puis hommes. </w:t>
      </w:r>
    </w:p>
    <w:p w14:paraId="411F0298" w14:textId="3A982F84" w:rsidR="00567EA8" w:rsidRDefault="001306BB" w:rsidP="002E4235">
      <w:pPr>
        <w:pStyle w:val="Textbody"/>
        <w:rPr>
          <w:rFonts w:ascii="Georgia" w:hAnsi="Georgia"/>
          <w:color w:val="212427"/>
          <w:sz w:val="30"/>
          <w:szCs w:val="30"/>
          <w:shd w:val="clear" w:color="auto" w:fill="FFFFFF"/>
        </w:rPr>
      </w:pPr>
      <w:r>
        <w:t xml:space="preserve">Hypothèse 2 : validé. Femmes sorties hétérosexualité ont vécu sexualité avec hommes particulièrement violente ou la lise rétrospectivement comme telle (lecture à l’aune des nouvelles </w:t>
      </w:r>
      <w:r>
        <w:lastRenderedPageBreak/>
        <w:t>expériences</w:t>
      </w:r>
      <w:proofErr w:type="gramStart"/>
      <w:r>
        <w:t>);</w:t>
      </w:r>
      <w:proofErr w:type="gramEnd"/>
      <w:r>
        <w:t xml:space="preserve"> capacité à dénoncer une sexualité </w:t>
      </w:r>
      <w:proofErr w:type="spellStart"/>
      <w:r>
        <w:t>majortaire</w:t>
      </w:r>
      <w:proofErr w:type="spellEnd"/>
      <w:r>
        <w:t xml:space="preserve"> dont elles se sont éloignées. </w:t>
      </w:r>
      <w:r w:rsidR="00567EA8">
        <w:t xml:space="preserve"> </w:t>
      </w:r>
      <w:r>
        <w:rPr>
          <w:rFonts w:ascii="Georgia" w:hAnsi="Georgia"/>
          <w:color w:val="212427"/>
          <w:sz w:val="30"/>
          <w:szCs w:val="30"/>
          <w:shd w:val="clear" w:color="auto" w:fill="FFFFFF"/>
        </w:rPr>
        <w:t> </w:t>
      </w:r>
      <w:proofErr w:type="gramStart"/>
      <w:r>
        <w:rPr>
          <w:rFonts w:ascii="Georgia" w:hAnsi="Georgia"/>
          <w:color w:val="212427"/>
          <w:sz w:val="30"/>
          <w:szCs w:val="30"/>
          <w:shd w:val="clear" w:color="auto" w:fill="FFFFFF"/>
        </w:rPr>
        <w:t>les</w:t>
      </w:r>
      <w:proofErr w:type="gramEnd"/>
      <w:r>
        <w:rPr>
          <w:rFonts w:ascii="Georgia" w:hAnsi="Georgia"/>
          <w:color w:val="212427"/>
          <w:sz w:val="30"/>
          <w:szCs w:val="30"/>
          <w:shd w:val="clear" w:color="auto" w:fill="FFFFFF"/>
        </w:rPr>
        <w:t xml:space="preserve"> lesbiennes et les bisexuelles auraient une plus grande propension à identifier et rapporter comme violents des actes sexuels ancrés dans un système conjugal structurellement genré.</w:t>
      </w:r>
      <w:r>
        <w:rPr>
          <w:rFonts w:ascii="Georgia" w:hAnsi="Georgia"/>
          <w:color w:val="212427"/>
          <w:sz w:val="30"/>
          <w:szCs w:val="30"/>
          <w:shd w:val="clear" w:color="auto" w:fill="FFFFFF"/>
        </w:rPr>
        <w:t xml:space="preserve"> Elles déclarent plus facilement </w:t>
      </w:r>
      <w:proofErr w:type="gramStart"/>
      <w:r>
        <w:rPr>
          <w:rFonts w:ascii="Georgia" w:hAnsi="Georgia"/>
          <w:color w:val="212427"/>
          <w:sz w:val="30"/>
          <w:szCs w:val="30"/>
          <w:shd w:val="clear" w:color="auto" w:fill="FFFFFF"/>
        </w:rPr>
        <w:t>violence exercé</w:t>
      </w:r>
      <w:proofErr w:type="gramEnd"/>
      <w:r>
        <w:rPr>
          <w:rFonts w:ascii="Georgia" w:hAnsi="Georgia"/>
          <w:color w:val="212427"/>
          <w:sz w:val="30"/>
          <w:szCs w:val="30"/>
          <w:shd w:val="clear" w:color="auto" w:fill="FFFFFF"/>
        </w:rPr>
        <w:t xml:space="preserve"> dans rapport de domination non corporel dont les contours laissent plus place à interprétation personnelle ; </w:t>
      </w:r>
    </w:p>
    <w:p w14:paraId="7B63B11E" w14:textId="4FC2F601" w:rsidR="001306BB" w:rsidRDefault="001306BB" w:rsidP="002E4235">
      <w:pPr>
        <w:pStyle w:val="Textbody"/>
        <w:rPr>
          <w:rFonts w:ascii="Georgia" w:hAnsi="Georgia"/>
          <w:color w:val="212427"/>
          <w:sz w:val="30"/>
          <w:szCs w:val="30"/>
          <w:shd w:val="clear" w:color="auto" w:fill="FFFFFF"/>
        </w:rPr>
      </w:pPr>
      <w:r>
        <w:rPr>
          <w:rFonts w:ascii="Georgia" w:hAnsi="Georgia"/>
          <w:color w:val="212427"/>
          <w:sz w:val="30"/>
          <w:szCs w:val="30"/>
          <w:shd w:val="clear" w:color="auto" w:fill="FFFFFF"/>
        </w:rPr>
        <w:t xml:space="preserve">Limites enquête : pas conséquences des faits (pour cerner contrôle coercitif) que pour le fait le plus grave. </w:t>
      </w:r>
    </w:p>
    <w:p w14:paraId="37359C73" w14:textId="7B8E2B23" w:rsidR="001306BB" w:rsidRDefault="001306BB" w:rsidP="002E4235">
      <w:pPr>
        <w:pStyle w:val="Textbody"/>
      </w:pPr>
      <w:r>
        <w:rPr>
          <w:rFonts w:ascii="Georgia" w:hAnsi="Georgia"/>
          <w:color w:val="212427"/>
          <w:sz w:val="30"/>
          <w:szCs w:val="30"/>
          <w:shd w:val="clear" w:color="auto" w:fill="FFFFFF"/>
        </w:rPr>
        <w:t xml:space="preserve">Conclusion reprend tous résultats.  </w:t>
      </w:r>
    </w:p>
    <w:p w14:paraId="7C30E3D4" w14:textId="77777777" w:rsidR="004628CC" w:rsidRPr="00DC2108" w:rsidRDefault="004628CC" w:rsidP="00DC2108">
      <w:pPr>
        <w:pStyle w:val="Textbody"/>
      </w:pPr>
    </w:p>
    <w:sectPr w:rsidR="004628CC" w:rsidRPr="00DC2108" w:rsidSect="005D5189">
      <w:footerReference w:type="default" r:id="rId12"/>
      <w:pgSz w:w="12240" w:h="15840"/>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ELISA LEMOINE" w:date="2026-08-22T11:34:00Z" w:initials="EL">
    <w:p w14:paraId="5261A8A3" w14:textId="6275BE5C" w:rsidR="000C0407" w:rsidRDefault="000C0407">
      <w:pPr>
        <w:pStyle w:val="Commentaire"/>
      </w:pPr>
      <w:r>
        <w:rPr>
          <w:rStyle w:val="Marquedecommentaire"/>
        </w:rPr>
        <w:annotationRef/>
      </w:r>
      <w:proofErr w:type="spellStart"/>
      <w:r>
        <w:t>Lejbowicz</w:t>
      </w:r>
      <w:proofErr w:type="spellEnd"/>
      <w:r>
        <w:t xml:space="preserve"> compare bies/hétéro/lesbiennes, s’identifiant </w:t>
      </w:r>
      <w:proofErr w:type="spellStart"/>
      <w:r>
        <w:t>ajd</w:t>
      </w:r>
      <w:proofErr w:type="spellEnd"/>
      <w:r>
        <w:t xml:space="preserve"> comme telles, ayant été en couple avant les 12 derniers mois avec un homme et déclarant des violences avant ces 12 derniers mois. Base de comparaison possible : couple de même sexe // sexe différent. Est-ce que les autres recherches font aussi cette comparaison ?</w:t>
      </w:r>
    </w:p>
  </w:comment>
  <w:comment w:id="3" w:author="ELISA LEMOINE" w:date="2026-08-22T11:27:00Z" w:initials="EL">
    <w:p w14:paraId="44B9F43A" w14:textId="188DA3C1" w:rsidR="00A16CE8" w:rsidRDefault="00A16CE8">
      <w:pPr>
        <w:pStyle w:val="Commentaire"/>
      </w:pPr>
      <w:r>
        <w:rPr>
          <w:rStyle w:val="Marquedecommentaire"/>
        </w:rPr>
        <w:annotationRef/>
      </w:r>
      <w:r>
        <w:t>Reprendre le détail dans article Tania</w:t>
      </w:r>
    </w:p>
  </w:comment>
  <w:comment w:id="4" w:author="ELISA LEMOINE" w:date="2026-08-22T11:50:00Z" w:initials="EL">
    <w:p w14:paraId="26BCC913" w14:textId="22FF499C" w:rsidR="008745E0" w:rsidRDefault="008745E0">
      <w:pPr>
        <w:pStyle w:val="Commentaire"/>
      </w:pPr>
      <w:r>
        <w:rPr>
          <w:rStyle w:val="Marquedecommentaire"/>
        </w:rPr>
        <w:annotationRef/>
      </w:r>
      <w:r>
        <w:t xml:space="preserve">Est-ce qu’on garde alors qu’on a dit qu’on se concentrait sur 12 derniers mois ? </w:t>
      </w:r>
    </w:p>
  </w:comment>
  <w:comment w:id="5" w:author="ELISA LEMOINE" w:date="2026-08-22T11:49:00Z" w:initials="EL">
    <w:p w14:paraId="3EE4E856" w14:textId="010B3A00" w:rsidR="008745E0" w:rsidRDefault="008745E0">
      <w:pPr>
        <w:pStyle w:val="Commentaire"/>
      </w:pPr>
      <w:r>
        <w:rPr>
          <w:rStyle w:val="Marquedecommentaire"/>
        </w:rPr>
        <w:annotationRef/>
      </w:r>
      <w:r>
        <w:t xml:space="preserve">Garder ce passage ? </w:t>
      </w:r>
    </w:p>
  </w:comment>
  <w:comment w:id="6" w:author="ELISA LEMOINE" w:date="2026-08-22T11:53:00Z" w:initials="EL">
    <w:p w14:paraId="36B798EC" w14:textId="6A109A1E" w:rsidR="008745E0" w:rsidRDefault="008745E0">
      <w:pPr>
        <w:pStyle w:val="Commentaire"/>
      </w:pPr>
      <w:r>
        <w:rPr>
          <w:rStyle w:val="Marquedecommentaire"/>
        </w:rPr>
        <w:annotationRef/>
      </w:r>
      <w:r>
        <w:t xml:space="preserve">Intéressant mais reprendre + précisément ce que disent ces études </w:t>
      </w:r>
    </w:p>
  </w:comment>
  <w:comment w:id="7" w:author="ELISA LEMOINE" w:date="2026-08-22T11:56:00Z" w:initials="EL">
    <w:p w14:paraId="6E46668F" w14:textId="5C6FF7FA" w:rsidR="00870641" w:rsidRDefault="00870641">
      <w:pPr>
        <w:pStyle w:val="Commentaire"/>
      </w:pPr>
      <w:r>
        <w:rPr>
          <w:rStyle w:val="Marquedecommentaire"/>
        </w:rPr>
        <w:annotationRef/>
      </w:r>
      <w:r>
        <w:t xml:space="preserve">Reprendre l’idée de la structure d’âge : les bies déjà plus jeunes dans l’échantillon. Pas forcément encore plus jeunes à déclarer des violences mais les types de violence les plus graves chez les plus jeunes </w:t>
      </w:r>
    </w:p>
  </w:comment>
  <w:comment w:id="8" w:author="ELISA LEMOINE" w:date="2026-08-22T12:00:00Z" w:initials="EL">
    <w:p w14:paraId="476EB9BE" w14:textId="2F9CCD40" w:rsidR="00870641" w:rsidRDefault="00870641">
      <w:pPr>
        <w:pStyle w:val="Commentaire"/>
      </w:pPr>
      <w:r>
        <w:rPr>
          <w:rStyle w:val="Marquedecommentaire"/>
        </w:rPr>
        <w:annotationRef/>
      </w:r>
      <w:proofErr w:type="spellStart"/>
      <w:r>
        <w:t>Wtf</w:t>
      </w:r>
      <w:proofErr w:type="spellEnd"/>
      <w:r>
        <w:t xml:space="preserve"> vérifier les </w:t>
      </w:r>
      <w:proofErr w:type="spellStart"/>
      <w:r>
        <w:t>refs</w:t>
      </w:r>
      <w:proofErr w:type="spellEnd"/>
      <w:r>
        <w:t xml:space="preserve"> </w:t>
      </w:r>
    </w:p>
  </w:comment>
  <w:comment w:id="9" w:author="ELISA LEMOINE" w:date="2026-08-22T12:05:00Z" w:initials="EL">
    <w:p w14:paraId="1FB4E7A2" w14:textId="02CF6124" w:rsidR="00980034" w:rsidRDefault="00980034">
      <w:pPr>
        <w:pStyle w:val="Commentaire"/>
      </w:pPr>
      <w:r>
        <w:rPr>
          <w:rStyle w:val="Marquedecommentaire"/>
        </w:rPr>
        <w:annotationRef/>
      </w:r>
      <w:r>
        <w:t xml:space="preserve">Logique ici on regarde les psychologiques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61A8A3" w15:done="0"/>
  <w15:commentEx w15:paraId="44B9F43A" w15:done="0"/>
  <w15:commentEx w15:paraId="26BCC913" w15:done="0"/>
  <w15:commentEx w15:paraId="3EE4E856" w15:done="0"/>
  <w15:commentEx w15:paraId="36B798EC" w15:done="0"/>
  <w15:commentEx w15:paraId="6E46668F" w15:done="0"/>
  <w15:commentEx w15:paraId="476EB9BE" w15:done="0"/>
  <w15:commentEx w15:paraId="1FB4E7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407D0" w16cex:dateUtc="2026-08-22T09:34:00Z"/>
  <w16cex:commentExtensible w16cex:durableId="2E340606" w16cex:dateUtc="2026-08-22T09:27:00Z"/>
  <w16cex:commentExtensible w16cex:durableId="2E340B69" w16cex:dateUtc="2026-08-22T09:50:00Z"/>
  <w16cex:commentExtensible w16cex:durableId="2E340B59" w16cex:dateUtc="2026-08-22T09:49:00Z"/>
  <w16cex:commentExtensible w16cex:durableId="2E340C34" w16cex:dateUtc="2026-08-22T09:53:00Z"/>
  <w16cex:commentExtensible w16cex:durableId="2E340CF6" w16cex:dateUtc="2026-08-22T09:56:00Z"/>
  <w16cex:commentExtensible w16cex:durableId="2E340DE7" w16cex:dateUtc="2026-08-22T10:00:00Z"/>
  <w16cex:commentExtensible w16cex:durableId="2E340F17" w16cex:dateUtc="2026-08-22T1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61A8A3" w16cid:durableId="2E3407D0"/>
  <w16cid:commentId w16cid:paraId="44B9F43A" w16cid:durableId="2E340606"/>
  <w16cid:commentId w16cid:paraId="26BCC913" w16cid:durableId="2E340B69"/>
  <w16cid:commentId w16cid:paraId="3EE4E856" w16cid:durableId="2E340B59"/>
  <w16cid:commentId w16cid:paraId="36B798EC" w16cid:durableId="2E340C34"/>
  <w16cid:commentId w16cid:paraId="6E46668F" w16cid:durableId="2E340CF6"/>
  <w16cid:commentId w16cid:paraId="476EB9BE" w16cid:durableId="2E340DE7"/>
  <w16cid:commentId w16cid:paraId="1FB4E7A2" w16cid:durableId="2E340F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78791" w14:textId="77777777" w:rsidR="00951444" w:rsidRDefault="00951444">
      <w:r>
        <w:separator/>
      </w:r>
    </w:p>
    <w:p w14:paraId="494884FD" w14:textId="77777777" w:rsidR="00951444" w:rsidRDefault="00951444"/>
  </w:endnote>
  <w:endnote w:type="continuationSeparator" w:id="0">
    <w:p w14:paraId="17BBD239" w14:textId="77777777" w:rsidR="00951444" w:rsidRDefault="00951444">
      <w:r>
        <w:continuationSeparator/>
      </w:r>
    </w:p>
    <w:p w14:paraId="1B7C917A" w14:textId="77777777" w:rsidR="00951444" w:rsidRDefault="009514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variable"/>
  </w:font>
  <w:font w:name="F">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Aptos Display">
    <w:altName w:val="Cambria"/>
    <w:charset w:val="00"/>
    <w:family w:val="roman"/>
    <w:pitch w:val="variable"/>
  </w:font>
  <w:font w:name="Lucida Grande">
    <w:altName w:val="Segoe UI"/>
    <w:charset w:val="00"/>
    <w:family w:val="auto"/>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BBCA" w14:textId="77777777" w:rsidR="00907491" w:rsidRDefault="00B20AF8">
    <w:pPr>
      <w:pStyle w:val="Pieddepage"/>
      <w:jc w:val="right"/>
    </w:pPr>
    <w:r>
      <w:fldChar w:fldCharType="begin"/>
    </w:r>
    <w:r>
      <w:instrText xml:space="preserve"> PAGE </w:instrText>
    </w:r>
    <w:r>
      <w:fldChar w:fldCharType="separate"/>
    </w:r>
    <w:r>
      <w:t>1</w:t>
    </w:r>
    <w:r>
      <w:fldChar w:fldCharType="end"/>
    </w:r>
  </w:p>
  <w:p w14:paraId="67172DD7" w14:textId="77777777" w:rsidR="00907491" w:rsidRDefault="00951444">
    <w:pPr>
      <w:pStyle w:val="Pieddepage"/>
    </w:pPr>
  </w:p>
  <w:p w14:paraId="23DDCC0F" w14:textId="77777777" w:rsidR="00000000" w:rsidRDefault="009514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39B33" w14:textId="77777777" w:rsidR="00951444" w:rsidRDefault="00951444">
      <w:r>
        <w:rPr>
          <w:color w:val="000000"/>
        </w:rPr>
        <w:separator/>
      </w:r>
    </w:p>
    <w:p w14:paraId="7CB5C918" w14:textId="77777777" w:rsidR="00951444" w:rsidRDefault="00951444"/>
  </w:footnote>
  <w:footnote w:type="continuationSeparator" w:id="0">
    <w:p w14:paraId="7AA59DFB" w14:textId="77777777" w:rsidR="00951444" w:rsidRDefault="00951444">
      <w:r>
        <w:continuationSeparator/>
      </w:r>
    </w:p>
    <w:p w14:paraId="3EAAB2C0" w14:textId="77777777" w:rsidR="00951444" w:rsidRDefault="009514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22FB"/>
    <w:multiLevelType w:val="multilevel"/>
    <w:tmpl w:val="7A5C91EE"/>
    <w:styleLink w:val="WWNum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448C8"/>
    <w:multiLevelType w:val="multilevel"/>
    <w:tmpl w:val="BD064518"/>
    <w:styleLink w:val="Pasdelist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80B0628"/>
    <w:multiLevelType w:val="multilevel"/>
    <w:tmpl w:val="D8D0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8703F"/>
    <w:multiLevelType w:val="multilevel"/>
    <w:tmpl w:val="D9F89E7C"/>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4BF7B91"/>
    <w:multiLevelType w:val="multilevel"/>
    <w:tmpl w:val="66A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20430"/>
    <w:multiLevelType w:val="multilevel"/>
    <w:tmpl w:val="ACB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85452"/>
    <w:multiLevelType w:val="multilevel"/>
    <w:tmpl w:val="4C641082"/>
    <w:styleLink w:val="WWNum12"/>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7" w15:restartNumberingAfterBreak="0">
    <w:nsid w:val="2D025715"/>
    <w:multiLevelType w:val="multilevel"/>
    <w:tmpl w:val="EE7A3C82"/>
    <w:styleLink w:val="WWNum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1681ADE"/>
    <w:multiLevelType w:val="multilevel"/>
    <w:tmpl w:val="FBF0EFCC"/>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CB7A0F"/>
    <w:multiLevelType w:val="multilevel"/>
    <w:tmpl w:val="D3C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23696"/>
    <w:multiLevelType w:val="multilevel"/>
    <w:tmpl w:val="B7421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16717"/>
    <w:multiLevelType w:val="multilevel"/>
    <w:tmpl w:val="603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05A88"/>
    <w:multiLevelType w:val="multilevel"/>
    <w:tmpl w:val="C3A2CF0A"/>
    <w:styleLink w:val="WWNum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CD0DFB"/>
    <w:multiLevelType w:val="multilevel"/>
    <w:tmpl w:val="1AA0D928"/>
    <w:styleLink w:val="WWNum8"/>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4" w15:restartNumberingAfterBreak="0">
    <w:nsid w:val="409716EA"/>
    <w:multiLevelType w:val="multilevel"/>
    <w:tmpl w:val="9F40C186"/>
    <w:styleLink w:val="WWNum3"/>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5" w15:restartNumberingAfterBreak="0">
    <w:nsid w:val="49823CB5"/>
    <w:multiLevelType w:val="multilevel"/>
    <w:tmpl w:val="43B87C34"/>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E8E6E8E"/>
    <w:multiLevelType w:val="hybridMultilevel"/>
    <w:tmpl w:val="0422EF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0DD76A0"/>
    <w:multiLevelType w:val="multilevel"/>
    <w:tmpl w:val="544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C4D01"/>
    <w:multiLevelType w:val="multilevel"/>
    <w:tmpl w:val="E6E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72134"/>
    <w:multiLevelType w:val="multilevel"/>
    <w:tmpl w:val="ED20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01897"/>
    <w:multiLevelType w:val="multilevel"/>
    <w:tmpl w:val="1094525C"/>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E25548"/>
    <w:multiLevelType w:val="hybridMultilevel"/>
    <w:tmpl w:val="73B08D62"/>
    <w:lvl w:ilvl="0" w:tplc="A25AF758">
      <w:start w:val="16"/>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0D5371"/>
    <w:multiLevelType w:val="multilevel"/>
    <w:tmpl w:val="CE5E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8A719B"/>
    <w:multiLevelType w:val="multilevel"/>
    <w:tmpl w:val="2B8E75A4"/>
    <w:styleLink w:val="WWNum2"/>
    <w:lvl w:ilvl="0">
      <w:start w:val="1"/>
      <w:numFmt w:val="decimal"/>
      <w:lvlText w:val="%1."/>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4" w15:restartNumberingAfterBreak="0">
    <w:nsid w:val="6CD6278E"/>
    <w:multiLevelType w:val="multilevel"/>
    <w:tmpl w:val="5CD03316"/>
    <w:styleLink w:val="WWNum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2D93ECD"/>
    <w:multiLevelType w:val="multilevel"/>
    <w:tmpl w:val="DF1EFFF2"/>
    <w:styleLink w:val="WWNum7"/>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53720C6"/>
    <w:multiLevelType w:val="multilevel"/>
    <w:tmpl w:val="FC445640"/>
    <w:styleLink w:val="Aucunelist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7" w15:restartNumberingAfterBreak="0">
    <w:nsid w:val="76C815DE"/>
    <w:multiLevelType w:val="hybridMultilevel"/>
    <w:tmpl w:val="222C4DD4"/>
    <w:lvl w:ilvl="0" w:tplc="16E22B9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97722BC"/>
    <w:multiLevelType w:val="multilevel"/>
    <w:tmpl w:val="6D8E834E"/>
    <w:styleLink w:val="WWNum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E137610"/>
    <w:multiLevelType w:val="multilevel"/>
    <w:tmpl w:val="2CEA9920"/>
    <w:styleLink w:val="WWNum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EF844A4"/>
    <w:multiLevelType w:val="multilevel"/>
    <w:tmpl w:val="179C01E8"/>
    <w:styleLink w:val="WWNum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6"/>
  </w:num>
  <w:num w:numId="2">
    <w:abstractNumId w:val="1"/>
  </w:num>
  <w:num w:numId="3">
    <w:abstractNumId w:val="29"/>
  </w:num>
  <w:num w:numId="4">
    <w:abstractNumId w:val="23"/>
  </w:num>
  <w:num w:numId="5">
    <w:abstractNumId w:val="14"/>
  </w:num>
  <w:num w:numId="6">
    <w:abstractNumId w:val="24"/>
  </w:num>
  <w:num w:numId="7">
    <w:abstractNumId w:val="0"/>
  </w:num>
  <w:num w:numId="8">
    <w:abstractNumId w:val="28"/>
  </w:num>
  <w:num w:numId="9">
    <w:abstractNumId w:val="25"/>
  </w:num>
  <w:num w:numId="10">
    <w:abstractNumId w:val="13"/>
  </w:num>
  <w:num w:numId="11">
    <w:abstractNumId w:val="7"/>
  </w:num>
  <w:num w:numId="12">
    <w:abstractNumId w:val="20"/>
  </w:num>
  <w:num w:numId="13">
    <w:abstractNumId w:val="30"/>
  </w:num>
  <w:num w:numId="14">
    <w:abstractNumId w:val="6"/>
  </w:num>
  <w:num w:numId="15">
    <w:abstractNumId w:val="15"/>
  </w:num>
  <w:num w:numId="16">
    <w:abstractNumId w:val="12"/>
  </w:num>
  <w:num w:numId="17">
    <w:abstractNumId w:val="3"/>
  </w:num>
  <w:num w:numId="18">
    <w:abstractNumId w:val="8"/>
  </w:num>
  <w:num w:numId="19">
    <w:abstractNumId w:val="13"/>
  </w:num>
  <w:num w:numId="20">
    <w:abstractNumId w:val="29"/>
    <w:lvlOverride w:ilvl="0">
      <w:startOverride w:val="1"/>
    </w:lvlOverride>
  </w:num>
  <w:num w:numId="21">
    <w:abstractNumId w:val="25"/>
    <w:lvlOverride w:ilvl="0">
      <w:startOverride w:val="2"/>
    </w:lvlOverride>
  </w:num>
  <w:num w:numId="22">
    <w:abstractNumId w:val="15"/>
    <w:lvlOverride w:ilvl="0">
      <w:startOverride w:val="1"/>
    </w:lvlOverride>
  </w:num>
  <w:num w:numId="23">
    <w:abstractNumId w:val="8"/>
    <w:lvlOverride w:ilvl="0">
      <w:startOverride w:val="1"/>
    </w:lvlOverride>
  </w:num>
  <w:num w:numId="24">
    <w:abstractNumId w:val="3"/>
    <w:lvlOverride w:ilvl="0">
      <w:startOverride w:val="1"/>
    </w:lvlOverride>
  </w:num>
  <w:num w:numId="25">
    <w:abstractNumId w:val="12"/>
    <w:lvlOverride w:ilvl="0">
      <w:startOverride w:val="1"/>
    </w:lvlOverride>
  </w:num>
  <w:num w:numId="26">
    <w:abstractNumId w:val="21"/>
  </w:num>
  <w:num w:numId="27">
    <w:abstractNumId w:val="16"/>
  </w:num>
  <w:num w:numId="28">
    <w:abstractNumId w:val="4"/>
  </w:num>
  <w:num w:numId="29">
    <w:abstractNumId w:val="17"/>
  </w:num>
  <w:num w:numId="30">
    <w:abstractNumId w:val="5"/>
  </w:num>
  <w:num w:numId="31">
    <w:abstractNumId w:val="22"/>
  </w:num>
  <w:num w:numId="32">
    <w:abstractNumId w:val="9"/>
  </w:num>
  <w:num w:numId="33">
    <w:abstractNumId w:val="27"/>
  </w:num>
  <w:num w:numId="34">
    <w:abstractNumId w:val="2"/>
  </w:num>
  <w:num w:numId="35">
    <w:abstractNumId w:val="19"/>
  </w:num>
  <w:num w:numId="36">
    <w:abstractNumId w:val="18"/>
  </w:num>
  <w:num w:numId="37">
    <w:abstractNumId w:val="11"/>
  </w:num>
  <w:num w:numId="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SA LEMOINE">
    <w15:presenceInfo w15:providerId="AD" w15:userId="S-1-5-21-318910081-1125722703-1235820382-32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8E3"/>
    <w:rsid w:val="00081294"/>
    <w:rsid w:val="00091B7F"/>
    <w:rsid w:val="000C0407"/>
    <w:rsid w:val="00104269"/>
    <w:rsid w:val="001306BB"/>
    <w:rsid w:val="00164A42"/>
    <w:rsid w:val="00173BEB"/>
    <w:rsid w:val="00176A42"/>
    <w:rsid w:val="002333BC"/>
    <w:rsid w:val="00241B01"/>
    <w:rsid w:val="002E4235"/>
    <w:rsid w:val="00315AAD"/>
    <w:rsid w:val="003C06C6"/>
    <w:rsid w:val="003C0843"/>
    <w:rsid w:val="0041497F"/>
    <w:rsid w:val="00452D9C"/>
    <w:rsid w:val="004628CC"/>
    <w:rsid w:val="004C7E05"/>
    <w:rsid w:val="004D095E"/>
    <w:rsid w:val="004F39E9"/>
    <w:rsid w:val="00552BED"/>
    <w:rsid w:val="00561D0C"/>
    <w:rsid w:val="00567EA8"/>
    <w:rsid w:val="005D5189"/>
    <w:rsid w:val="00676E9F"/>
    <w:rsid w:val="006E089E"/>
    <w:rsid w:val="007118E3"/>
    <w:rsid w:val="00823CC5"/>
    <w:rsid w:val="008425B9"/>
    <w:rsid w:val="00852B24"/>
    <w:rsid w:val="00870641"/>
    <w:rsid w:val="008745E0"/>
    <w:rsid w:val="00930DDB"/>
    <w:rsid w:val="00951444"/>
    <w:rsid w:val="00980034"/>
    <w:rsid w:val="009A52E4"/>
    <w:rsid w:val="009B6ACB"/>
    <w:rsid w:val="009C5835"/>
    <w:rsid w:val="009E54A4"/>
    <w:rsid w:val="00A10569"/>
    <w:rsid w:val="00A16CE8"/>
    <w:rsid w:val="00A34B28"/>
    <w:rsid w:val="00AB1012"/>
    <w:rsid w:val="00AD6E58"/>
    <w:rsid w:val="00B20AF8"/>
    <w:rsid w:val="00B5366E"/>
    <w:rsid w:val="00C45BE6"/>
    <w:rsid w:val="00CA0E8B"/>
    <w:rsid w:val="00DB55EB"/>
    <w:rsid w:val="00DC2108"/>
    <w:rsid w:val="00DE1CBA"/>
    <w:rsid w:val="00E441B7"/>
    <w:rsid w:val="00E45841"/>
    <w:rsid w:val="00EE52C3"/>
    <w:rsid w:val="00EE6749"/>
    <w:rsid w:val="00EF3394"/>
    <w:rsid w:val="00F07F1A"/>
    <w:rsid w:val="00F17702"/>
    <w:rsid w:val="00F23351"/>
    <w:rsid w:val="00F3048A"/>
    <w:rsid w:val="00FB64D9"/>
    <w:rsid w:val="00FC0D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8103"/>
  <w15:docId w15:val="{FB9EA7C7-3D1B-4DC6-A427-2BC07BA3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F"/>
        <w:sz w:val="24"/>
        <w:szCs w:val="24"/>
        <w:lang w:val="fr-F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Textbody"/>
    <w:uiPriority w:val="9"/>
    <w:qFormat/>
    <w:pPr>
      <w:keepNext/>
      <w:keepLines/>
      <w:spacing w:before="360" w:after="80"/>
      <w:outlineLvl w:val="0"/>
    </w:pPr>
    <w:rPr>
      <w:rFonts w:ascii="Times New Roman" w:eastAsia="F" w:hAnsi="Times New Roman" w:cs="Times New Roman"/>
      <w:color w:val="0F4761"/>
      <w:sz w:val="40"/>
      <w:szCs w:val="40"/>
    </w:rPr>
  </w:style>
  <w:style w:type="paragraph" w:styleId="Titre2">
    <w:name w:val="heading 2"/>
    <w:basedOn w:val="Standard"/>
    <w:next w:val="Textbody"/>
    <w:uiPriority w:val="9"/>
    <w:unhideWhenUsed/>
    <w:qFormat/>
    <w:pPr>
      <w:keepNext/>
      <w:keepLines/>
      <w:spacing w:before="160" w:after="80"/>
      <w:outlineLvl w:val="1"/>
    </w:pPr>
    <w:rPr>
      <w:rFonts w:ascii="Times New Roman" w:eastAsia="F" w:hAnsi="Times New Roman" w:cs="Times New Roman"/>
      <w:color w:val="0F4761"/>
      <w:sz w:val="32"/>
      <w:szCs w:val="32"/>
    </w:rPr>
  </w:style>
  <w:style w:type="paragraph" w:styleId="Titre3">
    <w:name w:val="heading 3"/>
    <w:basedOn w:val="Standard"/>
    <w:next w:val="Textbody"/>
    <w:uiPriority w:val="9"/>
    <w:unhideWhenUsed/>
    <w:qFormat/>
    <w:pPr>
      <w:keepNext/>
      <w:keepLines/>
      <w:spacing w:before="160" w:after="80"/>
      <w:outlineLvl w:val="2"/>
    </w:pPr>
    <w:rPr>
      <w:rFonts w:ascii="Times New Roman" w:eastAsia="F" w:hAnsi="Times New Roman" w:cs="Times New Roman"/>
      <w:color w:val="0F4761"/>
      <w:sz w:val="28"/>
      <w:szCs w:val="28"/>
    </w:rPr>
  </w:style>
  <w:style w:type="paragraph" w:styleId="Titre4">
    <w:name w:val="heading 4"/>
    <w:basedOn w:val="Standard"/>
    <w:next w:val="Textbody"/>
    <w:uiPriority w:val="9"/>
    <w:unhideWhenUsed/>
    <w:qFormat/>
    <w:pPr>
      <w:keepNext/>
      <w:keepLines/>
      <w:spacing w:before="80" w:after="40"/>
      <w:outlineLvl w:val="3"/>
    </w:pPr>
    <w:rPr>
      <w:rFonts w:ascii="Times New Roman" w:eastAsia="F" w:hAnsi="Times New Roman" w:cs="Times New Roman"/>
      <w:i/>
      <w:iCs/>
      <w:color w:val="0F4761"/>
    </w:rPr>
  </w:style>
  <w:style w:type="paragraph" w:styleId="Titre5">
    <w:name w:val="heading 5"/>
    <w:basedOn w:val="Standard"/>
    <w:next w:val="Textbody"/>
    <w:uiPriority w:val="9"/>
    <w:semiHidden/>
    <w:unhideWhenUsed/>
    <w:qFormat/>
    <w:pPr>
      <w:keepNext/>
      <w:keepLines/>
      <w:spacing w:before="80" w:after="40"/>
      <w:outlineLvl w:val="4"/>
    </w:pPr>
    <w:rPr>
      <w:rFonts w:eastAsia="F"/>
      <w:color w:val="0F4761"/>
    </w:rPr>
  </w:style>
  <w:style w:type="paragraph" w:styleId="Titre6">
    <w:name w:val="heading 6"/>
    <w:basedOn w:val="Standard"/>
    <w:next w:val="Textbody"/>
    <w:uiPriority w:val="9"/>
    <w:semiHidden/>
    <w:unhideWhenUsed/>
    <w:qFormat/>
    <w:pPr>
      <w:keepNext/>
      <w:keepLines/>
      <w:spacing w:before="40" w:after="0"/>
      <w:outlineLvl w:val="5"/>
    </w:pPr>
    <w:rPr>
      <w:rFonts w:eastAsia="F"/>
      <w:i/>
      <w:iCs/>
      <w:color w:val="595959"/>
    </w:rPr>
  </w:style>
  <w:style w:type="paragraph" w:styleId="Titre7">
    <w:name w:val="heading 7"/>
    <w:basedOn w:val="Standard"/>
    <w:next w:val="Textbody"/>
    <w:pPr>
      <w:keepNext/>
      <w:keepLines/>
      <w:spacing w:before="40" w:after="0"/>
      <w:outlineLvl w:val="6"/>
    </w:pPr>
    <w:rPr>
      <w:rFonts w:eastAsia="F"/>
      <w:color w:val="595959"/>
    </w:rPr>
  </w:style>
  <w:style w:type="paragraph" w:styleId="Titre8">
    <w:name w:val="heading 8"/>
    <w:basedOn w:val="Standard"/>
    <w:next w:val="Textbody"/>
    <w:pPr>
      <w:keepNext/>
      <w:keepLines/>
      <w:spacing w:after="0"/>
      <w:outlineLvl w:val="7"/>
    </w:pPr>
    <w:rPr>
      <w:rFonts w:eastAsia="F"/>
      <w:i/>
      <w:iCs/>
      <w:color w:val="272727"/>
    </w:rPr>
  </w:style>
  <w:style w:type="paragraph" w:styleId="Titre9">
    <w:name w:val="heading 9"/>
    <w:basedOn w:val="Standard"/>
    <w:next w:val="Textbody"/>
    <w:pPr>
      <w:keepNext/>
      <w:keepLines/>
      <w:spacing w:after="0"/>
      <w:outlineLvl w:val="8"/>
    </w:pPr>
    <w:rPr>
      <w:rFonts w:eastAsia="F"/>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pacing w:after="200"/>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before="180" w:after="180" w:line="360" w:lineRule="auto"/>
      <w:jc w:val="both"/>
    </w:pPr>
    <w:rPr>
      <w:rFonts w:ascii="Times New Roman" w:eastAsia="Times New Roman" w:hAnsi="Times New Roman" w:cs="Times New Roman"/>
    </w:rPr>
  </w:style>
  <w:style w:type="paragraph" w:styleId="Liste">
    <w:name w:val="List"/>
    <w:basedOn w:val="Textbody"/>
    <w:rPr>
      <w:rFonts w:cs="Arial Unicode MS"/>
    </w:rPr>
  </w:style>
  <w:style w:type="paragraph" w:styleId="Lgende">
    <w:name w:val="caption"/>
    <w:basedOn w:val="Standard"/>
    <w:pPr>
      <w:spacing w:after="120"/>
    </w:pPr>
    <w:rPr>
      <w:i/>
    </w:rPr>
  </w:style>
  <w:style w:type="paragraph" w:customStyle="1" w:styleId="Index">
    <w:name w:val="Index"/>
    <w:basedOn w:val="Standard"/>
    <w:pPr>
      <w:suppressLineNumbers/>
    </w:pPr>
    <w:rPr>
      <w:rFonts w:cs="Arial Unicode MS"/>
    </w:rPr>
  </w:style>
  <w:style w:type="paragraph" w:styleId="Titre">
    <w:name w:val="Title"/>
    <w:basedOn w:val="Standard"/>
    <w:next w:val="Textbody"/>
    <w:uiPriority w:val="10"/>
    <w:qFormat/>
    <w:pPr>
      <w:spacing w:after="80"/>
      <w:contextualSpacing/>
      <w:jc w:val="center"/>
    </w:pPr>
    <w:rPr>
      <w:rFonts w:ascii="Aptos Display" w:eastAsia="F" w:hAnsi="Aptos Display"/>
      <w:sz w:val="56"/>
      <w:szCs w:val="56"/>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Sous-titre">
    <w:name w:val="Subtitle"/>
    <w:basedOn w:val="Titre"/>
    <w:next w:val="Textbody"/>
    <w:uiPriority w:val="11"/>
    <w:qFormat/>
    <w:rPr>
      <w:spacing w:val="15"/>
      <w:sz w:val="28"/>
      <w:szCs w:val="28"/>
    </w:rPr>
  </w:style>
  <w:style w:type="paragraph" w:customStyle="1" w:styleId="Author">
    <w:name w:val="Author"/>
    <w:basedOn w:val="Titre"/>
    <w:next w:val="Textbody"/>
    <w:pPr>
      <w:keepNext/>
      <w:keepLines/>
    </w:pPr>
    <w:rPr>
      <w:sz w:val="24"/>
      <w:szCs w:val="24"/>
    </w:rPr>
  </w:style>
  <w:style w:type="paragraph" w:styleId="Date">
    <w:name w:val="Date"/>
    <w:basedOn w:val="Titre"/>
    <w:next w:val="Textbody"/>
    <w:pPr>
      <w:keepNext/>
      <w:keepLines/>
    </w:pPr>
    <w:rPr>
      <w:sz w:val="24"/>
      <w:szCs w:val="24"/>
    </w:rPr>
  </w:style>
  <w:style w:type="paragraph" w:customStyle="1" w:styleId="AbstractTitle">
    <w:name w:val="Abstract Title"/>
    <w:basedOn w:val="Standard"/>
    <w:next w:val="Abstract"/>
    <w:pPr>
      <w:keepNext/>
      <w:keepLines/>
      <w:spacing w:before="300" w:after="0"/>
      <w:jc w:val="center"/>
    </w:pPr>
    <w:rPr>
      <w:b/>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ie">
    <w:name w:val="Bibliography"/>
    <w:basedOn w:val="Standard"/>
  </w:style>
  <w:style w:type="paragraph" w:styleId="Normalcentr">
    <w:name w:val="Block Text"/>
    <w:basedOn w:val="Textbody"/>
    <w:next w:val="Textbody"/>
    <w:pPr>
      <w:spacing w:before="100" w:after="100"/>
      <w:ind w:left="480" w:right="480"/>
    </w:pPr>
  </w:style>
  <w:style w:type="paragraph" w:customStyle="1" w:styleId="Footnote">
    <w:name w:val="Footnote"/>
    <w:basedOn w:val="Standard"/>
    <w:pPr>
      <w:spacing w:after="0"/>
    </w:pPr>
    <w:rPr>
      <w:rFonts w:ascii="Times New Roman" w:eastAsia="Times New Roman" w:hAnsi="Times New Roman" w:cs="Times New Roman"/>
      <w:sz w:val="16"/>
      <w:szCs w:val="16"/>
    </w:rPr>
  </w:style>
  <w:style w:type="paragraph" w:customStyle="1" w:styleId="FootnoteBlockText">
    <w:name w:val="Footnote Block Text"/>
    <w:basedOn w:val="Footnote"/>
    <w:next w:val="Footnote"/>
    <w:pPr>
      <w:spacing w:before="100" w:after="100"/>
      <w:ind w:left="480" w:right="480"/>
    </w:p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Standard"/>
  </w:style>
  <w:style w:type="paragraph" w:customStyle="1" w:styleId="CaptionedFigure">
    <w:name w:val="Captioned Figure"/>
    <w:basedOn w:val="Figure"/>
    <w:pPr>
      <w:keepNext/>
    </w:pPr>
  </w:style>
  <w:style w:type="paragraph" w:styleId="Titreindex">
    <w:name w:val="index heading"/>
    <w:basedOn w:val="Titre"/>
  </w:style>
  <w:style w:type="paragraph" w:customStyle="1" w:styleId="ContentsHeading">
    <w:name w:val="Contents Heading"/>
    <w:basedOn w:val="Titre1"/>
    <w:next w:val="Textbody"/>
    <w:pPr>
      <w:spacing w:before="240" w:line="259" w:lineRule="auto"/>
    </w:pPr>
  </w:style>
  <w:style w:type="paragraph" w:customStyle="1" w:styleId="SourceCode">
    <w:name w:val="Source Code"/>
    <w:basedOn w:val="Standard"/>
    <w:pPr>
      <w:shd w:val="clear" w:color="auto" w:fill="F1F3F5"/>
    </w:pPr>
  </w:style>
  <w:style w:type="paragraph" w:customStyle="1" w:styleId="Contents1">
    <w:name w:val="Contents 1"/>
    <w:basedOn w:val="Standard"/>
    <w:next w:val="Standard"/>
    <w:autoRedefine/>
    <w:pPr>
      <w:tabs>
        <w:tab w:val="right" w:leader="dot" w:pos="9394"/>
      </w:tabs>
      <w:spacing w:before="240" w:after="100" w:line="360" w:lineRule="auto"/>
    </w:pPr>
  </w:style>
  <w:style w:type="paragraph" w:customStyle="1" w:styleId="Contents2">
    <w:name w:val="Contents 2"/>
    <w:basedOn w:val="Standard"/>
    <w:next w:val="Standard"/>
    <w:autoRedefine/>
    <w:pPr>
      <w:tabs>
        <w:tab w:val="right" w:leader="dot" w:pos="9634"/>
      </w:tabs>
      <w:spacing w:before="240" w:after="100" w:line="360" w:lineRule="auto"/>
      <w:ind w:left="240"/>
    </w:pPr>
    <w:rPr>
      <w:rFonts w:ascii="Times New Roman" w:eastAsia="Times New Roman" w:hAnsi="Times New Roman" w:cs="Times New Roman"/>
    </w:rPr>
  </w:style>
  <w:style w:type="paragraph" w:customStyle="1" w:styleId="Contents3">
    <w:name w:val="Contents 3"/>
    <w:basedOn w:val="Standard"/>
    <w:next w:val="Standard"/>
    <w:autoRedefine/>
    <w:pPr>
      <w:tabs>
        <w:tab w:val="right" w:leader="dot" w:pos="9874"/>
      </w:tabs>
      <w:spacing w:after="100"/>
      <w:ind w:left="480"/>
    </w:pPr>
    <w:rPr>
      <w:rFonts w:ascii="Times New Roman" w:eastAsia="Times New Roman" w:hAnsi="Times New Roman" w:cs="Times New Roman"/>
    </w:rPr>
  </w:style>
  <w:style w:type="paragraph" w:customStyle="1" w:styleId="Marginalia">
    <w:name w:val="Marginalia"/>
    <w:basedOn w:val="Standard"/>
    <w:pPr>
      <w:spacing w:before="56" w:after="0"/>
      <w:ind w:left="57" w:right="57"/>
    </w:pPr>
    <w:rPr>
      <w:sz w:val="20"/>
      <w:szCs w:val="20"/>
    </w:rPr>
  </w:style>
  <w:style w:type="paragraph" w:styleId="Objetducommentaire">
    <w:name w:val="annotation subject"/>
    <w:basedOn w:val="Marginalia"/>
    <w:next w:val="Marginalia"/>
    <w:rPr>
      <w:b/>
      <w:bCs/>
    </w:rPr>
  </w:style>
  <w:style w:type="paragraph" w:customStyle="1" w:styleId="En-tteetpieddepage">
    <w:name w:val="En-tête et pied de page"/>
    <w:basedOn w:val="Standard"/>
  </w:style>
  <w:style w:type="paragraph" w:customStyle="1" w:styleId="HeaderandFooter">
    <w:name w:val="Header and Footer"/>
    <w:basedOn w:val="Standard"/>
  </w:style>
  <w:style w:type="paragraph" w:styleId="En-tte">
    <w:name w:val="header"/>
    <w:basedOn w:val="Standard"/>
    <w:pPr>
      <w:tabs>
        <w:tab w:val="center" w:pos="4536"/>
        <w:tab w:val="right" w:pos="9072"/>
      </w:tabs>
      <w:spacing w:after="0"/>
    </w:pPr>
  </w:style>
  <w:style w:type="paragraph" w:styleId="Pieddepage">
    <w:name w:val="footer"/>
    <w:basedOn w:val="Standard"/>
    <w:pPr>
      <w:tabs>
        <w:tab w:val="center" w:pos="4536"/>
        <w:tab w:val="right" w:pos="9072"/>
      </w:tabs>
      <w:spacing w:after="0"/>
    </w:pPr>
  </w:style>
  <w:style w:type="paragraph" w:customStyle="1" w:styleId="Table">
    <w:name w:val="Table"/>
    <w:basedOn w:val="ImageCaption"/>
    <w:pPr>
      <w:spacing w:before="200"/>
    </w:pPr>
    <w:rPr>
      <w:rFonts w:ascii="Times New Roman" w:eastAsia="Times New Roman" w:hAnsi="Times New Roman" w:cs="Times New Roman"/>
    </w:rPr>
  </w:style>
  <w:style w:type="paragraph" w:customStyle="1" w:styleId="Tableau">
    <w:name w:val="Tableau"/>
    <w:basedOn w:val="Lgende"/>
  </w:style>
  <w:style w:type="paragraph" w:customStyle="1" w:styleId="Bibliographie1">
    <w:name w:val="Bibliographie 1"/>
    <w:basedOn w:val="Index"/>
    <w:pPr>
      <w:spacing w:after="240" w:line="240" w:lineRule="atLeast"/>
    </w:pPr>
  </w:style>
  <w:style w:type="paragraph" w:customStyle="1" w:styleId="Textbodyindent">
    <w:name w:val="Text body indent"/>
    <w:basedOn w:val="Textbody"/>
    <w:pPr>
      <w:ind w:left="283"/>
    </w:pPr>
  </w:style>
  <w:style w:type="paragraph" w:customStyle="1" w:styleId="centered">
    <w:name w:val="centered"/>
    <w:basedOn w:val="Standard"/>
    <w:pPr>
      <w:suppressAutoHyphens w:val="0"/>
      <w:spacing w:after="0"/>
      <w:jc w:val="center"/>
    </w:pPr>
    <w:rPr>
      <w:rFonts w:eastAsia="F"/>
      <w:lang w:val="en-US"/>
    </w:rPr>
  </w:style>
  <w:style w:type="paragraph" w:styleId="Textedebulles">
    <w:name w:val="Balloon Text"/>
    <w:basedOn w:val="Standard"/>
    <w:pPr>
      <w:suppressAutoHyphens w:val="0"/>
      <w:spacing w:after="0"/>
    </w:pPr>
    <w:rPr>
      <w:rFonts w:ascii="Lucida Grande" w:eastAsia="F" w:hAnsi="Lucida Grande" w:cs="Lucida Grande"/>
      <w:sz w:val="18"/>
      <w:szCs w:val="18"/>
      <w:lang w:val="en-US"/>
    </w:rPr>
  </w:style>
  <w:style w:type="paragraph" w:customStyle="1" w:styleId="graphictitle">
    <w:name w:val="graphic title"/>
    <w:basedOn w:val="ImageCaption"/>
    <w:next w:val="Standard"/>
    <w:pPr>
      <w:suppressAutoHyphens w:val="0"/>
      <w:spacing w:after="0"/>
      <w:jc w:val="center"/>
    </w:pPr>
    <w:rPr>
      <w:rFonts w:eastAsia="F"/>
      <w:b/>
      <w:lang w:val="en-US"/>
    </w:rPr>
  </w:style>
  <w:style w:type="paragraph" w:customStyle="1" w:styleId="tabletitle">
    <w:name w:val="table title"/>
    <w:basedOn w:val="TableCaption"/>
    <w:next w:val="Standard"/>
    <w:pPr>
      <w:keepNext w:val="0"/>
      <w:suppressAutoHyphens w:val="0"/>
      <w:spacing w:after="0"/>
      <w:jc w:val="center"/>
    </w:pPr>
    <w:rPr>
      <w:rFonts w:eastAsia="F"/>
      <w:b/>
      <w:lang w:val="en-US"/>
    </w:rPr>
  </w:style>
  <w:style w:type="paragraph" w:customStyle="1" w:styleId="alinea">
    <w:name w:val="alinea"/>
    <w:basedOn w:val="Standard"/>
    <w:pPr>
      <w:suppressAutoHyphens w:val="0"/>
      <w:spacing w:before="280" w:after="280"/>
    </w:pPr>
    <w:rPr>
      <w:rFonts w:ascii="Times New Roman" w:eastAsia="Times New Roman" w:hAnsi="Times New Roman" w:cs="Times New Roman"/>
      <w:lang w:eastAsia="fr-FR"/>
    </w:rPr>
  </w:style>
  <w:style w:type="paragraph" w:customStyle="1" w:styleId="Comment">
    <w:name w:val="Comment"/>
    <w:basedOn w:val="Standard"/>
    <w:pPr>
      <w:spacing w:before="56" w:after="0"/>
      <w:ind w:left="57" w:right="57"/>
    </w:pPr>
    <w:rPr>
      <w:sz w:val="20"/>
      <w:szCs w:val="20"/>
    </w:rPr>
  </w:style>
  <w:style w:type="paragraph" w:customStyle="1" w:styleId="Framecontents">
    <w:name w:val="Frame contents"/>
    <w:basedOn w:val="Standard"/>
  </w:style>
  <w:style w:type="paragraph" w:customStyle="1" w:styleId="Bibliography1">
    <w:name w:val="Bibliography 1"/>
    <w:basedOn w:val="Index"/>
    <w:pPr>
      <w:tabs>
        <w:tab w:val="right" w:leader="dot" w:pos="9404"/>
      </w:tabs>
    </w:pPr>
  </w:style>
  <w:style w:type="character" w:customStyle="1" w:styleId="TitreCar">
    <w:name w:val="Titre Car"/>
    <w:basedOn w:val="Policepardfaut"/>
    <w:rPr>
      <w:rFonts w:ascii="Aptos Display" w:eastAsia="F" w:hAnsi="Aptos Display" w:cs="F"/>
      <w:sz w:val="56"/>
      <w:szCs w:val="56"/>
    </w:rPr>
  </w:style>
  <w:style w:type="character" w:customStyle="1" w:styleId="Sous-titreCar">
    <w:name w:val="Sous-titre Car"/>
    <w:basedOn w:val="Policepardfaut"/>
    <w:rPr>
      <w:rFonts w:eastAsia="F" w:cs="F"/>
      <w:color w:val="595959"/>
      <w:spacing w:val="15"/>
      <w:sz w:val="28"/>
      <w:szCs w:val="28"/>
    </w:rPr>
  </w:style>
  <w:style w:type="character" w:customStyle="1" w:styleId="Titre1Car">
    <w:name w:val="Titre 1 Car"/>
    <w:basedOn w:val="Policepardfaut"/>
    <w:rPr>
      <w:rFonts w:ascii="Times New Roman" w:eastAsia="F" w:hAnsi="Times New Roman" w:cs="Times New Roman"/>
      <w:color w:val="0F4761"/>
      <w:sz w:val="40"/>
      <w:szCs w:val="40"/>
    </w:rPr>
  </w:style>
  <w:style w:type="character" w:customStyle="1" w:styleId="Titre2Car">
    <w:name w:val="Titre 2 Car"/>
    <w:basedOn w:val="Policepardfaut"/>
    <w:rPr>
      <w:rFonts w:ascii="Times New Roman" w:eastAsia="F" w:hAnsi="Times New Roman" w:cs="Times New Roman"/>
      <w:color w:val="0F4761"/>
      <w:sz w:val="32"/>
      <w:szCs w:val="32"/>
    </w:rPr>
  </w:style>
  <w:style w:type="character" w:customStyle="1" w:styleId="Titre3Car">
    <w:name w:val="Titre 3 Car"/>
    <w:basedOn w:val="Policepardfaut"/>
    <w:rPr>
      <w:rFonts w:ascii="Times New Roman" w:eastAsia="F" w:hAnsi="Times New Roman" w:cs="Times New Roman"/>
      <w:color w:val="0F4761"/>
      <w:sz w:val="28"/>
      <w:szCs w:val="28"/>
    </w:rPr>
  </w:style>
  <w:style w:type="character" w:customStyle="1" w:styleId="Titre4Car">
    <w:name w:val="Titre 4 Car"/>
    <w:basedOn w:val="Policepardfaut"/>
    <w:rPr>
      <w:rFonts w:ascii="Times New Roman" w:eastAsia="F" w:hAnsi="Times New Roman" w:cs="Times New Roman"/>
      <w:i/>
      <w:iCs/>
      <w:color w:val="0F4761"/>
    </w:rPr>
  </w:style>
  <w:style w:type="character" w:customStyle="1" w:styleId="Titre5Car">
    <w:name w:val="Titre 5 Car"/>
    <w:basedOn w:val="Policepardfaut"/>
    <w:rPr>
      <w:rFonts w:eastAsia="F" w:cs="F"/>
      <w:color w:val="0F4761"/>
    </w:rPr>
  </w:style>
  <w:style w:type="character" w:customStyle="1" w:styleId="Titre6Car">
    <w:name w:val="Titre 6 Car"/>
    <w:basedOn w:val="Policepardfaut"/>
    <w:rPr>
      <w:rFonts w:eastAsia="F" w:cs="F"/>
      <w:i/>
      <w:iCs/>
      <w:color w:val="595959"/>
    </w:rPr>
  </w:style>
  <w:style w:type="character" w:customStyle="1" w:styleId="Titre7Car">
    <w:name w:val="Titre 7 Car"/>
    <w:basedOn w:val="Policepardfaut"/>
    <w:rPr>
      <w:rFonts w:eastAsia="F" w:cs="F"/>
      <w:color w:val="595959"/>
    </w:rPr>
  </w:style>
  <w:style w:type="character" w:customStyle="1" w:styleId="Titre8Car">
    <w:name w:val="Titre 8 Car"/>
    <w:basedOn w:val="Policepardfaut"/>
    <w:rPr>
      <w:rFonts w:eastAsia="F" w:cs="F"/>
      <w:i/>
      <w:iCs/>
      <w:color w:val="272727"/>
    </w:rPr>
  </w:style>
  <w:style w:type="character" w:customStyle="1" w:styleId="Titre9Car">
    <w:name w:val="Titre 9 Car"/>
    <w:basedOn w:val="Policepardfaut"/>
    <w:rPr>
      <w:rFonts w:eastAsia="F" w:cs="F"/>
      <w:color w:val="272727"/>
    </w:rPr>
  </w:style>
  <w:style w:type="character" w:customStyle="1" w:styleId="LgendeCar">
    <w:name w:val="Légende Car"/>
    <w:basedOn w:val="Policepardfaut"/>
  </w:style>
  <w:style w:type="character" w:customStyle="1" w:styleId="VerbatimChar">
    <w:name w:val="Verbatim Char"/>
    <w:basedOn w:val="LgendeCar"/>
    <w:rPr>
      <w:rFonts w:ascii="Consolas" w:eastAsia="Consolas" w:hAnsi="Consolas" w:cs="Consolas"/>
      <w:sz w:val="22"/>
    </w:rPr>
  </w:style>
  <w:style w:type="character" w:customStyle="1" w:styleId="SectionNumber">
    <w:name w:val="Section Number"/>
    <w:basedOn w:val="LgendeCar"/>
  </w:style>
  <w:style w:type="character" w:customStyle="1" w:styleId="Caractresdenotedebasdepage">
    <w:name w:val="Caractères de note de bas de page"/>
    <w:rPr>
      <w:position w:val="0"/>
      <w:vertAlign w:val="superscript"/>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LgendeCar"/>
    <w:rPr>
      <w:color w:val="156082"/>
    </w:rPr>
  </w:style>
  <w:style w:type="character" w:customStyle="1" w:styleId="KeywordTok">
    <w:name w:val="KeywordTok"/>
    <w:basedOn w:val="VerbatimChar"/>
    <w:rPr>
      <w:rFonts w:ascii="Consolas" w:eastAsia="Consolas" w:hAnsi="Consolas" w:cs="Consolas"/>
      <w:b/>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b/>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character" w:styleId="Marquedecommentaire">
    <w:name w:val="annotation reference"/>
    <w:basedOn w:val="Policepardfaut"/>
    <w:rPr>
      <w:sz w:val="16"/>
      <w:szCs w:val="16"/>
    </w:rPr>
  </w:style>
  <w:style w:type="character" w:customStyle="1" w:styleId="CommentaireCar">
    <w:name w:val="Commentaire Car"/>
    <w:basedOn w:val="Policepardfaut"/>
    <w:rPr>
      <w:sz w:val="20"/>
      <w:szCs w:val="20"/>
    </w:rPr>
  </w:style>
  <w:style w:type="character" w:customStyle="1" w:styleId="ObjetducommentaireCar">
    <w:name w:val="Objet du commentaire Car"/>
    <w:basedOn w:val="CommentaireCar"/>
    <w:rPr>
      <w:b/>
      <w:bCs/>
      <w:sz w:val="20"/>
      <w:szCs w:val="20"/>
    </w:rPr>
  </w:style>
  <w:style w:type="character" w:customStyle="1" w:styleId="En-tteCar">
    <w:name w:val="En-tête Car"/>
    <w:basedOn w:val="Policepardfaut"/>
  </w:style>
  <w:style w:type="character" w:customStyle="1" w:styleId="PieddepageCar">
    <w:name w:val="Pied de page Car"/>
    <w:basedOn w:val="Policepardfaut"/>
  </w:style>
  <w:style w:type="character" w:styleId="Mentionnonrsolue">
    <w:name w:val="Unresolved Mention"/>
    <w:basedOn w:val="Policepardfaut"/>
    <w:rPr>
      <w:color w:val="605E5C"/>
      <w:shd w:val="clear" w:color="auto" w:fill="E1DFDD"/>
    </w:rPr>
  </w:style>
  <w:style w:type="character" w:customStyle="1" w:styleId="ImageCaptionCar">
    <w:name w:val="Image Caption Car"/>
    <w:basedOn w:val="LgendeCar"/>
    <w:rPr>
      <w:i/>
    </w:rPr>
  </w:style>
  <w:style w:type="character" w:customStyle="1" w:styleId="TableauCar">
    <w:name w:val="Tableau Car"/>
    <w:basedOn w:val="ImageCaptionCar"/>
    <w:rPr>
      <w:rFonts w:ascii="Times New Roman" w:eastAsia="Times New Roman" w:hAnsi="Times New Roman" w:cs="Times New Roman"/>
      <w:i/>
    </w:rPr>
  </w:style>
  <w:style w:type="character" w:customStyle="1" w:styleId="VisitedInternetLink">
    <w:name w:val="Visited Internet Link"/>
    <w:basedOn w:val="Policepardfaut"/>
    <w:rPr>
      <w:color w:val="96607D"/>
      <w:u w:val="single"/>
    </w:rPr>
  </w:style>
  <w:style w:type="character" w:customStyle="1" w:styleId="Sautdindex">
    <w:name w:val="Saut d'index"/>
  </w:style>
  <w:style w:type="character" w:customStyle="1" w:styleId="EndnoteSymbol">
    <w:name w:val="Endnote Symbol"/>
    <w:rPr>
      <w:position w:val="0"/>
      <w:vertAlign w:val="superscript"/>
    </w:rPr>
  </w:style>
  <w:style w:type="character" w:customStyle="1" w:styleId="Caractresdenotedefin">
    <w:name w:val="Caractères de note de fin"/>
  </w:style>
  <w:style w:type="character" w:customStyle="1" w:styleId="Endnoteanchor">
    <w:name w:val="Endnote anchor"/>
    <w:rPr>
      <w:position w:val="0"/>
      <w:vertAlign w:val="superscript"/>
    </w:rPr>
  </w:style>
  <w:style w:type="character" w:customStyle="1" w:styleId="IndexLink">
    <w:name w:val="Index Link"/>
  </w:style>
  <w:style w:type="character" w:customStyle="1" w:styleId="Linenumbering">
    <w:name w:val="Line numbering"/>
  </w:style>
  <w:style w:type="character" w:customStyle="1" w:styleId="StrongEmphasis">
    <w:name w:val="Strong Emphasis"/>
    <w:rPr>
      <w:b/>
      <w:bCs/>
    </w:rPr>
  </w:style>
  <w:style w:type="character" w:styleId="Accentuation">
    <w:name w:val="Emphasis"/>
    <w:uiPriority w:val="20"/>
    <w:qFormat/>
    <w:rPr>
      <w:i/>
      <w:iCs/>
    </w:rPr>
  </w:style>
  <w:style w:type="character" w:styleId="Textedelespacerserv">
    <w:name w:val="Placeholder Text"/>
    <w:basedOn w:val="Policepardfaut"/>
    <w:rPr>
      <w:color w:val="808080"/>
    </w:rPr>
  </w:style>
  <w:style w:type="character" w:customStyle="1" w:styleId="lev1">
    <w:name w:val="Élevé1"/>
    <w:basedOn w:val="Policepardfaut"/>
    <w:rPr>
      <w:b/>
    </w:rPr>
  </w:style>
  <w:style w:type="character" w:customStyle="1" w:styleId="TextedebullesCar">
    <w:name w:val="Texte de bulles Car"/>
    <w:basedOn w:val="Policepardfaut"/>
    <w:rPr>
      <w:rFonts w:ascii="Lucida Grande" w:eastAsia="F" w:hAnsi="Lucida Grande" w:cs="Lucida Grande"/>
      <w:sz w:val="18"/>
      <w:szCs w:val="18"/>
      <w:lang w:val="en-US"/>
    </w:rPr>
  </w:style>
  <w:style w:type="character" w:customStyle="1" w:styleId="referenceid">
    <w:name w:val="reference_id"/>
    <w:basedOn w:val="Policepardfaut"/>
    <w:rPr>
      <w:position w:val="0"/>
      <w:vertAlign w:val="superscript"/>
    </w:rPr>
  </w:style>
  <w:style w:type="character" w:customStyle="1" w:styleId="petitecap">
    <w:name w:val="petitecap"/>
    <w:basedOn w:val="Policepardfaut"/>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Aptos" w:eastAsia="Aptos" w:hAnsi="Aptos" w:cs="Aptos"/>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Aptos" w:eastAsia="Aptos" w:hAnsi="Aptos" w:cs="Aptos"/>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Aptos" w:eastAsia="Aptos" w:hAnsi="Aptos" w:cs="Aptos"/>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Aptos" w:eastAsia="Aptos" w:hAnsi="Aptos" w:cs="Aptos"/>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Aptos" w:eastAsia="Aptos" w:hAnsi="Aptos" w:cs="Aptos"/>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ascii="Aptos" w:eastAsia="Aptos" w:hAnsi="Aptos" w:cs="Aptos"/>
    </w:rPr>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rPr>
      <w:rFonts w:ascii="Aptos" w:eastAsia="Aptos" w:hAnsi="Aptos" w:cs="Aptos"/>
    </w:rPr>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rPr>
      <w:rFonts w:ascii="Aptos" w:eastAsia="Aptos" w:hAnsi="Aptos" w:cs="Aptos"/>
    </w:rPr>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Aptos" w:eastAsia="Aptos" w:hAnsi="Aptos" w:cs="Times New Roman"/>
    </w:rPr>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rPr>
      <w:rFonts w:ascii="Aptos" w:eastAsia="Aptos" w:hAnsi="Aptos" w:cs="Aptos"/>
    </w:rPr>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rPr>
      <w:rFonts w:ascii="Aptos" w:eastAsia="Aptos" w:hAnsi="Aptos" w:cs="Aptos"/>
    </w:rPr>
  </w:style>
  <w:style w:type="character" w:customStyle="1" w:styleId="ListLabel107">
    <w:name w:val="ListLabel 107"/>
    <w:rPr>
      <w:rFonts w:cs="Courier New"/>
    </w:rPr>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i w:val="0"/>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numbering" w:customStyle="1" w:styleId="Aucuneliste1">
    <w:name w:val="Aucune liste1"/>
    <w:basedOn w:val="Aucuneliste"/>
    <w:pPr>
      <w:numPr>
        <w:numId w:val="1"/>
      </w:numPr>
    </w:pPr>
  </w:style>
  <w:style w:type="numbering" w:customStyle="1" w:styleId="Pasdeliste">
    <w:name w:val="Pas de liste"/>
    <w:basedOn w:val="Aucuneliste"/>
    <w:pPr>
      <w:numPr>
        <w:numId w:val="2"/>
      </w:numPr>
    </w:pPr>
  </w:style>
  <w:style w:type="numbering" w:customStyle="1" w:styleId="WWNum1">
    <w:name w:val="WWNum1"/>
    <w:basedOn w:val="Aucuneliste"/>
    <w:pPr>
      <w:numPr>
        <w:numId w:val="3"/>
      </w:numPr>
    </w:pPr>
  </w:style>
  <w:style w:type="numbering" w:customStyle="1" w:styleId="WWNum2">
    <w:name w:val="WWNum2"/>
    <w:basedOn w:val="Aucuneliste"/>
    <w:pPr>
      <w:numPr>
        <w:numId w:val="4"/>
      </w:numPr>
    </w:pPr>
  </w:style>
  <w:style w:type="numbering" w:customStyle="1" w:styleId="WWNum3">
    <w:name w:val="WWNum3"/>
    <w:basedOn w:val="Aucuneliste"/>
    <w:pPr>
      <w:numPr>
        <w:numId w:val="5"/>
      </w:numPr>
    </w:pPr>
  </w:style>
  <w:style w:type="numbering" w:customStyle="1" w:styleId="WWNum4">
    <w:name w:val="WWNum4"/>
    <w:basedOn w:val="Aucuneliste"/>
    <w:pPr>
      <w:numPr>
        <w:numId w:val="6"/>
      </w:numPr>
    </w:pPr>
  </w:style>
  <w:style w:type="numbering" w:customStyle="1" w:styleId="WWNum5">
    <w:name w:val="WWNum5"/>
    <w:basedOn w:val="Aucuneliste"/>
    <w:pPr>
      <w:numPr>
        <w:numId w:val="7"/>
      </w:numPr>
    </w:pPr>
  </w:style>
  <w:style w:type="numbering" w:customStyle="1" w:styleId="WWNum6">
    <w:name w:val="WWNum6"/>
    <w:basedOn w:val="Aucuneliste"/>
    <w:pPr>
      <w:numPr>
        <w:numId w:val="8"/>
      </w:numPr>
    </w:pPr>
  </w:style>
  <w:style w:type="numbering" w:customStyle="1" w:styleId="WWNum7">
    <w:name w:val="WWNum7"/>
    <w:basedOn w:val="Aucuneliste"/>
    <w:pPr>
      <w:numPr>
        <w:numId w:val="9"/>
      </w:numPr>
    </w:pPr>
  </w:style>
  <w:style w:type="numbering" w:customStyle="1" w:styleId="WWNum8">
    <w:name w:val="WWNum8"/>
    <w:basedOn w:val="Aucuneliste"/>
    <w:pPr>
      <w:numPr>
        <w:numId w:val="10"/>
      </w:numPr>
    </w:pPr>
  </w:style>
  <w:style w:type="numbering" w:customStyle="1" w:styleId="WWNum9">
    <w:name w:val="WWNum9"/>
    <w:basedOn w:val="Aucuneliste"/>
    <w:pPr>
      <w:numPr>
        <w:numId w:val="11"/>
      </w:numPr>
    </w:pPr>
  </w:style>
  <w:style w:type="numbering" w:customStyle="1" w:styleId="WWNum10">
    <w:name w:val="WWNum10"/>
    <w:basedOn w:val="Aucuneliste"/>
    <w:pPr>
      <w:numPr>
        <w:numId w:val="12"/>
      </w:numPr>
    </w:pPr>
  </w:style>
  <w:style w:type="numbering" w:customStyle="1" w:styleId="WWNum11">
    <w:name w:val="WWNum11"/>
    <w:basedOn w:val="Aucuneliste"/>
    <w:pPr>
      <w:numPr>
        <w:numId w:val="13"/>
      </w:numPr>
    </w:pPr>
  </w:style>
  <w:style w:type="numbering" w:customStyle="1" w:styleId="WWNum12">
    <w:name w:val="WWNum12"/>
    <w:basedOn w:val="Aucuneliste"/>
    <w:pPr>
      <w:numPr>
        <w:numId w:val="14"/>
      </w:numPr>
    </w:pPr>
  </w:style>
  <w:style w:type="numbering" w:customStyle="1" w:styleId="WWNum13">
    <w:name w:val="WWNum13"/>
    <w:basedOn w:val="Aucuneliste"/>
    <w:pPr>
      <w:numPr>
        <w:numId w:val="15"/>
      </w:numPr>
    </w:pPr>
  </w:style>
  <w:style w:type="numbering" w:customStyle="1" w:styleId="WWNum14">
    <w:name w:val="WWNum14"/>
    <w:basedOn w:val="Aucuneliste"/>
    <w:pPr>
      <w:numPr>
        <w:numId w:val="16"/>
      </w:numPr>
    </w:pPr>
  </w:style>
  <w:style w:type="numbering" w:customStyle="1" w:styleId="WWNum15">
    <w:name w:val="WWNum15"/>
    <w:basedOn w:val="Aucuneliste"/>
    <w:pPr>
      <w:numPr>
        <w:numId w:val="17"/>
      </w:numPr>
    </w:pPr>
  </w:style>
  <w:style w:type="numbering" w:customStyle="1" w:styleId="WWNum16">
    <w:name w:val="WWNum16"/>
    <w:basedOn w:val="Aucuneliste"/>
    <w:pPr>
      <w:numPr>
        <w:numId w:val="18"/>
      </w:numPr>
    </w:pPr>
  </w:style>
  <w:style w:type="character" w:styleId="Appelnotedebasdep">
    <w:name w:val="footnote reference"/>
    <w:basedOn w:val="Policepardfaut"/>
    <w:uiPriority w:val="99"/>
    <w:semiHidden/>
    <w:unhideWhenUsed/>
    <w:rPr>
      <w:vertAlign w:val="superscript"/>
    </w:rPr>
  </w:style>
  <w:style w:type="paragraph" w:styleId="Commentaire">
    <w:name w:val="annotation text"/>
    <w:basedOn w:val="Normal"/>
    <w:link w:val="CommentaireCar1"/>
    <w:uiPriority w:val="99"/>
    <w:semiHidden/>
    <w:unhideWhenUsed/>
    <w:rPr>
      <w:sz w:val="20"/>
      <w:szCs w:val="20"/>
    </w:rPr>
  </w:style>
  <w:style w:type="character" w:customStyle="1" w:styleId="CommentaireCar1">
    <w:name w:val="Commentaire Car1"/>
    <w:basedOn w:val="Policepardfaut"/>
    <w:link w:val="Commentaire"/>
    <w:uiPriority w:val="99"/>
    <w:semiHidden/>
    <w:rPr>
      <w:sz w:val="20"/>
      <w:szCs w:val="20"/>
    </w:rPr>
  </w:style>
  <w:style w:type="paragraph" w:styleId="TM1">
    <w:name w:val="toc 1"/>
    <w:basedOn w:val="Normal"/>
    <w:next w:val="Normal"/>
    <w:autoRedefine/>
    <w:uiPriority w:val="39"/>
    <w:unhideWhenUsed/>
    <w:rsid w:val="002E4235"/>
    <w:pPr>
      <w:spacing w:after="100"/>
    </w:pPr>
  </w:style>
  <w:style w:type="character" w:styleId="Lienhypertexte">
    <w:name w:val="Hyperlink"/>
    <w:basedOn w:val="Policepardfaut"/>
    <w:uiPriority w:val="99"/>
    <w:unhideWhenUsed/>
    <w:rsid w:val="002E4235"/>
    <w:rPr>
      <w:color w:val="0563C1" w:themeColor="hyperlink"/>
      <w:u w:val="single"/>
    </w:rPr>
  </w:style>
  <w:style w:type="paragraph" w:styleId="NormalWeb">
    <w:name w:val="Normal (Web)"/>
    <w:basedOn w:val="Normal"/>
    <w:uiPriority w:val="99"/>
    <w:unhideWhenUsed/>
    <w:rsid w:val="00552BED"/>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styleId="lev">
    <w:name w:val="Strong"/>
    <w:basedOn w:val="Policepardfaut"/>
    <w:uiPriority w:val="22"/>
    <w:qFormat/>
    <w:rsid w:val="00F17702"/>
    <w:rPr>
      <w:b/>
      <w:bCs/>
    </w:rPr>
  </w:style>
  <w:style w:type="character" w:styleId="CodeHTML">
    <w:name w:val="HTML Code"/>
    <w:basedOn w:val="Policepardfaut"/>
    <w:uiPriority w:val="99"/>
    <w:semiHidden/>
    <w:unhideWhenUsed/>
    <w:rsid w:val="004C7E05"/>
    <w:rPr>
      <w:rFonts w:ascii="Courier New" w:eastAsia="Times New Roman" w:hAnsi="Courier New" w:cs="Courier New"/>
      <w:sz w:val="20"/>
      <w:szCs w:val="20"/>
    </w:rPr>
  </w:style>
  <w:style w:type="paragraph" w:customStyle="1" w:styleId="cl-4168d0b6">
    <w:name w:val="cl-4168d0b6"/>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customStyle="1" w:styleId="cl-4164a766">
    <w:name w:val="cl-4164a766"/>
    <w:basedOn w:val="Policepardfaut"/>
    <w:rsid w:val="00241B01"/>
  </w:style>
  <w:style w:type="character" w:customStyle="1" w:styleId="cl-4164a75c">
    <w:name w:val="cl-4164a75c"/>
    <w:basedOn w:val="Policepardfaut"/>
    <w:rsid w:val="00241B01"/>
  </w:style>
  <w:style w:type="paragraph" w:customStyle="1" w:styleId="cl-4168d098">
    <w:name w:val="cl-4168d098"/>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customStyle="1" w:styleId="cl-4164a767">
    <w:name w:val="cl-4164a767"/>
    <w:basedOn w:val="Policepardfaut"/>
    <w:rsid w:val="00241B01"/>
  </w:style>
  <w:style w:type="paragraph" w:customStyle="1" w:styleId="cl-4168d0c0">
    <w:name w:val="cl-4168d0c0"/>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paragraph" w:customStyle="1" w:styleId="cl-4168d0d4">
    <w:name w:val="cl-4168d0d4"/>
    <w:basedOn w:val="Normal"/>
    <w:rsid w:val="00241B0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8948">
      <w:bodyDiv w:val="1"/>
      <w:marLeft w:val="0"/>
      <w:marRight w:val="0"/>
      <w:marTop w:val="0"/>
      <w:marBottom w:val="0"/>
      <w:divBdr>
        <w:top w:val="none" w:sz="0" w:space="0" w:color="auto"/>
        <w:left w:val="none" w:sz="0" w:space="0" w:color="auto"/>
        <w:bottom w:val="none" w:sz="0" w:space="0" w:color="auto"/>
        <w:right w:val="none" w:sz="0" w:space="0" w:color="auto"/>
      </w:divBdr>
    </w:div>
    <w:div w:id="309553834">
      <w:bodyDiv w:val="1"/>
      <w:marLeft w:val="0"/>
      <w:marRight w:val="0"/>
      <w:marTop w:val="0"/>
      <w:marBottom w:val="0"/>
      <w:divBdr>
        <w:top w:val="none" w:sz="0" w:space="0" w:color="auto"/>
        <w:left w:val="none" w:sz="0" w:space="0" w:color="auto"/>
        <w:bottom w:val="none" w:sz="0" w:space="0" w:color="auto"/>
        <w:right w:val="none" w:sz="0" w:space="0" w:color="auto"/>
      </w:divBdr>
    </w:div>
    <w:div w:id="316882803">
      <w:bodyDiv w:val="1"/>
      <w:marLeft w:val="0"/>
      <w:marRight w:val="0"/>
      <w:marTop w:val="0"/>
      <w:marBottom w:val="0"/>
      <w:divBdr>
        <w:top w:val="none" w:sz="0" w:space="0" w:color="auto"/>
        <w:left w:val="none" w:sz="0" w:space="0" w:color="auto"/>
        <w:bottom w:val="none" w:sz="0" w:space="0" w:color="auto"/>
        <w:right w:val="none" w:sz="0" w:space="0" w:color="auto"/>
      </w:divBdr>
    </w:div>
    <w:div w:id="355547834">
      <w:bodyDiv w:val="1"/>
      <w:marLeft w:val="0"/>
      <w:marRight w:val="0"/>
      <w:marTop w:val="0"/>
      <w:marBottom w:val="0"/>
      <w:divBdr>
        <w:top w:val="none" w:sz="0" w:space="0" w:color="auto"/>
        <w:left w:val="none" w:sz="0" w:space="0" w:color="auto"/>
        <w:bottom w:val="none" w:sz="0" w:space="0" w:color="auto"/>
        <w:right w:val="none" w:sz="0" w:space="0" w:color="auto"/>
      </w:divBdr>
    </w:div>
    <w:div w:id="376666556">
      <w:bodyDiv w:val="1"/>
      <w:marLeft w:val="0"/>
      <w:marRight w:val="0"/>
      <w:marTop w:val="0"/>
      <w:marBottom w:val="0"/>
      <w:divBdr>
        <w:top w:val="none" w:sz="0" w:space="0" w:color="auto"/>
        <w:left w:val="none" w:sz="0" w:space="0" w:color="auto"/>
        <w:bottom w:val="none" w:sz="0" w:space="0" w:color="auto"/>
        <w:right w:val="none" w:sz="0" w:space="0" w:color="auto"/>
      </w:divBdr>
    </w:div>
    <w:div w:id="381905581">
      <w:bodyDiv w:val="1"/>
      <w:marLeft w:val="0"/>
      <w:marRight w:val="0"/>
      <w:marTop w:val="0"/>
      <w:marBottom w:val="0"/>
      <w:divBdr>
        <w:top w:val="none" w:sz="0" w:space="0" w:color="auto"/>
        <w:left w:val="none" w:sz="0" w:space="0" w:color="auto"/>
        <w:bottom w:val="none" w:sz="0" w:space="0" w:color="auto"/>
        <w:right w:val="none" w:sz="0" w:space="0" w:color="auto"/>
      </w:divBdr>
    </w:div>
    <w:div w:id="433941314">
      <w:bodyDiv w:val="1"/>
      <w:marLeft w:val="0"/>
      <w:marRight w:val="0"/>
      <w:marTop w:val="0"/>
      <w:marBottom w:val="0"/>
      <w:divBdr>
        <w:top w:val="none" w:sz="0" w:space="0" w:color="auto"/>
        <w:left w:val="none" w:sz="0" w:space="0" w:color="auto"/>
        <w:bottom w:val="none" w:sz="0" w:space="0" w:color="auto"/>
        <w:right w:val="none" w:sz="0" w:space="0" w:color="auto"/>
      </w:divBdr>
    </w:div>
    <w:div w:id="595869396">
      <w:bodyDiv w:val="1"/>
      <w:marLeft w:val="0"/>
      <w:marRight w:val="0"/>
      <w:marTop w:val="0"/>
      <w:marBottom w:val="0"/>
      <w:divBdr>
        <w:top w:val="none" w:sz="0" w:space="0" w:color="auto"/>
        <w:left w:val="none" w:sz="0" w:space="0" w:color="auto"/>
        <w:bottom w:val="none" w:sz="0" w:space="0" w:color="auto"/>
        <w:right w:val="none" w:sz="0" w:space="0" w:color="auto"/>
      </w:divBdr>
    </w:div>
    <w:div w:id="597375299">
      <w:bodyDiv w:val="1"/>
      <w:marLeft w:val="0"/>
      <w:marRight w:val="0"/>
      <w:marTop w:val="0"/>
      <w:marBottom w:val="0"/>
      <w:divBdr>
        <w:top w:val="none" w:sz="0" w:space="0" w:color="auto"/>
        <w:left w:val="none" w:sz="0" w:space="0" w:color="auto"/>
        <w:bottom w:val="none" w:sz="0" w:space="0" w:color="auto"/>
        <w:right w:val="none" w:sz="0" w:space="0" w:color="auto"/>
      </w:divBdr>
    </w:div>
    <w:div w:id="623728326">
      <w:bodyDiv w:val="1"/>
      <w:marLeft w:val="0"/>
      <w:marRight w:val="0"/>
      <w:marTop w:val="0"/>
      <w:marBottom w:val="0"/>
      <w:divBdr>
        <w:top w:val="none" w:sz="0" w:space="0" w:color="auto"/>
        <w:left w:val="none" w:sz="0" w:space="0" w:color="auto"/>
        <w:bottom w:val="none" w:sz="0" w:space="0" w:color="auto"/>
        <w:right w:val="none" w:sz="0" w:space="0" w:color="auto"/>
      </w:divBdr>
    </w:div>
    <w:div w:id="718941598">
      <w:bodyDiv w:val="1"/>
      <w:marLeft w:val="0"/>
      <w:marRight w:val="0"/>
      <w:marTop w:val="0"/>
      <w:marBottom w:val="0"/>
      <w:divBdr>
        <w:top w:val="none" w:sz="0" w:space="0" w:color="auto"/>
        <w:left w:val="none" w:sz="0" w:space="0" w:color="auto"/>
        <w:bottom w:val="none" w:sz="0" w:space="0" w:color="auto"/>
        <w:right w:val="none" w:sz="0" w:space="0" w:color="auto"/>
      </w:divBdr>
    </w:div>
    <w:div w:id="851574960">
      <w:bodyDiv w:val="1"/>
      <w:marLeft w:val="0"/>
      <w:marRight w:val="0"/>
      <w:marTop w:val="0"/>
      <w:marBottom w:val="0"/>
      <w:divBdr>
        <w:top w:val="none" w:sz="0" w:space="0" w:color="auto"/>
        <w:left w:val="none" w:sz="0" w:space="0" w:color="auto"/>
        <w:bottom w:val="none" w:sz="0" w:space="0" w:color="auto"/>
        <w:right w:val="none" w:sz="0" w:space="0" w:color="auto"/>
      </w:divBdr>
    </w:div>
    <w:div w:id="1252398215">
      <w:bodyDiv w:val="1"/>
      <w:marLeft w:val="0"/>
      <w:marRight w:val="0"/>
      <w:marTop w:val="0"/>
      <w:marBottom w:val="0"/>
      <w:divBdr>
        <w:top w:val="none" w:sz="0" w:space="0" w:color="auto"/>
        <w:left w:val="none" w:sz="0" w:space="0" w:color="auto"/>
        <w:bottom w:val="none" w:sz="0" w:space="0" w:color="auto"/>
        <w:right w:val="none" w:sz="0" w:space="0" w:color="auto"/>
      </w:divBdr>
    </w:div>
    <w:div w:id="1288438210">
      <w:bodyDiv w:val="1"/>
      <w:marLeft w:val="0"/>
      <w:marRight w:val="0"/>
      <w:marTop w:val="0"/>
      <w:marBottom w:val="0"/>
      <w:divBdr>
        <w:top w:val="none" w:sz="0" w:space="0" w:color="auto"/>
        <w:left w:val="none" w:sz="0" w:space="0" w:color="auto"/>
        <w:bottom w:val="none" w:sz="0" w:space="0" w:color="auto"/>
        <w:right w:val="none" w:sz="0" w:space="0" w:color="auto"/>
      </w:divBdr>
    </w:div>
    <w:div w:id="1325546952">
      <w:bodyDiv w:val="1"/>
      <w:marLeft w:val="0"/>
      <w:marRight w:val="0"/>
      <w:marTop w:val="0"/>
      <w:marBottom w:val="0"/>
      <w:divBdr>
        <w:top w:val="none" w:sz="0" w:space="0" w:color="auto"/>
        <w:left w:val="none" w:sz="0" w:space="0" w:color="auto"/>
        <w:bottom w:val="none" w:sz="0" w:space="0" w:color="auto"/>
        <w:right w:val="none" w:sz="0" w:space="0" w:color="auto"/>
      </w:divBdr>
    </w:div>
    <w:div w:id="1399211345">
      <w:bodyDiv w:val="1"/>
      <w:marLeft w:val="0"/>
      <w:marRight w:val="0"/>
      <w:marTop w:val="0"/>
      <w:marBottom w:val="0"/>
      <w:divBdr>
        <w:top w:val="none" w:sz="0" w:space="0" w:color="auto"/>
        <w:left w:val="none" w:sz="0" w:space="0" w:color="auto"/>
        <w:bottom w:val="none" w:sz="0" w:space="0" w:color="auto"/>
        <w:right w:val="none" w:sz="0" w:space="0" w:color="auto"/>
      </w:divBdr>
    </w:div>
    <w:div w:id="1581214479">
      <w:bodyDiv w:val="1"/>
      <w:marLeft w:val="0"/>
      <w:marRight w:val="0"/>
      <w:marTop w:val="0"/>
      <w:marBottom w:val="0"/>
      <w:divBdr>
        <w:top w:val="none" w:sz="0" w:space="0" w:color="auto"/>
        <w:left w:val="none" w:sz="0" w:space="0" w:color="auto"/>
        <w:bottom w:val="none" w:sz="0" w:space="0" w:color="auto"/>
        <w:right w:val="none" w:sz="0" w:space="0" w:color="auto"/>
      </w:divBdr>
    </w:div>
    <w:div w:id="1651710469">
      <w:bodyDiv w:val="1"/>
      <w:marLeft w:val="0"/>
      <w:marRight w:val="0"/>
      <w:marTop w:val="0"/>
      <w:marBottom w:val="0"/>
      <w:divBdr>
        <w:top w:val="none" w:sz="0" w:space="0" w:color="auto"/>
        <w:left w:val="none" w:sz="0" w:space="0" w:color="auto"/>
        <w:bottom w:val="none" w:sz="0" w:space="0" w:color="auto"/>
        <w:right w:val="none" w:sz="0" w:space="0" w:color="auto"/>
      </w:divBdr>
    </w:div>
    <w:div w:id="1706713501">
      <w:bodyDiv w:val="1"/>
      <w:marLeft w:val="0"/>
      <w:marRight w:val="0"/>
      <w:marTop w:val="0"/>
      <w:marBottom w:val="0"/>
      <w:divBdr>
        <w:top w:val="none" w:sz="0" w:space="0" w:color="auto"/>
        <w:left w:val="none" w:sz="0" w:space="0" w:color="auto"/>
        <w:bottom w:val="none" w:sz="0" w:space="0" w:color="auto"/>
        <w:right w:val="none" w:sz="0" w:space="0" w:color="auto"/>
      </w:divBdr>
    </w:div>
    <w:div w:id="20078955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6335</TotalTime>
  <Pages>33</Pages>
  <Words>11973</Words>
  <Characters>65855</Characters>
  <Application>Microsoft Office Word</Application>
  <DocSecurity>0</DocSecurity>
  <Lines>548</Lines>
  <Paragraphs>155</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77673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creator>Elisa Lemoine</dc:creator>
  <cp:lastModifiedBy>ELISA LEMOINE</cp:lastModifiedBy>
  <cp:revision>15</cp:revision>
  <cp:lastPrinted>2026-08-21T14:25:00Z</cp:lastPrinted>
  <dcterms:created xsi:type="dcterms:W3CDTF">2026-08-17T13:12:00Z</dcterms:created>
  <dcterms:modified xsi:type="dcterms:W3CDTF">2026-08-23T18:00:00Z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4" name="ZOTERO_PREF_2">
    <vt:lpwstr>a&gt;</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uthor">
    <vt:lpwstr/>
  </property>
  <property fmtid="{D5CDD505-2E9C-101B-9397-08002B2CF9AE}" pid="9" name="date">
    <vt:lpwstr>1 août 2026</vt:lpwstr>
  </property>
  <property fmtid="{D5CDD505-2E9C-101B-9397-08002B2CF9AE}" pid="10" name="date-format">
    <vt:lpwstr>long</vt:lpwstr>
  </property>
  <property fmtid="{D5CDD505-2E9C-101B-9397-08002B2CF9AE}" pid="11" name="editor">
    <vt:lpwstr/>
  </property>
  <property fmtid="{D5CDD505-2E9C-101B-9397-08002B2CF9AE}" pid="12" name="execute">
    <vt:lpwstr/>
  </property>
  <property fmtid="{D5CDD505-2E9C-101B-9397-08002B2CF9AE}" pid="13" name="fig-cap-location">
    <vt:lpwstr>top</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Les situations conjugales bisexuelles</vt:lpwstr>
  </property>
  <property fmtid="{D5CDD505-2E9C-101B-9397-08002B2CF9AE}" pid="19" name="toc-title">
    <vt:lpwstr>Table des matières</vt:lpwstr>
  </property>
  <property fmtid="{D5CDD505-2E9C-101B-9397-08002B2CF9AE}" pid="20" name="toc_depth">
    <vt:lpwstr>5</vt:lpwstr>
  </property>
</Properties>
</file>