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A9962" w14:textId="4296D587" w:rsidR="005B5A7B" w:rsidRDefault="005B5A7B" w:rsidP="005B5A7B">
      <w:pPr>
        <w:pStyle w:val="Corpsdetexte"/>
      </w:pPr>
      <w:r>
        <w:rPr>
          <w:noProof/>
        </w:rPr>
        <w:drawing>
          <wp:anchor distT="0" distB="0" distL="114300" distR="114300" simplePos="0" relativeHeight="251661312" behindDoc="0" locked="0" layoutInCell="1" allowOverlap="1" wp14:anchorId="0A5F9378" wp14:editId="0F3ABE13">
            <wp:simplePos x="0" y="0"/>
            <wp:positionH relativeFrom="column">
              <wp:posOffset>225083</wp:posOffset>
            </wp:positionH>
            <wp:positionV relativeFrom="paragraph">
              <wp:posOffset>390</wp:posOffset>
            </wp:positionV>
            <wp:extent cx="1183640" cy="1181100"/>
            <wp:effectExtent l="0" t="0" r="0"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83640" cy="1181100"/>
                    </a:xfrm>
                    <a:prstGeom prst="rect">
                      <a:avLst/>
                    </a:prstGeom>
                  </pic:spPr>
                </pic:pic>
              </a:graphicData>
            </a:graphic>
          </wp:anchor>
        </w:drawing>
      </w:r>
      <w:r>
        <w:rPr>
          <w:bCs/>
          <w:noProof/>
          <w:sz w:val="28"/>
          <w:szCs w:val="28"/>
        </w:rPr>
        <w:drawing>
          <wp:anchor distT="0" distB="0" distL="114300" distR="114300" simplePos="0" relativeHeight="251659264" behindDoc="0" locked="0" layoutInCell="1" allowOverlap="1" wp14:anchorId="101F4EFD" wp14:editId="6EFBCF4A">
            <wp:simplePos x="0" y="0"/>
            <wp:positionH relativeFrom="column">
              <wp:posOffset>4269544</wp:posOffset>
            </wp:positionH>
            <wp:positionV relativeFrom="paragraph">
              <wp:posOffset>586</wp:posOffset>
            </wp:positionV>
            <wp:extent cx="1643380" cy="1007745"/>
            <wp:effectExtent l="0" t="0" r="0" b="1905"/>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oupe-logos-carr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43380" cy="1007745"/>
                    </a:xfrm>
                    <a:prstGeom prst="rect">
                      <a:avLst/>
                    </a:prstGeom>
                  </pic:spPr>
                </pic:pic>
              </a:graphicData>
            </a:graphic>
            <wp14:sizeRelH relativeFrom="margin">
              <wp14:pctWidth>0</wp14:pctWidth>
            </wp14:sizeRelH>
            <wp14:sizeRelV relativeFrom="margin">
              <wp14:pctHeight>0</wp14:pctHeight>
            </wp14:sizeRelV>
          </wp:anchor>
        </w:drawing>
      </w:r>
    </w:p>
    <w:p w14:paraId="3551411B" w14:textId="058B7493" w:rsidR="005B5A7B" w:rsidRDefault="005B5A7B" w:rsidP="005B5A7B">
      <w:pPr>
        <w:pStyle w:val="Corpsdetexte"/>
      </w:pPr>
    </w:p>
    <w:p w14:paraId="4A803271" w14:textId="331C00AD" w:rsidR="005B5A7B" w:rsidRDefault="005B5A7B" w:rsidP="005B5A7B">
      <w:pPr>
        <w:pStyle w:val="Corpsdetexte"/>
      </w:pPr>
    </w:p>
    <w:p w14:paraId="6CC1A46A" w14:textId="77777777" w:rsidR="005B5A7B" w:rsidRDefault="005B5A7B" w:rsidP="005B5A7B">
      <w:pPr>
        <w:spacing w:before="97" w:after="0"/>
        <w:ind w:left="1253" w:right="1628"/>
        <w:jc w:val="center"/>
        <w:rPr>
          <w:rFonts w:ascii="Times New Roman" w:eastAsia="NSimSun" w:hAnsi="Times New Roman" w:cs="Times New Roman"/>
          <w:spacing w:val="-4"/>
          <w:w w:val="105"/>
          <w:kern w:val="2"/>
          <w:sz w:val="52"/>
          <w:lang w:eastAsia="zh-CN" w:bidi="hi-IN"/>
        </w:rPr>
      </w:pPr>
    </w:p>
    <w:p w14:paraId="56254804" w14:textId="48EAA4D0" w:rsidR="005B5A7B" w:rsidRPr="005B5A7B" w:rsidRDefault="005B5A7B" w:rsidP="005B5A7B">
      <w:pPr>
        <w:spacing w:before="97" w:after="0"/>
        <w:ind w:left="1253" w:right="1628"/>
        <w:jc w:val="center"/>
        <w:rPr>
          <w:rFonts w:ascii="Times New Roman" w:eastAsia="NSimSun" w:hAnsi="Times New Roman" w:cs="Times New Roman"/>
          <w:spacing w:val="-4"/>
          <w:w w:val="105"/>
          <w:kern w:val="2"/>
          <w:sz w:val="52"/>
          <w:lang w:eastAsia="zh-CN" w:bidi="hi-IN"/>
        </w:rPr>
      </w:pPr>
      <w:r>
        <w:rPr>
          <w:rFonts w:ascii="Times New Roman" w:eastAsia="NSimSun" w:hAnsi="Times New Roman" w:cs="Times New Roman"/>
          <w:spacing w:val="-4"/>
          <w:w w:val="105"/>
          <w:kern w:val="2"/>
          <w:sz w:val="52"/>
          <w:lang w:eastAsia="zh-CN" w:bidi="hi-IN"/>
        </w:rPr>
        <w:t>Les conjugalités bisexuelles dans les enquêtes Virage et Virage LGBT</w:t>
      </w:r>
    </w:p>
    <w:p w14:paraId="6F489AC4" w14:textId="77777777" w:rsidR="005B5A7B" w:rsidRPr="005B5A7B" w:rsidRDefault="005B5A7B" w:rsidP="005B5A7B">
      <w:pPr>
        <w:spacing w:before="97" w:after="0"/>
        <w:ind w:left="1253" w:right="1628"/>
        <w:jc w:val="center"/>
        <w:rPr>
          <w:rFonts w:ascii="Times New Roman" w:eastAsia="NSimSun" w:hAnsi="Times New Roman" w:cs="Times New Roman"/>
          <w:kern w:val="2"/>
          <w:lang w:eastAsia="zh-CN" w:bidi="hi-IN"/>
        </w:rPr>
      </w:pPr>
    </w:p>
    <w:p w14:paraId="10592E2A" w14:textId="7FB2E538" w:rsidR="005B5A7B" w:rsidRDefault="005B5A7B" w:rsidP="005B5A7B">
      <w:pPr>
        <w:spacing w:before="11" w:after="0" w:line="276" w:lineRule="auto"/>
        <w:rPr>
          <w:rFonts w:ascii="Times New Roman" w:eastAsia="NSimSun" w:hAnsi="Times New Roman" w:cs="Times New Roman"/>
          <w:kern w:val="2"/>
          <w:lang w:eastAsia="zh-CN" w:bidi="hi-IN"/>
        </w:rPr>
      </w:pPr>
    </w:p>
    <w:p w14:paraId="0D1094CD" w14:textId="50292EE6" w:rsidR="005B5A7B" w:rsidRDefault="005B5A7B" w:rsidP="005B5A7B">
      <w:pPr>
        <w:spacing w:before="11" w:after="0" w:line="276" w:lineRule="auto"/>
        <w:rPr>
          <w:rFonts w:ascii="Times New Roman" w:eastAsia="NSimSun" w:hAnsi="Times New Roman" w:cs="Times New Roman"/>
          <w:kern w:val="2"/>
          <w:lang w:eastAsia="zh-CN" w:bidi="hi-IN"/>
        </w:rPr>
      </w:pPr>
    </w:p>
    <w:p w14:paraId="56F910C2" w14:textId="2C04CF33" w:rsidR="005B5A7B" w:rsidRDefault="005B5A7B" w:rsidP="005B5A7B">
      <w:pPr>
        <w:spacing w:before="11" w:after="0" w:line="276" w:lineRule="auto"/>
        <w:rPr>
          <w:rFonts w:ascii="Times New Roman" w:eastAsia="NSimSun" w:hAnsi="Times New Roman" w:cs="Times New Roman"/>
          <w:kern w:val="2"/>
          <w:lang w:eastAsia="zh-CN" w:bidi="hi-IN"/>
        </w:rPr>
      </w:pPr>
    </w:p>
    <w:p w14:paraId="4F8DA082" w14:textId="075371EC" w:rsidR="005B5A7B" w:rsidRDefault="005B5A7B" w:rsidP="005B5A7B">
      <w:pPr>
        <w:spacing w:before="11" w:after="0" w:line="276" w:lineRule="auto"/>
        <w:rPr>
          <w:rFonts w:ascii="Times New Roman" w:eastAsia="NSimSun" w:hAnsi="Times New Roman" w:cs="Times New Roman"/>
          <w:kern w:val="2"/>
          <w:lang w:eastAsia="zh-CN" w:bidi="hi-IN"/>
        </w:rPr>
      </w:pPr>
    </w:p>
    <w:p w14:paraId="27462448" w14:textId="77777777" w:rsidR="005B5A7B" w:rsidRPr="005B5A7B" w:rsidRDefault="005B5A7B" w:rsidP="005B5A7B">
      <w:pPr>
        <w:spacing w:before="11" w:after="0" w:line="276" w:lineRule="auto"/>
        <w:rPr>
          <w:rFonts w:ascii="Times New Roman" w:eastAsia="NSimSun" w:hAnsi="Times New Roman" w:cs="Times New Roman"/>
          <w:kern w:val="2"/>
          <w:sz w:val="26"/>
          <w:lang w:eastAsia="zh-CN" w:bidi="hi-IN"/>
        </w:rPr>
      </w:pPr>
    </w:p>
    <w:p w14:paraId="484CC5E4" w14:textId="77777777" w:rsidR="005B5A7B" w:rsidRPr="005B5A7B" w:rsidRDefault="005B5A7B" w:rsidP="005B5A7B">
      <w:pPr>
        <w:spacing w:after="140" w:line="276" w:lineRule="auto"/>
        <w:ind w:left="1253" w:right="1483"/>
        <w:jc w:val="center"/>
        <w:rPr>
          <w:rFonts w:ascii="Times New Roman" w:eastAsia="NSimSun" w:hAnsi="Times New Roman" w:cs="Times New Roman"/>
          <w:kern w:val="2"/>
          <w:lang w:eastAsia="zh-CN" w:bidi="hi-IN"/>
        </w:rPr>
      </w:pPr>
      <w:r w:rsidRPr="005B5A7B">
        <w:rPr>
          <w:rFonts w:ascii="Times New Roman" w:eastAsia="NSimSun" w:hAnsi="Times New Roman" w:cs="Times New Roman"/>
          <w:kern w:val="2"/>
          <w:lang w:eastAsia="zh-CN" w:bidi="hi-IN"/>
        </w:rPr>
        <w:t>Mémoire de recherche master 2</w:t>
      </w:r>
    </w:p>
    <w:p w14:paraId="4450A45A" w14:textId="77777777" w:rsidR="005B5A7B" w:rsidRPr="005B5A7B" w:rsidRDefault="005B5A7B" w:rsidP="005B5A7B">
      <w:pPr>
        <w:spacing w:after="0" w:line="312" w:lineRule="auto"/>
        <w:jc w:val="center"/>
        <w:rPr>
          <w:rFonts w:ascii="Times New Roman" w:eastAsia="NSimSun" w:hAnsi="Times New Roman" w:cs="Times New Roman"/>
          <w:kern w:val="2"/>
          <w:sz w:val="28"/>
          <w:szCs w:val="28"/>
          <w:lang w:eastAsia="zh-CN" w:bidi="hi-IN"/>
        </w:rPr>
      </w:pPr>
      <w:r w:rsidRPr="005B5A7B">
        <w:rPr>
          <w:rFonts w:ascii="Times New Roman" w:eastAsia="NSimSun" w:hAnsi="Times New Roman" w:cs="Times New Roman"/>
          <w:kern w:val="2"/>
          <w:sz w:val="28"/>
          <w:szCs w:val="28"/>
          <w:lang w:eastAsia="zh-CN" w:bidi="hi-IN"/>
        </w:rPr>
        <w:t>Master en Sciences Humaines et Sociales EHESS</w:t>
      </w:r>
    </w:p>
    <w:p w14:paraId="64BDF971" w14:textId="26FC3218" w:rsidR="005B5A7B" w:rsidRPr="005B5A7B" w:rsidRDefault="005B5A7B" w:rsidP="005B5A7B">
      <w:pPr>
        <w:spacing w:after="0" w:line="312" w:lineRule="auto"/>
        <w:ind w:left="1253" w:right="1483"/>
        <w:jc w:val="center"/>
        <w:rPr>
          <w:rFonts w:ascii="Times New Roman" w:eastAsia="NSimSun" w:hAnsi="Times New Roman" w:cs="Times New Roman"/>
          <w:kern w:val="2"/>
          <w:sz w:val="28"/>
          <w:szCs w:val="28"/>
          <w:lang w:eastAsia="zh-CN" w:bidi="hi-IN"/>
        </w:rPr>
      </w:pPr>
      <w:r w:rsidRPr="005B5A7B">
        <w:rPr>
          <w:rFonts w:ascii="Times New Roman" w:eastAsia="NSimSun" w:hAnsi="Times New Roman" w:cs="Times New Roman"/>
          <w:kern w:val="2"/>
          <w:sz w:val="28"/>
          <w:szCs w:val="28"/>
          <w:lang w:eastAsia="zh-CN" w:bidi="hi-IN"/>
        </w:rPr>
        <w:t xml:space="preserve">Mention Études sur le Genre, parcours </w:t>
      </w:r>
      <w:r>
        <w:rPr>
          <w:rFonts w:ascii="Times New Roman" w:eastAsia="NSimSun" w:hAnsi="Times New Roman" w:cs="Times New Roman"/>
          <w:kern w:val="2"/>
          <w:sz w:val="28"/>
          <w:szCs w:val="28"/>
          <w:lang w:eastAsia="zh-CN" w:bidi="hi-IN"/>
        </w:rPr>
        <w:t>sociologie</w:t>
      </w:r>
    </w:p>
    <w:p w14:paraId="671761B4" w14:textId="77777777" w:rsidR="005B5A7B" w:rsidRPr="005B5A7B" w:rsidRDefault="005B5A7B" w:rsidP="005B5A7B">
      <w:pPr>
        <w:spacing w:after="0" w:line="312" w:lineRule="auto"/>
        <w:ind w:left="1253" w:right="1483"/>
        <w:jc w:val="center"/>
        <w:rPr>
          <w:rFonts w:ascii="Times New Roman" w:hAnsi="Times New Roman" w:cs="Times New Roman"/>
        </w:rPr>
      </w:pPr>
      <w:r w:rsidRPr="005B5A7B">
        <w:rPr>
          <w:rFonts w:ascii="Times New Roman" w:eastAsia="NSimSun" w:hAnsi="Times New Roman" w:cs="Times New Roman"/>
          <w:kern w:val="2"/>
          <w:lang w:eastAsia="zh-CN" w:bidi="hi-IN"/>
        </w:rPr>
        <w:t xml:space="preserve">EUR Sciences sociales du genre et de la sexualité </w:t>
      </w:r>
    </w:p>
    <w:p w14:paraId="070C27B0" w14:textId="77777777" w:rsidR="005B5A7B" w:rsidRPr="005B5A7B" w:rsidRDefault="005B5A7B" w:rsidP="005B5A7B">
      <w:pPr>
        <w:spacing w:before="4" w:after="0" w:line="276" w:lineRule="auto"/>
        <w:rPr>
          <w:rFonts w:ascii="Times New Roman" w:eastAsia="NSimSun" w:hAnsi="Times New Roman" w:cs="Times New Roman"/>
          <w:kern w:val="2"/>
          <w:sz w:val="27"/>
          <w:lang w:eastAsia="zh-CN" w:bidi="hi-IN"/>
        </w:rPr>
      </w:pPr>
    </w:p>
    <w:p w14:paraId="785B30A0" w14:textId="77777777" w:rsidR="005B5A7B" w:rsidRPr="005B5A7B" w:rsidRDefault="005B5A7B" w:rsidP="005B5A7B">
      <w:pPr>
        <w:spacing w:before="4" w:after="0" w:line="276" w:lineRule="auto"/>
        <w:rPr>
          <w:rFonts w:ascii="Times New Roman" w:eastAsia="NSimSun" w:hAnsi="Times New Roman" w:cs="Times New Roman"/>
          <w:kern w:val="2"/>
          <w:sz w:val="27"/>
          <w:lang w:eastAsia="zh-CN" w:bidi="hi-IN"/>
        </w:rPr>
      </w:pPr>
    </w:p>
    <w:p w14:paraId="5D6551F9" w14:textId="7837B2D2" w:rsidR="005B5A7B" w:rsidRPr="005B5A7B" w:rsidRDefault="005B5A7B" w:rsidP="005B5A7B">
      <w:pPr>
        <w:spacing w:after="140" w:line="276" w:lineRule="auto"/>
        <w:ind w:left="1253" w:right="1480"/>
        <w:jc w:val="center"/>
        <w:rPr>
          <w:rFonts w:ascii="Times New Roman" w:eastAsia="NSimSun" w:hAnsi="Times New Roman" w:cs="Times New Roman"/>
          <w:kern w:val="2"/>
          <w:lang w:eastAsia="zh-CN" w:bidi="hi-IN"/>
        </w:rPr>
      </w:pPr>
      <w:r>
        <w:rPr>
          <w:rFonts w:ascii="Times New Roman" w:eastAsia="NSimSun" w:hAnsi="Times New Roman" w:cs="Times New Roman"/>
          <w:w w:val="105"/>
          <w:kern w:val="2"/>
          <w:lang w:eastAsia="zh-CN" w:bidi="hi-IN"/>
        </w:rPr>
        <w:t>Elisa Lemoine</w:t>
      </w:r>
    </w:p>
    <w:p w14:paraId="1306B45F" w14:textId="4AB25CA0" w:rsidR="005B5A7B" w:rsidRPr="005B5A7B" w:rsidRDefault="005B5A7B" w:rsidP="005B5A7B">
      <w:pPr>
        <w:spacing w:before="141" w:after="0"/>
        <w:ind w:left="1253" w:right="1556"/>
        <w:jc w:val="center"/>
        <w:outlineLvl w:val="1"/>
        <w:rPr>
          <w:rFonts w:ascii="Times New Roman" w:eastAsia="Tahoma" w:hAnsi="Times New Roman" w:cs="Times New Roman"/>
          <w:w w:val="105"/>
          <w:kern w:val="2"/>
          <w:lang w:eastAsia="fr-FR" w:bidi="fr-FR"/>
        </w:rPr>
      </w:pPr>
      <w:r w:rsidRPr="005B5A7B">
        <w:rPr>
          <w:rFonts w:ascii="Times New Roman" w:eastAsia="Tahoma" w:hAnsi="Times New Roman" w:cs="Times New Roman"/>
          <w:w w:val="105"/>
          <w:kern w:val="2"/>
          <w:lang w:eastAsia="fr-FR" w:bidi="fr-FR"/>
        </w:rPr>
        <w:t xml:space="preserve">Sous la direction de </w:t>
      </w:r>
      <w:r>
        <w:rPr>
          <w:rFonts w:ascii="Times New Roman" w:eastAsia="Tahoma" w:hAnsi="Times New Roman" w:cs="Times New Roman"/>
          <w:w w:val="105"/>
          <w:kern w:val="2"/>
          <w:lang w:eastAsia="fr-FR" w:bidi="fr-FR"/>
        </w:rPr>
        <w:t>Mathieu Trachman</w:t>
      </w:r>
    </w:p>
    <w:p w14:paraId="03425E1B" w14:textId="77777777" w:rsidR="005B5A7B" w:rsidRPr="005B5A7B" w:rsidRDefault="005B5A7B" w:rsidP="005B5A7B">
      <w:pPr>
        <w:spacing w:after="140" w:line="276" w:lineRule="auto"/>
        <w:ind w:left="1253" w:right="1483"/>
        <w:jc w:val="center"/>
        <w:rPr>
          <w:rFonts w:ascii="Times New Roman" w:eastAsia="NSimSun" w:hAnsi="Times New Roman" w:cs="Times New Roman"/>
          <w:kern w:val="2"/>
          <w:lang w:eastAsia="zh-CN" w:bidi="hi-IN"/>
        </w:rPr>
      </w:pPr>
    </w:p>
    <w:p w14:paraId="2420F120" w14:textId="0D953E7B" w:rsidR="005B5A7B" w:rsidRPr="005B5A7B" w:rsidRDefault="005B5A7B" w:rsidP="005B5A7B">
      <w:pPr>
        <w:spacing w:after="140" w:line="276" w:lineRule="auto"/>
        <w:ind w:left="1253" w:right="1483"/>
        <w:jc w:val="center"/>
        <w:rPr>
          <w:rFonts w:ascii="Times New Roman" w:eastAsia="NSimSun" w:hAnsi="Times New Roman" w:cs="Times New Roman"/>
          <w:kern w:val="2"/>
          <w:lang w:eastAsia="zh-CN" w:bidi="hi-IN"/>
        </w:rPr>
      </w:pPr>
      <w:r w:rsidRPr="005B5A7B">
        <w:rPr>
          <w:rFonts w:ascii="Times New Roman" w:eastAsia="NSimSun" w:hAnsi="Times New Roman" w:cs="Times New Roman"/>
          <w:kern w:val="2"/>
          <w:lang w:eastAsia="zh-CN" w:bidi="hi-IN"/>
        </w:rPr>
        <w:t xml:space="preserve">Soutenu le </w:t>
      </w:r>
      <w:r>
        <w:rPr>
          <w:rFonts w:ascii="Times New Roman" w:eastAsia="NSimSun" w:hAnsi="Times New Roman" w:cs="Times New Roman"/>
          <w:kern w:val="2"/>
          <w:lang w:eastAsia="zh-CN" w:bidi="hi-IN"/>
        </w:rPr>
        <w:t>07/09/2026</w:t>
      </w:r>
    </w:p>
    <w:p w14:paraId="1ECF1EC3" w14:textId="77777777" w:rsidR="005B5A7B" w:rsidRPr="005B5A7B" w:rsidRDefault="005B5A7B" w:rsidP="005B5A7B">
      <w:pPr>
        <w:spacing w:before="141" w:after="0"/>
        <w:ind w:left="1253" w:right="1556"/>
        <w:jc w:val="center"/>
        <w:outlineLvl w:val="1"/>
        <w:rPr>
          <w:rFonts w:ascii="Times New Roman" w:eastAsia="NSimSun" w:hAnsi="Times New Roman" w:cs="Times New Roman"/>
          <w:kern w:val="2"/>
          <w:lang w:eastAsia="zh-CN" w:bidi="hi-IN"/>
        </w:rPr>
      </w:pPr>
    </w:p>
    <w:p w14:paraId="0ADBE9EC" w14:textId="77777777" w:rsidR="005B5A7B" w:rsidRPr="00B27BBC" w:rsidRDefault="005B5A7B" w:rsidP="00B27BBC">
      <w:pPr>
        <w:spacing w:before="1" w:after="0"/>
        <w:jc w:val="both"/>
        <w:rPr>
          <w:rFonts w:ascii="Times New Roman" w:eastAsia="NSimSun" w:hAnsi="Times New Roman" w:cs="Times New Roman"/>
          <w:kern w:val="2"/>
          <w:lang w:eastAsia="zh-CN" w:bidi="hi-IN"/>
        </w:rPr>
      </w:pPr>
      <w:r w:rsidRPr="00B27BBC">
        <w:rPr>
          <w:rFonts w:ascii="Times New Roman" w:eastAsia="NSimSun" w:hAnsi="Times New Roman" w:cs="Times New Roman"/>
          <w:b/>
          <w:bCs/>
          <w:kern w:val="2"/>
          <w:lang w:eastAsia="zh-CN" w:bidi="hi-IN"/>
        </w:rPr>
        <w:t>Composition du jury :</w:t>
      </w:r>
    </w:p>
    <w:p w14:paraId="31A9B65C" w14:textId="5546FE21" w:rsidR="005B5A7B" w:rsidRPr="00B27BBC" w:rsidRDefault="005B5A7B" w:rsidP="00B27BBC">
      <w:pPr>
        <w:spacing w:before="124" w:after="0"/>
        <w:jc w:val="both"/>
        <w:rPr>
          <w:rFonts w:ascii="Times New Roman" w:eastAsia="NSimSun" w:hAnsi="Times New Roman" w:cs="Times New Roman"/>
          <w:kern w:val="2"/>
          <w:lang w:eastAsia="zh-CN" w:bidi="hi-IN"/>
        </w:rPr>
      </w:pPr>
      <w:r w:rsidRPr="00B27BBC">
        <w:rPr>
          <w:rFonts w:ascii="Times New Roman" w:eastAsia="NSimSun" w:hAnsi="Times New Roman" w:cs="Times New Roman"/>
          <w:w w:val="105"/>
          <w:kern w:val="2"/>
          <w:lang w:eastAsia="zh-CN" w:bidi="hi-IN"/>
        </w:rPr>
        <w:t>Mathieu Trachman</w:t>
      </w:r>
      <w:r w:rsidRPr="00B27BBC">
        <w:rPr>
          <w:rFonts w:ascii="Times New Roman" w:hAnsi="Times New Roman" w:cs="Times New Roman"/>
        </w:rPr>
        <w:t xml:space="preserve">, </w:t>
      </w:r>
      <w:r w:rsidRPr="00B27BBC">
        <w:rPr>
          <w:rFonts w:ascii="Times New Roman" w:eastAsia="NSimSun" w:hAnsi="Times New Roman" w:cs="Times New Roman"/>
          <w:w w:val="105"/>
          <w:kern w:val="2"/>
          <w:lang w:eastAsia="zh-CN" w:bidi="hi-IN"/>
        </w:rPr>
        <w:t xml:space="preserve">Directeur de recherche à l’Institut national d’études démographiques (INED). </w:t>
      </w:r>
    </w:p>
    <w:p w14:paraId="56C5C708" w14:textId="47996971" w:rsidR="005B5A7B" w:rsidRPr="00B27BBC" w:rsidRDefault="00B27BBC" w:rsidP="00B27BBC">
      <w:pPr>
        <w:spacing w:before="120"/>
        <w:jc w:val="both"/>
        <w:rPr>
          <w:rFonts w:ascii="Times New Roman" w:hAnsi="Times New Roman" w:cs="Times New Roman"/>
        </w:rPr>
      </w:pPr>
      <w:r w:rsidRPr="00B27BBC">
        <w:rPr>
          <w:rFonts w:ascii="Times New Roman" w:eastAsia="NSimSun" w:hAnsi="Times New Roman" w:cs="Times New Roman"/>
          <w:kern w:val="2"/>
          <w:lang w:eastAsia="zh-CN" w:bidi="hi-IN"/>
        </w:rPr>
        <w:t>Marie Bergström, Sociologue à l’Institut national d’études démographiques (INED).</w:t>
      </w:r>
    </w:p>
    <w:p w14:paraId="5452CEB4" w14:textId="1BBD273B" w:rsidR="005B5A7B" w:rsidRDefault="005B5A7B" w:rsidP="005B5A7B">
      <w:pPr>
        <w:pStyle w:val="Corpsdetexte"/>
      </w:pPr>
    </w:p>
    <w:p w14:paraId="6C40BF5C" w14:textId="1F29B4A3" w:rsidR="005B5A7B" w:rsidRDefault="00B27BBC" w:rsidP="005B5A7B">
      <w:pPr>
        <w:pStyle w:val="Corpsdetexte"/>
      </w:pPr>
      <w:r>
        <w:lastRenderedPageBreak/>
        <w:t xml:space="preserve">Résumé en français : </w:t>
      </w:r>
    </w:p>
    <w:p w14:paraId="1E0384EB" w14:textId="080EEB97" w:rsidR="00B27BBC" w:rsidRDefault="00B27BBC" w:rsidP="005B5A7B">
      <w:pPr>
        <w:pStyle w:val="Corpsdetexte"/>
      </w:pPr>
    </w:p>
    <w:p w14:paraId="3F70A685" w14:textId="5244B6AD" w:rsidR="00B27BBC" w:rsidRDefault="00B27BBC" w:rsidP="005B5A7B">
      <w:pPr>
        <w:pStyle w:val="Corpsdetexte"/>
      </w:pPr>
      <w:r>
        <w:t xml:space="preserve">Résumé en anglais : </w:t>
      </w:r>
    </w:p>
    <w:p w14:paraId="3120E91C" w14:textId="569B9DFA" w:rsidR="00E2476B" w:rsidRDefault="00E2476B" w:rsidP="005B5A7B">
      <w:pPr>
        <w:pStyle w:val="Corpsdetexte"/>
      </w:pPr>
    </w:p>
    <w:p w14:paraId="2B08729D" w14:textId="7E21AEFF" w:rsidR="00E2476B" w:rsidRDefault="00E2476B" w:rsidP="005B5A7B">
      <w:pPr>
        <w:pStyle w:val="Corpsdetexte"/>
      </w:pPr>
    </w:p>
    <w:p w14:paraId="6D437527" w14:textId="4FF25792" w:rsidR="00E2476B" w:rsidRDefault="00E2476B" w:rsidP="005B5A7B">
      <w:pPr>
        <w:pStyle w:val="Corpsdetexte"/>
      </w:pPr>
    </w:p>
    <w:p w14:paraId="1F16665D" w14:textId="3961CDF6" w:rsidR="00E2476B" w:rsidRDefault="00E2476B" w:rsidP="005B5A7B">
      <w:pPr>
        <w:pStyle w:val="Corpsdetexte"/>
      </w:pPr>
    </w:p>
    <w:p w14:paraId="7827177A" w14:textId="0EBC9D9B" w:rsidR="00E2476B" w:rsidRDefault="00E2476B" w:rsidP="005B5A7B">
      <w:pPr>
        <w:pStyle w:val="Corpsdetexte"/>
      </w:pPr>
    </w:p>
    <w:p w14:paraId="74F70791" w14:textId="43EA31B9" w:rsidR="00E2476B" w:rsidRDefault="00E2476B" w:rsidP="005B5A7B">
      <w:pPr>
        <w:pStyle w:val="Corpsdetexte"/>
      </w:pPr>
    </w:p>
    <w:p w14:paraId="0A825D5A" w14:textId="464402B0" w:rsidR="00E2476B" w:rsidRDefault="00E2476B" w:rsidP="005B5A7B">
      <w:pPr>
        <w:pStyle w:val="Corpsdetexte"/>
      </w:pPr>
    </w:p>
    <w:p w14:paraId="3A27EE3C" w14:textId="28EB3489" w:rsidR="00E2476B" w:rsidRDefault="00E2476B" w:rsidP="005B5A7B">
      <w:pPr>
        <w:pStyle w:val="Corpsdetexte"/>
      </w:pPr>
    </w:p>
    <w:p w14:paraId="624B4336" w14:textId="7C5E477B" w:rsidR="00E2476B" w:rsidRDefault="00E2476B" w:rsidP="005B5A7B">
      <w:pPr>
        <w:pStyle w:val="Corpsdetexte"/>
      </w:pPr>
    </w:p>
    <w:p w14:paraId="47E923DB" w14:textId="5611713B" w:rsidR="00E2476B" w:rsidRDefault="00E2476B" w:rsidP="005B5A7B">
      <w:pPr>
        <w:pStyle w:val="Corpsdetexte"/>
      </w:pPr>
    </w:p>
    <w:p w14:paraId="7631DB1E" w14:textId="71B0034F" w:rsidR="00E2476B" w:rsidRDefault="00E2476B" w:rsidP="005B5A7B">
      <w:pPr>
        <w:pStyle w:val="Corpsdetexte"/>
      </w:pPr>
    </w:p>
    <w:p w14:paraId="087BDFD2" w14:textId="134620FB" w:rsidR="00E2476B" w:rsidRDefault="00E2476B" w:rsidP="005B5A7B">
      <w:pPr>
        <w:pStyle w:val="Corpsdetexte"/>
      </w:pPr>
    </w:p>
    <w:p w14:paraId="046BFEAD" w14:textId="3E15DCE2" w:rsidR="00E2476B" w:rsidRDefault="00E2476B" w:rsidP="005B5A7B">
      <w:pPr>
        <w:pStyle w:val="Corpsdetexte"/>
      </w:pPr>
    </w:p>
    <w:p w14:paraId="67C7A01E" w14:textId="70568CD1" w:rsidR="00E2476B" w:rsidRDefault="00E2476B" w:rsidP="005B5A7B">
      <w:pPr>
        <w:pStyle w:val="Corpsdetexte"/>
      </w:pPr>
    </w:p>
    <w:p w14:paraId="436519AC" w14:textId="1896BD1E" w:rsidR="00E2476B" w:rsidRDefault="00E2476B" w:rsidP="005B5A7B">
      <w:pPr>
        <w:pStyle w:val="Corpsdetexte"/>
      </w:pPr>
    </w:p>
    <w:p w14:paraId="69E1F55F" w14:textId="1C8F36AC" w:rsidR="00E2476B" w:rsidRDefault="00E2476B" w:rsidP="005B5A7B">
      <w:pPr>
        <w:pStyle w:val="Corpsdetexte"/>
      </w:pPr>
    </w:p>
    <w:p w14:paraId="3D31334F" w14:textId="238A3AD6" w:rsidR="00E2476B" w:rsidRDefault="00E2476B" w:rsidP="005B5A7B">
      <w:pPr>
        <w:pStyle w:val="Corpsdetexte"/>
      </w:pPr>
    </w:p>
    <w:p w14:paraId="08FFF51E" w14:textId="5E6B3D6A" w:rsidR="00E2476B" w:rsidRDefault="00E2476B" w:rsidP="005B5A7B">
      <w:pPr>
        <w:pStyle w:val="Corpsdetexte"/>
      </w:pPr>
    </w:p>
    <w:p w14:paraId="531FEA37" w14:textId="0A69309A" w:rsidR="00E2476B" w:rsidRDefault="00E2476B" w:rsidP="005B5A7B">
      <w:pPr>
        <w:pStyle w:val="Corpsdetexte"/>
      </w:pPr>
    </w:p>
    <w:p w14:paraId="007A37A6" w14:textId="5F91A885" w:rsidR="00E2476B" w:rsidRDefault="00E2476B" w:rsidP="005B5A7B">
      <w:pPr>
        <w:pStyle w:val="Corpsdetexte"/>
      </w:pPr>
      <w:r>
        <w:lastRenderedPageBreak/>
        <w:t xml:space="preserve">Remerciements : </w:t>
      </w:r>
    </w:p>
    <w:p w14:paraId="391358F2" w14:textId="3647FCCE" w:rsidR="005B5A7B" w:rsidRDefault="005B5A7B" w:rsidP="005B5A7B">
      <w:pPr>
        <w:pStyle w:val="Corpsdetexte"/>
      </w:pPr>
    </w:p>
    <w:p w14:paraId="02BA29DB" w14:textId="3AE460D2" w:rsidR="005B5A7B" w:rsidRDefault="005B5A7B" w:rsidP="005B5A7B">
      <w:pPr>
        <w:pStyle w:val="Corpsdetexte"/>
      </w:pPr>
    </w:p>
    <w:p w14:paraId="66631CD9" w14:textId="0356A965" w:rsidR="005B5A7B" w:rsidRDefault="005B5A7B" w:rsidP="005B5A7B">
      <w:pPr>
        <w:pStyle w:val="Corpsdetexte"/>
      </w:pPr>
    </w:p>
    <w:p w14:paraId="2EAD4522" w14:textId="48420118" w:rsidR="005B5A7B" w:rsidRDefault="005B5A7B" w:rsidP="005B5A7B">
      <w:pPr>
        <w:pStyle w:val="Corpsdetexte"/>
      </w:pPr>
    </w:p>
    <w:p w14:paraId="2730C418" w14:textId="14DFA669" w:rsidR="005B5A7B" w:rsidRDefault="005B5A7B" w:rsidP="005B5A7B">
      <w:pPr>
        <w:pStyle w:val="Corpsdetexte"/>
      </w:pPr>
    </w:p>
    <w:p w14:paraId="62FFCDE1" w14:textId="0A8A1260" w:rsidR="005B5A7B" w:rsidRDefault="005B5A7B" w:rsidP="005B5A7B">
      <w:pPr>
        <w:pStyle w:val="Corpsdetexte"/>
      </w:pPr>
    </w:p>
    <w:p w14:paraId="6DEF93FC" w14:textId="1B0D23B5" w:rsidR="005B5A7B" w:rsidRDefault="005B5A7B" w:rsidP="005B5A7B">
      <w:pPr>
        <w:pStyle w:val="Corpsdetexte"/>
      </w:pPr>
    </w:p>
    <w:p w14:paraId="621FA5A7" w14:textId="7322DBC5" w:rsidR="005B5A7B" w:rsidRDefault="005B5A7B" w:rsidP="005B5A7B">
      <w:pPr>
        <w:pStyle w:val="Corpsdetexte"/>
      </w:pPr>
    </w:p>
    <w:p w14:paraId="1B56082F" w14:textId="4E84B10A" w:rsidR="005B5A7B" w:rsidRDefault="005B5A7B" w:rsidP="005B5A7B">
      <w:pPr>
        <w:pStyle w:val="Corpsdetexte"/>
      </w:pPr>
    </w:p>
    <w:p w14:paraId="5388AECA" w14:textId="3DA65346" w:rsidR="005B5A7B" w:rsidRDefault="005B5A7B" w:rsidP="005B5A7B">
      <w:pPr>
        <w:pStyle w:val="Corpsdetexte"/>
      </w:pPr>
    </w:p>
    <w:p w14:paraId="30D580BE" w14:textId="71FADC71" w:rsidR="005B5A7B" w:rsidRDefault="005B5A7B" w:rsidP="005B5A7B">
      <w:pPr>
        <w:pStyle w:val="Corpsdetexte"/>
      </w:pPr>
    </w:p>
    <w:p w14:paraId="3FE7CAFE" w14:textId="3A635A80" w:rsidR="00E2476B" w:rsidRDefault="00E2476B" w:rsidP="005B5A7B">
      <w:pPr>
        <w:pStyle w:val="Corpsdetexte"/>
      </w:pPr>
    </w:p>
    <w:p w14:paraId="1093AD61" w14:textId="0C6F23A7" w:rsidR="00E2476B" w:rsidRDefault="00E2476B" w:rsidP="005B5A7B">
      <w:pPr>
        <w:pStyle w:val="Corpsdetexte"/>
      </w:pPr>
    </w:p>
    <w:p w14:paraId="1EB7871A" w14:textId="77777777" w:rsidR="00E2476B" w:rsidRDefault="00E2476B" w:rsidP="005B5A7B">
      <w:pPr>
        <w:pStyle w:val="Corpsdetexte"/>
      </w:pPr>
    </w:p>
    <w:p w14:paraId="113C4872" w14:textId="01C6A43A" w:rsidR="005B5A7B" w:rsidRDefault="005B5A7B" w:rsidP="005B5A7B">
      <w:pPr>
        <w:pStyle w:val="Corpsdetexte"/>
      </w:pPr>
    </w:p>
    <w:p w14:paraId="3C96E5E4" w14:textId="03FE24BD" w:rsidR="00E2476B" w:rsidRDefault="00E2476B" w:rsidP="005B5A7B">
      <w:pPr>
        <w:pStyle w:val="Corpsdetexte"/>
      </w:pPr>
    </w:p>
    <w:p w14:paraId="47D42706" w14:textId="30E9EC25" w:rsidR="00E2476B" w:rsidRDefault="00E2476B" w:rsidP="005B5A7B">
      <w:pPr>
        <w:pStyle w:val="Corpsdetexte"/>
      </w:pPr>
    </w:p>
    <w:p w14:paraId="19150E8D" w14:textId="57DBF929" w:rsidR="00E2476B" w:rsidRDefault="00E2476B" w:rsidP="005B5A7B">
      <w:pPr>
        <w:pStyle w:val="Corpsdetexte"/>
      </w:pPr>
    </w:p>
    <w:p w14:paraId="2CF26DBE" w14:textId="6B68CF50" w:rsidR="00E2476B" w:rsidRDefault="00E2476B" w:rsidP="005B5A7B">
      <w:pPr>
        <w:pStyle w:val="Corpsdetexte"/>
      </w:pPr>
    </w:p>
    <w:p w14:paraId="2EE6203B" w14:textId="77777777" w:rsidR="00E2476B" w:rsidRPr="005B5A7B" w:rsidRDefault="00E2476B" w:rsidP="005B5A7B">
      <w:pPr>
        <w:pStyle w:val="Corpsdetexte"/>
      </w:pPr>
    </w:p>
    <w:sdt>
      <w:sdtPr>
        <w:rPr>
          <w:rFonts w:asciiTheme="minorHAnsi" w:eastAsiaTheme="minorHAnsi" w:hAnsiTheme="minorHAnsi" w:cstheme="minorBidi"/>
          <w:color w:val="auto"/>
          <w:sz w:val="24"/>
          <w:szCs w:val="24"/>
        </w:rPr>
        <w:id w:val="-1496954002"/>
        <w:docPartObj>
          <w:docPartGallery w:val="Table of Contents"/>
          <w:docPartUnique/>
        </w:docPartObj>
      </w:sdtPr>
      <w:sdtEndPr/>
      <w:sdtContent>
        <w:p w14:paraId="7165DC24" w14:textId="77777777" w:rsidR="00473F2D" w:rsidRDefault="00442C6F">
          <w:pPr>
            <w:pStyle w:val="En-ttedetabledesmatires"/>
          </w:pPr>
          <w:r>
            <w:t>Table des matières</w:t>
          </w:r>
        </w:p>
        <w:p w14:paraId="16FFBBAA" w14:textId="00A7918C" w:rsidR="005B5A7B" w:rsidRDefault="00442C6F">
          <w:pPr>
            <w:pStyle w:val="TM1"/>
            <w:rPr>
              <w:rFonts w:eastAsiaTheme="minorEastAsia"/>
              <w:noProof/>
              <w:sz w:val="22"/>
              <w:szCs w:val="22"/>
              <w:lang w:eastAsia="fr-FR"/>
            </w:rPr>
          </w:pPr>
          <w:r>
            <w:fldChar w:fldCharType="begin"/>
          </w:r>
          <w:r>
            <w:rPr>
              <w:rStyle w:val="Sautdindex"/>
              <w:webHidden/>
            </w:rPr>
            <w:instrText xml:space="preserve"> TOC \z \o "1-3" \u \h</w:instrText>
          </w:r>
          <w:r>
            <w:rPr>
              <w:rStyle w:val="Sautdindex"/>
            </w:rPr>
            <w:fldChar w:fldCharType="separate"/>
          </w:r>
          <w:hyperlink w:anchor="_Toc239087479" w:history="1">
            <w:r w:rsidR="005B5A7B" w:rsidRPr="00287FB3">
              <w:rPr>
                <w:rStyle w:val="Lienhypertexte"/>
                <w:noProof/>
              </w:rPr>
              <w:t>Introduction : penser la bisexualité dans un ordre conjugal binaire</w:t>
            </w:r>
            <w:r w:rsidR="005B5A7B">
              <w:rPr>
                <w:noProof/>
                <w:webHidden/>
              </w:rPr>
              <w:tab/>
            </w:r>
            <w:r w:rsidR="005B5A7B">
              <w:rPr>
                <w:noProof/>
                <w:webHidden/>
              </w:rPr>
              <w:fldChar w:fldCharType="begin"/>
            </w:r>
            <w:r w:rsidR="005B5A7B">
              <w:rPr>
                <w:noProof/>
                <w:webHidden/>
              </w:rPr>
              <w:instrText xml:space="preserve"> PAGEREF _Toc239087479 \h </w:instrText>
            </w:r>
            <w:r w:rsidR="005B5A7B">
              <w:rPr>
                <w:noProof/>
                <w:webHidden/>
              </w:rPr>
            </w:r>
            <w:r w:rsidR="005B5A7B">
              <w:rPr>
                <w:noProof/>
                <w:webHidden/>
              </w:rPr>
              <w:fldChar w:fldCharType="separate"/>
            </w:r>
            <w:r w:rsidR="005B5A7B">
              <w:rPr>
                <w:noProof/>
                <w:webHidden/>
              </w:rPr>
              <w:t>2</w:t>
            </w:r>
            <w:r w:rsidR="005B5A7B">
              <w:rPr>
                <w:noProof/>
                <w:webHidden/>
              </w:rPr>
              <w:fldChar w:fldCharType="end"/>
            </w:r>
          </w:hyperlink>
        </w:p>
        <w:p w14:paraId="6BCF3410" w14:textId="3EA4C7AA" w:rsidR="005B5A7B" w:rsidRDefault="00A0279A">
          <w:pPr>
            <w:pStyle w:val="TM2"/>
            <w:rPr>
              <w:rFonts w:asciiTheme="minorHAnsi" w:eastAsiaTheme="minorEastAsia" w:hAnsiTheme="minorHAnsi" w:cstheme="minorBidi"/>
              <w:noProof/>
              <w:sz w:val="22"/>
              <w:szCs w:val="22"/>
              <w:lang w:eastAsia="fr-FR"/>
            </w:rPr>
          </w:pPr>
          <w:hyperlink w:anchor="_Toc239087480" w:history="1">
            <w:r w:rsidR="005B5A7B" w:rsidRPr="00287FB3">
              <w:rPr>
                <w:rStyle w:val="Lienhypertexte"/>
                <w:noProof/>
              </w:rPr>
              <w:t>1. La diversification de l’ordre conjugal hétérosexuel</w:t>
            </w:r>
            <w:r w:rsidR="005B5A7B">
              <w:rPr>
                <w:noProof/>
                <w:webHidden/>
              </w:rPr>
              <w:tab/>
            </w:r>
            <w:r w:rsidR="005B5A7B">
              <w:rPr>
                <w:noProof/>
                <w:webHidden/>
              </w:rPr>
              <w:fldChar w:fldCharType="begin"/>
            </w:r>
            <w:r w:rsidR="005B5A7B">
              <w:rPr>
                <w:noProof/>
                <w:webHidden/>
              </w:rPr>
              <w:instrText xml:space="preserve"> PAGEREF _Toc239087480 \h </w:instrText>
            </w:r>
            <w:r w:rsidR="005B5A7B">
              <w:rPr>
                <w:noProof/>
                <w:webHidden/>
              </w:rPr>
            </w:r>
            <w:r w:rsidR="005B5A7B">
              <w:rPr>
                <w:noProof/>
                <w:webHidden/>
              </w:rPr>
              <w:fldChar w:fldCharType="separate"/>
            </w:r>
            <w:r w:rsidR="005B5A7B">
              <w:rPr>
                <w:noProof/>
                <w:webHidden/>
              </w:rPr>
              <w:t>3</w:t>
            </w:r>
            <w:r w:rsidR="005B5A7B">
              <w:rPr>
                <w:noProof/>
                <w:webHidden/>
              </w:rPr>
              <w:fldChar w:fldCharType="end"/>
            </w:r>
          </w:hyperlink>
        </w:p>
        <w:p w14:paraId="070D295A" w14:textId="15DFCDC6" w:rsidR="005B5A7B" w:rsidRDefault="00A0279A">
          <w:pPr>
            <w:pStyle w:val="TM2"/>
            <w:rPr>
              <w:rFonts w:asciiTheme="minorHAnsi" w:eastAsiaTheme="minorEastAsia" w:hAnsiTheme="minorHAnsi" w:cstheme="minorBidi"/>
              <w:noProof/>
              <w:sz w:val="22"/>
              <w:szCs w:val="22"/>
              <w:lang w:eastAsia="fr-FR"/>
            </w:rPr>
          </w:pPr>
          <w:hyperlink w:anchor="_Toc239087481" w:history="1">
            <w:r w:rsidR="005B5A7B" w:rsidRPr="00287FB3">
              <w:rPr>
                <w:rStyle w:val="Lienhypertexte"/>
                <w:noProof/>
              </w:rPr>
              <w:t>2. La bisexualité : une identification qui déborde du couple</w:t>
            </w:r>
            <w:r w:rsidR="005B5A7B">
              <w:rPr>
                <w:noProof/>
                <w:webHidden/>
              </w:rPr>
              <w:tab/>
            </w:r>
            <w:r w:rsidR="005B5A7B">
              <w:rPr>
                <w:noProof/>
                <w:webHidden/>
              </w:rPr>
              <w:fldChar w:fldCharType="begin"/>
            </w:r>
            <w:r w:rsidR="005B5A7B">
              <w:rPr>
                <w:noProof/>
                <w:webHidden/>
              </w:rPr>
              <w:instrText xml:space="preserve"> PAGEREF _Toc239087481 \h </w:instrText>
            </w:r>
            <w:r w:rsidR="005B5A7B">
              <w:rPr>
                <w:noProof/>
                <w:webHidden/>
              </w:rPr>
            </w:r>
            <w:r w:rsidR="005B5A7B">
              <w:rPr>
                <w:noProof/>
                <w:webHidden/>
              </w:rPr>
              <w:fldChar w:fldCharType="separate"/>
            </w:r>
            <w:r w:rsidR="005B5A7B">
              <w:rPr>
                <w:noProof/>
                <w:webHidden/>
              </w:rPr>
              <w:t>6</w:t>
            </w:r>
            <w:r w:rsidR="005B5A7B">
              <w:rPr>
                <w:noProof/>
                <w:webHidden/>
              </w:rPr>
              <w:fldChar w:fldCharType="end"/>
            </w:r>
          </w:hyperlink>
        </w:p>
        <w:p w14:paraId="1EF80597" w14:textId="20FE1DE1" w:rsidR="005B5A7B" w:rsidRDefault="00A0279A">
          <w:pPr>
            <w:pStyle w:val="TM2"/>
            <w:rPr>
              <w:rFonts w:asciiTheme="minorHAnsi" w:eastAsiaTheme="minorEastAsia" w:hAnsiTheme="minorHAnsi" w:cstheme="minorBidi"/>
              <w:noProof/>
              <w:sz w:val="22"/>
              <w:szCs w:val="22"/>
              <w:lang w:eastAsia="fr-FR"/>
            </w:rPr>
          </w:pPr>
          <w:hyperlink w:anchor="_Toc239087482" w:history="1">
            <w:r w:rsidR="005B5A7B" w:rsidRPr="00287FB3">
              <w:rPr>
                <w:rStyle w:val="Lienhypertexte"/>
                <w:noProof/>
              </w:rPr>
              <w:t>3. Ce que la littérature permet d’attendre d’une analyse des conjugalités bisexuelles</w:t>
            </w:r>
            <w:r w:rsidR="005B5A7B">
              <w:rPr>
                <w:noProof/>
                <w:webHidden/>
              </w:rPr>
              <w:tab/>
            </w:r>
            <w:r w:rsidR="005B5A7B">
              <w:rPr>
                <w:noProof/>
                <w:webHidden/>
              </w:rPr>
              <w:fldChar w:fldCharType="begin"/>
            </w:r>
            <w:r w:rsidR="005B5A7B">
              <w:rPr>
                <w:noProof/>
                <w:webHidden/>
              </w:rPr>
              <w:instrText xml:space="preserve"> PAGEREF _Toc239087482 \h </w:instrText>
            </w:r>
            <w:r w:rsidR="005B5A7B">
              <w:rPr>
                <w:noProof/>
                <w:webHidden/>
              </w:rPr>
            </w:r>
            <w:r w:rsidR="005B5A7B">
              <w:rPr>
                <w:noProof/>
                <w:webHidden/>
              </w:rPr>
              <w:fldChar w:fldCharType="separate"/>
            </w:r>
            <w:r w:rsidR="005B5A7B">
              <w:rPr>
                <w:noProof/>
                <w:webHidden/>
              </w:rPr>
              <w:t>9</w:t>
            </w:r>
            <w:r w:rsidR="005B5A7B">
              <w:rPr>
                <w:noProof/>
                <w:webHidden/>
              </w:rPr>
              <w:fldChar w:fldCharType="end"/>
            </w:r>
          </w:hyperlink>
        </w:p>
        <w:p w14:paraId="2BFB258F" w14:textId="6194C860" w:rsidR="005B5A7B" w:rsidRDefault="00A0279A">
          <w:pPr>
            <w:pStyle w:val="TM3"/>
            <w:rPr>
              <w:rFonts w:asciiTheme="minorHAnsi" w:eastAsiaTheme="minorEastAsia" w:hAnsiTheme="minorHAnsi" w:cstheme="minorBidi"/>
              <w:noProof/>
              <w:sz w:val="22"/>
              <w:szCs w:val="22"/>
              <w:lang w:eastAsia="fr-FR"/>
            </w:rPr>
          </w:pPr>
          <w:hyperlink w:anchor="_Toc239087483" w:history="1">
            <w:r w:rsidR="005B5A7B" w:rsidRPr="00287FB3">
              <w:rPr>
                <w:rStyle w:val="Lienhypertexte"/>
                <w:noProof/>
              </w:rPr>
              <w:t>3.1. Des formes conjugales encore mal connues</w:t>
            </w:r>
            <w:r w:rsidR="005B5A7B">
              <w:rPr>
                <w:noProof/>
                <w:webHidden/>
              </w:rPr>
              <w:tab/>
            </w:r>
            <w:r w:rsidR="005B5A7B">
              <w:rPr>
                <w:noProof/>
                <w:webHidden/>
              </w:rPr>
              <w:fldChar w:fldCharType="begin"/>
            </w:r>
            <w:r w:rsidR="005B5A7B">
              <w:rPr>
                <w:noProof/>
                <w:webHidden/>
              </w:rPr>
              <w:instrText xml:space="preserve"> PAGEREF _Toc239087483 \h </w:instrText>
            </w:r>
            <w:r w:rsidR="005B5A7B">
              <w:rPr>
                <w:noProof/>
                <w:webHidden/>
              </w:rPr>
            </w:r>
            <w:r w:rsidR="005B5A7B">
              <w:rPr>
                <w:noProof/>
                <w:webHidden/>
              </w:rPr>
              <w:fldChar w:fldCharType="separate"/>
            </w:r>
            <w:r w:rsidR="005B5A7B">
              <w:rPr>
                <w:noProof/>
                <w:webHidden/>
              </w:rPr>
              <w:t>9</w:t>
            </w:r>
            <w:r w:rsidR="005B5A7B">
              <w:rPr>
                <w:noProof/>
                <w:webHidden/>
              </w:rPr>
              <w:fldChar w:fldCharType="end"/>
            </w:r>
          </w:hyperlink>
        </w:p>
        <w:p w14:paraId="5CDC9F29" w14:textId="3C5843A6" w:rsidR="005B5A7B" w:rsidRDefault="00A0279A">
          <w:pPr>
            <w:pStyle w:val="TM3"/>
            <w:rPr>
              <w:rFonts w:asciiTheme="minorHAnsi" w:eastAsiaTheme="minorEastAsia" w:hAnsiTheme="minorHAnsi" w:cstheme="minorBidi"/>
              <w:noProof/>
              <w:sz w:val="22"/>
              <w:szCs w:val="22"/>
              <w:lang w:eastAsia="fr-FR"/>
            </w:rPr>
          </w:pPr>
          <w:hyperlink w:anchor="_Toc239087484" w:history="1">
            <w:r w:rsidR="005B5A7B" w:rsidRPr="00287FB3">
              <w:rPr>
                <w:rStyle w:val="Lienhypertexte"/>
                <w:noProof/>
              </w:rPr>
              <w:t>3.2. Exclusivité, pluralité des attirances et représentations de l’amour</w:t>
            </w:r>
            <w:r w:rsidR="005B5A7B">
              <w:rPr>
                <w:noProof/>
                <w:webHidden/>
              </w:rPr>
              <w:tab/>
            </w:r>
            <w:r w:rsidR="005B5A7B">
              <w:rPr>
                <w:noProof/>
                <w:webHidden/>
              </w:rPr>
              <w:fldChar w:fldCharType="begin"/>
            </w:r>
            <w:r w:rsidR="005B5A7B">
              <w:rPr>
                <w:noProof/>
                <w:webHidden/>
              </w:rPr>
              <w:instrText xml:space="preserve"> PAGEREF _Toc239087484 \h </w:instrText>
            </w:r>
            <w:r w:rsidR="005B5A7B">
              <w:rPr>
                <w:noProof/>
                <w:webHidden/>
              </w:rPr>
            </w:r>
            <w:r w:rsidR="005B5A7B">
              <w:rPr>
                <w:noProof/>
                <w:webHidden/>
              </w:rPr>
              <w:fldChar w:fldCharType="separate"/>
            </w:r>
            <w:r w:rsidR="005B5A7B">
              <w:rPr>
                <w:noProof/>
                <w:webHidden/>
              </w:rPr>
              <w:t>10</w:t>
            </w:r>
            <w:r w:rsidR="005B5A7B">
              <w:rPr>
                <w:noProof/>
                <w:webHidden/>
              </w:rPr>
              <w:fldChar w:fldCharType="end"/>
            </w:r>
          </w:hyperlink>
        </w:p>
        <w:p w14:paraId="16D2DB49" w14:textId="3DA3D232" w:rsidR="005B5A7B" w:rsidRDefault="00A0279A">
          <w:pPr>
            <w:pStyle w:val="TM3"/>
            <w:rPr>
              <w:rFonts w:asciiTheme="minorHAnsi" w:eastAsiaTheme="minorEastAsia" w:hAnsiTheme="minorHAnsi" w:cstheme="minorBidi"/>
              <w:noProof/>
              <w:sz w:val="22"/>
              <w:szCs w:val="22"/>
              <w:lang w:eastAsia="fr-FR"/>
            </w:rPr>
          </w:pPr>
          <w:hyperlink w:anchor="_Toc239087485" w:history="1">
            <w:r w:rsidR="005B5A7B" w:rsidRPr="00287FB3">
              <w:rPr>
                <w:rStyle w:val="Lienhypertexte"/>
                <w:noProof/>
              </w:rPr>
              <w:t>3.3. Invisibilisation, biphobie et violences au sein du couple</w:t>
            </w:r>
            <w:r w:rsidR="005B5A7B">
              <w:rPr>
                <w:noProof/>
                <w:webHidden/>
              </w:rPr>
              <w:tab/>
            </w:r>
            <w:r w:rsidR="005B5A7B">
              <w:rPr>
                <w:noProof/>
                <w:webHidden/>
              </w:rPr>
              <w:fldChar w:fldCharType="begin"/>
            </w:r>
            <w:r w:rsidR="005B5A7B">
              <w:rPr>
                <w:noProof/>
                <w:webHidden/>
              </w:rPr>
              <w:instrText xml:space="preserve"> PAGEREF _Toc239087485 \h </w:instrText>
            </w:r>
            <w:r w:rsidR="005B5A7B">
              <w:rPr>
                <w:noProof/>
                <w:webHidden/>
              </w:rPr>
            </w:r>
            <w:r w:rsidR="005B5A7B">
              <w:rPr>
                <w:noProof/>
                <w:webHidden/>
              </w:rPr>
              <w:fldChar w:fldCharType="separate"/>
            </w:r>
            <w:r w:rsidR="005B5A7B">
              <w:rPr>
                <w:noProof/>
                <w:webHidden/>
              </w:rPr>
              <w:t>11</w:t>
            </w:r>
            <w:r w:rsidR="005B5A7B">
              <w:rPr>
                <w:noProof/>
                <w:webHidden/>
              </w:rPr>
              <w:fldChar w:fldCharType="end"/>
            </w:r>
          </w:hyperlink>
        </w:p>
        <w:p w14:paraId="32334EDF" w14:textId="4F52BFF5" w:rsidR="005B5A7B" w:rsidRDefault="00A0279A">
          <w:pPr>
            <w:pStyle w:val="TM2"/>
            <w:rPr>
              <w:rFonts w:asciiTheme="minorHAnsi" w:eastAsiaTheme="minorEastAsia" w:hAnsiTheme="minorHAnsi" w:cstheme="minorBidi"/>
              <w:noProof/>
              <w:sz w:val="22"/>
              <w:szCs w:val="22"/>
              <w:lang w:eastAsia="fr-FR"/>
            </w:rPr>
          </w:pPr>
          <w:hyperlink w:anchor="_Toc239087486" w:history="1">
            <w:r w:rsidR="005B5A7B" w:rsidRPr="00287FB3">
              <w:rPr>
                <w:rStyle w:val="Lienhypertexte"/>
                <w:noProof/>
              </w:rPr>
              <w:t>4. Ce que la bisexualité fait au couple</w:t>
            </w:r>
            <w:r w:rsidR="005B5A7B">
              <w:rPr>
                <w:noProof/>
                <w:webHidden/>
              </w:rPr>
              <w:tab/>
            </w:r>
            <w:r w:rsidR="005B5A7B">
              <w:rPr>
                <w:noProof/>
                <w:webHidden/>
              </w:rPr>
              <w:fldChar w:fldCharType="begin"/>
            </w:r>
            <w:r w:rsidR="005B5A7B">
              <w:rPr>
                <w:noProof/>
                <w:webHidden/>
              </w:rPr>
              <w:instrText xml:space="preserve"> PAGEREF _Toc239087486 \h </w:instrText>
            </w:r>
            <w:r w:rsidR="005B5A7B">
              <w:rPr>
                <w:noProof/>
                <w:webHidden/>
              </w:rPr>
            </w:r>
            <w:r w:rsidR="005B5A7B">
              <w:rPr>
                <w:noProof/>
                <w:webHidden/>
              </w:rPr>
              <w:fldChar w:fldCharType="separate"/>
            </w:r>
            <w:r w:rsidR="005B5A7B">
              <w:rPr>
                <w:noProof/>
                <w:webHidden/>
              </w:rPr>
              <w:t>13</w:t>
            </w:r>
            <w:r w:rsidR="005B5A7B">
              <w:rPr>
                <w:noProof/>
                <w:webHidden/>
              </w:rPr>
              <w:fldChar w:fldCharType="end"/>
            </w:r>
          </w:hyperlink>
        </w:p>
        <w:p w14:paraId="75658232" w14:textId="4267319D" w:rsidR="005B5A7B" w:rsidRDefault="00A0279A">
          <w:pPr>
            <w:pStyle w:val="TM1"/>
            <w:rPr>
              <w:rFonts w:eastAsiaTheme="minorEastAsia"/>
              <w:noProof/>
              <w:sz w:val="22"/>
              <w:szCs w:val="22"/>
              <w:lang w:eastAsia="fr-FR"/>
            </w:rPr>
          </w:pPr>
          <w:hyperlink w:anchor="_Toc239087487" w:history="1">
            <w:r w:rsidR="005B5A7B" w:rsidRPr="00287FB3">
              <w:rPr>
                <w:rStyle w:val="Lienhypertexte"/>
                <w:noProof/>
              </w:rPr>
              <w:t>Données et méthode : construire statistiquement les conjugalités bisexuelles</w:t>
            </w:r>
            <w:r w:rsidR="005B5A7B">
              <w:rPr>
                <w:noProof/>
                <w:webHidden/>
              </w:rPr>
              <w:tab/>
            </w:r>
            <w:r w:rsidR="005B5A7B">
              <w:rPr>
                <w:noProof/>
                <w:webHidden/>
              </w:rPr>
              <w:fldChar w:fldCharType="begin"/>
            </w:r>
            <w:r w:rsidR="005B5A7B">
              <w:rPr>
                <w:noProof/>
                <w:webHidden/>
              </w:rPr>
              <w:instrText xml:space="preserve"> PAGEREF _Toc239087487 \h </w:instrText>
            </w:r>
            <w:r w:rsidR="005B5A7B">
              <w:rPr>
                <w:noProof/>
                <w:webHidden/>
              </w:rPr>
            </w:r>
            <w:r w:rsidR="005B5A7B">
              <w:rPr>
                <w:noProof/>
                <w:webHidden/>
              </w:rPr>
              <w:fldChar w:fldCharType="separate"/>
            </w:r>
            <w:r w:rsidR="005B5A7B">
              <w:rPr>
                <w:noProof/>
                <w:webHidden/>
              </w:rPr>
              <w:t>15</w:t>
            </w:r>
            <w:r w:rsidR="005B5A7B">
              <w:rPr>
                <w:noProof/>
                <w:webHidden/>
              </w:rPr>
              <w:fldChar w:fldCharType="end"/>
            </w:r>
          </w:hyperlink>
        </w:p>
        <w:p w14:paraId="5240B96A" w14:textId="248A0F84" w:rsidR="005B5A7B" w:rsidRDefault="00A0279A">
          <w:pPr>
            <w:pStyle w:val="TM2"/>
            <w:rPr>
              <w:rFonts w:asciiTheme="minorHAnsi" w:eastAsiaTheme="minorEastAsia" w:hAnsiTheme="minorHAnsi" w:cstheme="minorBidi"/>
              <w:noProof/>
              <w:sz w:val="22"/>
              <w:szCs w:val="22"/>
              <w:lang w:eastAsia="fr-FR"/>
            </w:rPr>
          </w:pPr>
          <w:hyperlink w:anchor="_Toc239087488" w:history="1">
            <w:r w:rsidR="005B5A7B" w:rsidRPr="00287FB3">
              <w:rPr>
                <w:rStyle w:val="Lienhypertexte"/>
                <w:noProof/>
              </w:rPr>
              <w:t>1. L’enquête Virage : une enquête sur les violences mobilisée pour étudier la conjugalité</w:t>
            </w:r>
            <w:r w:rsidR="005B5A7B">
              <w:rPr>
                <w:noProof/>
                <w:webHidden/>
              </w:rPr>
              <w:tab/>
            </w:r>
            <w:r w:rsidR="005B5A7B">
              <w:rPr>
                <w:noProof/>
                <w:webHidden/>
              </w:rPr>
              <w:fldChar w:fldCharType="begin"/>
            </w:r>
            <w:r w:rsidR="005B5A7B">
              <w:rPr>
                <w:noProof/>
                <w:webHidden/>
              </w:rPr>
              <w:instrText xml:space="preserve"> PAGEREF _Toc239087488 \h </w:instrText>
            </w:r>
            <w:r w:rsidR="005B5A7B">
              <w:rPr>
                <w:noProof/>
                <w:webHidden/>
              </w:rPr>
            </w:r>
            <w:r w:rsidR="005B5A7B">
              <w:rPr>
                <w:noProof/>
                <w:webHidden/>
              </w:rPr>
              <w:fldChar w:fldCharType="separate"/>
            </w:r>
            <w:r w:rsidR="005B5A7B">
              <w:rPr>
                <w:noProof/>
                <w:webHidden/>
              </w:rPr>
              <w:t>15</w:t>
            </w:r>
            <w:r w:rsidR="005B5A7B">
              <w:rPr>
                <w:noProof/>
                <w:webHidden/>
              </w:rPr>
              <w:fldChar w:fldCharType="end"/>
            </w:r>
          </w:hyperlink>
        </w:p>
        <w:p w14:paraId="1815FE16" w14:textId="502E5666" w:rsidR="005B5A7B" w:rsidRDefault="00A0279A">
          <w:pPr>
            <w:pStyle w:val="TM2"/>
            <w:rPr>
              <w:rFonts w:asciiTheme="minorHAnsi" w:eastAsiaTheme="minorEastAsia" w:hAnsiTheme="minorHAnsi" w:cstheme="minorBidi"/>
              <w:noProof/>
              <w:sz w:val="22"/>
              <w:szCs w:val="22"/>
              <w:lang w:eastAsia="fr-FR"/>
            </w:rPr>
          </w:pPr>
          <w:hyperlink w:anchor="_Toc239087489" w:history="1">
            <w:r w:rsidR="005B5A7B" w:rsidRPr="00287FB3">
              <w:rPr>
                <w:rStyle w:val="Lienhypertexte"/>
                <w:noProof/>
              </w:rPr>
              <w:t>2. Deux dispositifs de collecte, deux fractions de la population bisexuelle observées</w:t>
            </w:r>
            <w:r w:rsidR="005B5A7B">
              <w:rPr>
                <w:noProof/>
                <w:webHidden/>
              </w:rPr>
              <w:tab/>
            </w:r>
            <w:r w:rsidR="005B5A7B">
              <w:rPr>
                <w:noProof/>
                <w:webHidden/>
              </w:rPr>
              <w:fldChar w:fldCharType="begin"/>
            </w:r>
            <w:r w:rsidR="005B5A7B">
              <w:rPr>
                <w:noProof/>
                <w:webHidden/>
              </w:rPr>
              <w:instrText xml:space="preserve"> PAGEREF _Toc239087489 \h </w:instrText>
            </w:r>
            <w:r w:rsidR="005B5A7B">
              <w:rPr>
                <w:noProof/>
                <w:webHidden/>
              </w:rPr>
            </w:r>
            <w:r w:rsidR="005B5A7B">
              <w:rPr>
                <w:noProof/>
                <w:webHidden/>
              </w:rPr>
              <w:fldChar w:fldCharType="separate"/>
            </w:r>
            <w:r w:rsidR="005B5A7B">
              <w:rPr>
                <w:noProof/>
                <w:webHidden/>
              </w:rPr>
              <w:t>16</w:t>
            </w:r>
            <w:r w:rsidR="005B5A7B">
              <w:rPr>
                <w:noProof/>
                <w:webHidden/>
              </w:rPr>
              <w:fldChar w:fldCharType="end"/>
            </w:r>
          </w:hyperlink>
        </w:p>
        <w:p w14:paraId="1EC15F05" w14:textId="7CE744A2" w:rsidR="005B5A7B" w:rsidRDefault="00A0279A">
          <w:pPr>
            <w:pStyle w:val="TM2"/>
            <w:rPr>
              <w:rFonts w:asciiTheme="minorHAnsi" w:eastAsiaTheme="minorEastAsia" w:hAnsiTheme="minorHAnsi" w:cstheme="minorBidi"/>
              <w:noProof/>
              <w:sz w:val="22"/>
              <w:szCs w:val="22"/>
              <w:lang w:eastAsia="fr-FR"/>
            </w:rPr>
          </w:pPr>
          <w:hyperlink w:anchor="_Toc239087490" w:history="1">
            <w:r w:rsidR="005B5A7B" w:rsidRPr="00287FB3">
              <w:rPr>
                <w:rStyle w:val="Lienhypertexte"/>
                <w:noProof/>
              </w:rPr>
              <w:t>3. Construire les groupes comparés</w:t>
            </w:r>
            <w:r w:rsidR="005B5A7B">
              <w:rPr>
                <w:noProof/>
                <w:webHidden/>
              </w:rPr>
              <w:tab/>
            </w:r>
            <w:r w:rsidR="005B5A7B">
              <w:rPr>
                <w:noProof/>
                <w:webHidden/>
              </w:rPr>
              <w:fldChar w:fldCharType="begin"/>
            </w:r>
            <w:r w:rsidR="005B5A7B">
              <w:rPr>
                <w:noProof/>
                <w:webHidden/>
              </w:rPr>
              <w:instrText xml:space="preserve"> PAGEREF _Toc239087490 \h </w:instrText>
            </w:r>
            <w:r w:rsidR="005B5A7B">
              <w:rPr>
                <w:noProof/>
                <w:webHidden/>
              </w:rPr>
            </w:r>
            <w:r w:rsidR="005B5A7B">
              <w:rPr>
                <w:noProof/>
                <w:webHidden/>
              </w:rPr>
              <w:fldChar w:fldCharType="separate"/>
            </w:r>
            <w:r w:rsidR="005B5A7B">
              <w:rPr>
                <w:noProof/>
                <w:webHidden/>
              </w:rPr>
              <w:t>17</w:t>
            </w:r>
            <w:r w:rsidR="005B5A7B">
              <w:rPr>
                <w:noProof/>
                <w:webHidden/>
              </w:rPr>
              <w:fldChar w:fldCharType="end"/>
            </w:r>
          </w:hyperlink>
        </w:p>
        <w:p w14:paraId="7B67122A" w14:textId="52506F2D" w:rsidR="005B5A7B" w:rsidRDefault="00A0279A">
          <w:pPr>
            <w:pStyle w:val="TM3"/>
            <w:rPr>
              <w:rFonts w:asciiTheme="minorHAnsi" w:eastAsiaTheme="minorEastAsia" w:hAnsiTheme="minorHAnsi" w:cstheme="minorBidi"/>
              <w:noProof/>
              <w:sz w:val="22"/>
              <w:szCs w:val="22"/>
              <w:lang w:eastAsia="fr-FR"/>
            </w:rPr>
          </w:pPr>
          <w:hyperlink w:anchor="_Toc239087491" w:history="1">
            <w:r w:rsidR="005B5A7B" w:rsidRPr="00287FB3">
              <w:rPr>
                <w:rStyle w:val="Lienhypertexte"/>
                <w:noProof/>
              </w:rPr>
              <w:t>3.1. L’identification sexuelle comme critère principal</w:t>
            </w:r>
            <w:r w:rsidR="005B5A7B">
              <w:rPr>
                <w:noProof/>
                <w:webHidden/>
              </w:rPr>
              <w:tab/>
            </w:r>
            <w:r w:rsidR="005B5A7B">
              <w:rPr>
                <w:noProof/>
                <w:webHidden/>
              </w:rPr>
              <w:fldChar w:fldCharType="begin"/>
            </w:r>
            <w:r w:rsidR="005B5A7B">
              <w:rPr>
                <w:noProof/>
                <w:webHidden/>
              </w:rPr>
              <w:instrText xml:space="preserve"> PAGEREF _Toc239087491 \h </w:instrText>
            </w:r>
            <w:r w:rsidR="005B5A7B">
              <w:rPr>
                <w:noProof/>
                <w:webHidden/>
              </w:rPr>
            </w:r>
            <w:r w:rsidR="005B5A7B">
              <w:rPr>
                <w:noProof/>
                <w:webHidden/>
              </w:rPr>
              <w:fldChar w:fldCharType="separate"/>
            </w:r>
            <w:r w:rsidR="005B5A7B">
              <w:rPr>
                <w:noProof/>
                <w:webHidden/>
              </w:rPr>
              <w:t>17</w:t>
            </w:r>
            <w:r w:rsidR="005B5A7B">
              <w:rPr>
                <w:noProof/>
                <w:webHidden/>
              </w:rPr>
              <w:fldChar w:fldCharType="end"/>
            </w:r>
          </w:hyperlink>
        </w:p>
        <w:p w14:paraId="3C30BCCF" w14:textId="7DFDA9D9" w:rsidR="005B5A7B" w:rsidRDefault="00A0279A">
          <w:pPr>
            <w:pStyle w:val="TM3"/>
            <w:rPr>
              <w:rFonts w:asciiTheme="minorHAnsi" w:eastAsiaTheme="minorEastAsia" w:hAnsiTheme="minorHAnsi" w:cstheme="minorBidi"/>
              <w:noProof/>
              <w:sz w:val="22"/>
              <w:szCs w:val="22"/>
              <w:lang w:eastAsia="fr-FR"/>
            </w:rPr>
          </w:pPr>
          <w:hyperlink w:anchor="_Toc239087492" w:history="1">
            <w:r w:rsidR="005B5A7B" w:rsidRPr="00287FB3">
              <w:rPr>
                <w:rStyle w:val="Lienhypertexte"/>
                <w:noProof/>
              </w:rPr>
              <w:t>3.2. Une asymétrie de mesure : la présomption d’hétérosexualité</w:t>
            </w:r>
            <w:r w:rsidR="005B5A7B">
              <w:rPr>
                <w:noProof/>
                <w:webHidden/>
              </w:rPr>
              <w:tab/>
            </w:r>
            <w:r w:rsidR="005B5A7B">
              <w:rPr>
                <w:noProof/>
                <w:webHidden/>
              </w:rPr>
              <w:fldChar w:fldCharType="begin"/>
            </w:r>
            <w:r w:rsidR="005B5A7B">
              <w:rPr>
                <w:noProof/>
                <w:webHidden/>
              </w:rPr>
              <w:instrText xml:space="preserve"> PAGEREF _Toc239087492 \h </w:instrText>
            </w:r>
            <w:r w:rsidR="005B5A7B">
              <w:rPr>
                <w:noProof/>
                <w:webHidden/>
              </w:rPr>
            </w:r>
            <w:r w:rsidR="005B5A7B">
              <w:rPr>
                <w:noProof/>
                <w:webHidden/>
              </w:rPr>
              <w:fldChar w:fldCharType="separate"/>
            </w:r>
            <w:r w:rsidR="005B5A7B">
              <w:rPr>
                <w:noProof/>
                <w:webHidden/>
              </w:rPr>
              <w:t>18</w:t>
            </w:r>
            <w:r w:rsidR="005B5A7B">
              <w:rPr>
                <w:noProof/>
                <w:webHidden/>
              </w:rPr>
              <w:fldChar w:fldCharType="end"/>
            </w:r>
          </w:hyperlink>
        </w:p>
        <w:p w14:paraId="34C82C3D" w14:textId="653398D9" w:rsidR="005B5A7B" w:rsidRDefault="00A0279A">
          <w:pPr>
            <w:pStyle w:val="TM3"/>
            <w:rPr>
              <w:rFonts w:asciiTheme="minorHAnsi" w:eastAsiaTheme="minorEastAsia" w:hAnsiTheme="minorHAnsi" w:cstheme="minorBidi"/>
              <w:noProof/>
              <w:sz w:val="22"/>
              <w:szCs w:val="22"/>
              <w:lang w:eastAsia="fr-FR"/>
            </w:rPr>
          </w:pPr>
          <w:hyperlink w:anchor="_Toc239087493" w:history="1">
            <w:r w:rsidR="005B5A7B" w:rsidRPr="00287FB3">
              <w:rPr>
                <w:rStyle w:val="Lienhypertexte"/>
                <w:noProof/>
              </w:rPr>
              <w:t>3.3. Sexe, genre et limites de l’analyse des personnes trans</w:t>
            </w:r>
            <w:r w:rsidR="005B5A7B">
              <w:rPr>
                <w:noProof/>
                <w:webHidden/>
              </w:rPr>
              <w:tab/>
            </w:r>
            <w:r w:rsidR="005B5A7B">
              <w:rPr>
                <w:noProof/>
                <w:webHidden/>
              </w:rPr>
              <w:fldChar w:fldCharType="begin"/>
            </w:r>
            <w:r w:rsidR="005B5A7B">
              <w:rPr>
                <w:noProof/>
                <w:webHidden/>
              </w:rPr>
              <w:instrText xml:space="preserve"> PAGEREF _Toc239087493 \h </w:instrText>
            </w:r>
            <w:r w:rsidR="005B5A7B">
              <w:rPr>
                <w:noProof/>
                <w:webHidden/>
              </w:rPr>
            </w:r>
            <w:r w:rsidR="005B5A7B">
              <w:rPr>
                <w:noProof/>
                <w:webHidden/>
              </w:rPr>
              <w:fldChar w:fldCharType="separate"/>
            </w:r>
            <w:r w:rsidR="005B5A7B">
              <w:rPr>
                <w:noProof/>
                <w:webHidden/>
              </w:rPr>
              <w:t>20</w:t>
            </w:r>
            <w:r w:rsidR="005B5A7B">
              <w:rPr>
                <w:noProof/>
                <w:webHidden/>
              </w:rPr>
              <w:fldChar w:fldCharType="end"/>
            </w:r>
          </w:hyperlink>
        </w:p>
        <w:p w14:paraId="7E55EE3B" w14:textId="0FD92563" w:rsidR="005B5A7B" w:rsidRDefault="00A0279A">
          <w:pPr>
            <w:pStyle w:val="TM2"/>
            <w:rPr>
              <w:rFonts w:asciiTheme="minorHAnsi" w:eastAsiaTheme="minorEastAsia" w:hAnsiTheme="minorHAnsi" w:cstheme="minorBidi"/>
              <w:noProof/>
              <w:sz w:val="22"/>
              <w:szCs w:val="22"/>
              <w:lang w:eastAsia="fr-FR"/>
            </w:rPr>
          </w:pPr>
          <w:hyperlink w:anchor="_Toc239087494" w:history="1">
            <w:r w:rsidR="005B5A7B" w:rsidRPr="00287FB3">
              <w:rPr>
                <w:rStyle w:val="Lienhypertexte"/>
                <w:noProof/>
              </w:rPr>
              <w:t>4. Opérationnaliser la conjugalité</w:t>
            </w:r>
            <w:r w:rsidR="005B5A7B">
              <w:rPr>
                <w:noProof/>
                <w:webHidden/>
              </w:rPr>
              <w:tab/>
            </w:r>
            <w:r w:rsidR="005B5A7B">
              <w:rPr>
                <w:noProof/>
                <w:webHidden/>
              </w:rPr>
              <w:fldChar w:fldCharType="begin"/>
            </w:r>
            <w:r w:rsidR="005B5A7B">
              <w:rPr>
                <w:noProof/>
                <w:webHidden/>
              </w:rPr>
              <w:instrText xml:space="preserve"> PAGEREF _Toc239087494 \h </w:instrText>
            </w:r>
            <w:r w:rsidR="005B5A7B">
              <w:rPr>
                <w:noProof/>
                <w:webHidden/>
              </w:rPr>
            </w:r>
            <w:r w:rsidR="005B5A7B">
              <w:rPr>
                <w:noProof/>
                <w:webHidden/>
              </w:rPr>
              <w:fldChar w:fldCharType="separate"/>
            </w:r>
            <w:r w:rsidR="005B5A7B">
              <w:rPr>
                <w:noProof/>
                <w:webHidden/>
              </w:rPr>
              <w:t>20</w:t>
            </w:r>
            <w:r w:rsidR="005B5A7B">
              <w:rPr>
                <w:noProof/>
                <w:webHidden/>
              </w:rPr>
              <w:fldChar w:fldCharType="end"/>
            </w:r>
          </w:hyperlink>
        </w:p>
        <w:p w14:paraId="41A157FA" w14:textId="5CD53F72" w:rsidR="005B5A7B" w:rsidRDefault="00A0279A">
          <w:pPr>
            <w:pStyle w:val="TM2"/>
            <w:rPr>
              <w:rFonts w:asciiTheme="minorHAnsi" w:eastAsiaTheme="minorEastAsia" w:hAnsiTheme="minorHAnsi" w:cstheme="minorBidi"/>
              <w:noProof/>
              <w:sz w:val="22"/>
              <w:szCs w:val="22"/>
              <w:lang w:eastAsia="fr-FR"/>
            </w:rPr>
          </w:pPr>
          <w:hyperlink w:anchor="_Toc239087495" w:history="1">
            <w:r w:rsidR="005B5A7B" w:rsidRPr="00287FB3">
              <w:rPr>
                <w:rStyle w:val="Lienhypertexte"/>
                <w:noProof/>
              </w:rPr>
              <w:t>5. Stratégie d’analyse et règles de lecture des résultats</w:t>
            </w:r>
            <w:r w:rsidR="005B5A7B">
              <w:rPr>
                <w:noProof/>
                <w:webHidden/>
              </w:rPr>
              <w:tab/>
            </w:r>
            <w:r w:rsidR="005B5A7B">
              <w:rPr>
                <w:noProof/>
                <w:webHidden/>
              </w:rPr>
              <w:fldChar w:fldCharType="begin"/>
            </w:r>
            <w:r w:rsidR="005B5A7B">
              <w:rPr>
                <w:noProof/>
                <w:webHidden/>
              </w:rPr>
              <w:instrText xml:space="preserve"> PAGEREF _Toc239087495 \h </w:instrText>
            </w:r>
            <w:r w:rsidR="005B5A7B">
              <w:rPr>
                <w:noProof/>
                <w:webHidden/>
              </w:rPr>
            </w:r>
            <w:r w:rsidR="005B5A7B">
              <w:rPr>
                <w:noProof/>
                <w:webHidden/>
              </w:rPr>
              <w:fldChar w:fldCharType="separate"/>
            </w:r>
            <w:r w:rsidR="005B5A7B">
              <w:rPr>
                <w:noProof/>
                <w:webHidden/>
              </w:rPr>
              <w:t>21</w:t>
            </w:r>
            <w:r w:rsidR="005B5A7B">
              <w:rPr>
                <w:noProof/>
                <w:webHidden/>
              </w:rPr>
              <w:fldChar w:fldCharType="end"/>
            </w:r>
          </w:hyperlink>
        </w:p>
        <w:p w14:paraId="0EB3D4EC" w14:textId="65B8E61D" w:rsidR="00473F2D" w:rsidRDefault="00442C6F">
          <w:pPr>
            <w:spacing w:line="360" w:lineRule="auto"/>
          </w:pPr>
          <w:r>
            <w:fldChar w:fldCharType="end"/>
          </w:r>
        </w:p>
      </w:sdtContent>
    </w:sdt>
    <w:p w14:paraId="23FC23F9" w14:textId="77777777" w:rsidR="00473F2D" w:rsidRDefault="00473F2D">
      <w:pPr>
        <w:pStyle w:val="Titre1"/>
      </w:pPr>
    </w:p>
    <w:p w14:paraId="1AFCD0D0" w14:textId="77777777" w:rsidR="00473F2D" w:rsidRDefault="00473F2D">
      <w:pPr>
        <w:pStyle w:val="Corpsdetexte"/>
      </w:pPr>
    </w:p>
    <w:p w14:paraId="6FE38EBB" w14:textId="68A8B4A7" w:rsidR="00473F2D" w:rsidRDefault="00624346">
      <w:pPr>
        <w:pStyle w:val="Titre1"/>
      </w:pPr>
      <w:bookmarkStart w:id="0" w:name="_Toc239087479"/>
      <w:r>
        <w:lastRenderedPageBreak/>
        <w:t>Introduction : penser la bisexualité dans un ordre conjugal binaire</w:t>
      </w:r>
      <w:bookmarkEnd w:id="0"/>
      <w:r>
        <w:t xml:space="preserve"> </w:t>
      </w:r>
    </w:p>
    <w:p w14:paraId="292A0A84" w14:textId="6DF0A5CE" w:rsidR="00624346" w:rsidRDefault="00624346" w:rsidP="00624346">
      <w:pPr>
        <w:pStyle w:val="Corpsdetexte"/>
      </w:pPr>
      <w:bookmarkStart w:id="1" w:name="a.-retour-sur-les-analyses-existantes"/>
      <w:r>
        <w:t>« Comment visualiser rapidement la bisexualité en ne posant que deux personnes ? » demande Catherine Deschamps (2002). Cette question met au jour une difficulté à la fois ordinaire et scientifique. Une relation à deux est généralement qualifiée à partir du genre, perçu ou déclaré, des partenaires : un couple réunissant un homme et une femme est habituellement lu comme hétérosexuel, tandis qu’un couple réunissant deux hommes ou deux femmes est lu comme homosexuel. L’identification bisexuelle de l’</w:t>
      </w:r>
      <w:proofErr w:type="spellStart"/>
      <w:r>
        <w:t>un·e</w:t>
      </w:r>
      <w:proofErr w:type="spellEnd"/>
      <w:r>
        <w:t xml:space="preserve"> ou des deux partenaires disparaît alors derrière la composition d</w:t>
      </w:r>
      <w:r w:rsidR="0036567F">
        <w:t>u couple</w:t>
      </w:r>
      <w:r>
        <w:t xml:space="preserve">. Le ou la partenaire </w:t>
      </w:r>
      <w:proofErr w:type="spellStart"/>
      <w:r>
        <w:t>actuel·le</w:t>
      </w:r>
      <w:proofErr w:type="spellEnd"/>
      <w:r>
        <w:t xml:space="preserve"> devient le signe supposé de </w:t>
      </w:r>
      <w:r w:rsidR="0036567F">
        <w:t>l’identification</w:t>
      </w:r>
      <w:r>
        <w:t xml:space="preserve"> sexuelle de la</w:t>
      </w:r>
      <w:r w:rsidR="0036567F">
        <w:t xml:space="preserve"> personne</w:t>
      </w:r>
      <w:r w:rsidR="0036567F">
        <w:rPr>
          <w:rStyle w:val="Appelnotedebasdep"/>
        </w:rPr>
        <w:footnoteReference w:id="1"/>
      </w:r>
      <w:r>
        <w:t>.</w:t>
      </w:r>
    </w:p>
    <w:p w14:paraId="4CE22BD1" w14:textId="77777777" w:rsidR="00624346" w:rsidRDefault="00624346" w:rsidP="00624346">
      <w:pPr>
        <w:pStyle w:val="Corpsdetexte"/>
      </w:pPr>
      <w:r>
        <w:t>Cette invisibilisation est particulièrement forte dans le cadre d’une relation monogame. Une personne bisexuelle engagée avec une seule personne ne donne pas simultanément à voir la pluralité potentielle de ses attirances. Sa bisexualité peut pourtant rester une dimension significative de son identité, de sa trajectoire, de son rapport au couple ou des interactions avec son ou sa partenaire. La bisexualité ne suppose pas d’entretenir des relations simultanées avec des personnes de plusieurs genres. Elle désigne plutôt la possibilité de ressentir des attirances ou de nouer des relations sexuelles, affectives ou amoureuses avec des personnes de plusieurs genres, que cette potentialité soit ou non actualisée dans les pratiques.</w:t>
      </w:r>
    </w:p>
    <w:p w14:paraId="1BB7BDCE" w14:textId="407ABEEA" w:rsidR="00624346" w:rsidRDefault="00624346" w:rsidP="00624346">
      <w:pPr>
        <w:pStyle w:val="Corpsdetexte"/>
      </w:pPr>
      <w:r>
        <w:t xml:space="preserve">La forte progression des identifications bisexuelles et, plus largement, </w:t>
      </w:r>
      <w:proofErr w:type="spellStart"/>
      <w:r>
        <w:t>plurisexuelles</w:t>
      </w:r>
      <w:proofErr w:type="spellEnd"/>
      <w:r w:rsidR="00BF3B84">
        <w:rPr>
          <w:rStyle w:val="Appelnotedebasdep"/>
        </w:rPr>
        <w:footnoteReference w:id="2"/>
      </w:r>
      <w:r>
        <w:t xml:space="preserve"> observée au cours des dernières années, ainsi que la diversification des formes de relations intimes, rendent cet angle mort de plus en plus visible (</w:t>
      </w:r>
      <w:proofErr w:type="spellStart"/>
      <w:r>
        <w:t>Lejbowicz</w:t>
      </w:r>
      <w:proofErr w:type="spellEnd"/>
      <w:r>
        <w:t xml:space="preserve"> et Rault, 2025). Elles invitent à interroger la manière dont une identification qui déborde l’alternative hétérosexuelle/homosexuelle s’inscrit dans une institution conjugale encore largement organisée autour d’une relation entre deux personnes, de l’exclusivité et de la fusion amoureuse, affective et sexuelle.</w:t>
      </w:r>
    </w:p>
    <w:p w14:paraId="72F9493F" w14:textId="77777777" w:rsidR="00624346" w:rsidRDefault="00624346" w:rsidP="00624346">
      <w:pPr>
        <w:pStyle w:val="Corpsdetexte"/>
      </w:pPr>
      <w:r>
        <w:t xml:space="preserve">Dans ce mémoire, l’expression « conjugalité des personnes bisexuelles » désigne donc les formes de mise en couple, les situations matrimoniales, les représentations du couple, les expériences </w:t>
      </w:r>
      <w:r>
        <w:lastRenderedPageBreak/>
        <w:t>relationnelles et les violences rapportées par les personnes qui s’identifient comme bisexuelles. Elle ne présuppose ni que leur partenaire soit également bisexuel·le, ni qu’il existe une forme unique et homogène de « couple bisexuel ». L’enjeu est précisément de déterminer si l’identification bisexuelle reste sans conséquence observable dans la conjugalité ou si elle est associée à des trajectoires, des normes et des expériences spécifiques.</w:t>
      </w:r>
    </w:p>
    <w:p w14:paraId="607BE5AE" w14:textId="6889448B" w:rsidR="00624346" w:rsidRDefault="00624346" w:rsidP="00624346">
      <w:pPr>
        <w:pStyle w:val="Titre2"/>
      </w:pPr>
      <w:bookmarkStart w:id="2" w:name="_Toc239087480"/>
      <w:r>
        <w:t xml:space="preserve">1. </w:t>
      </w:r>
      <w:r w:rsidR="00BF3B84">
        <w:t>La diversification de l’</w:t>
      </w:r>
      <w:r>
        <w:t xml:space="preserve">ordre conjugal </w:t>
      </w:r>
      <w:r w:rsidR="00BF3B84">
        <w:t>hétérosexuel</w:t>
      </w:r>
      <w:bookmarkEnd w:id="2"/>
      <w:r w:rsidR="00BF3B84">
        <w:t xml:space="preserve"> </w:t>
      </w:r>
    </w:p>
    <w:p w14:paraId="0C271E5A" w14:textId="754C7187" w:rsidR="00624346" w:rsidRDefault="00624346" w:rsidP="00624346">
      <w:pPr>
        <w:pStyle w:val="Corpsdetexte"/>
      </w:pPr>
      <w:r>
        <w:t xml:space="preserve">La sociologie française de la conjugalité s’est d’abord constituée autour de l’étude de la formation du couple. Du </w:t>
      </w:r>
      <w:r>
        <w:rPr>
          <w:rStyle w:val="Accentuation"/>
        </w:rPr>
        <w:t>Choix du conjoint</w:t>
      </w:r>
      <w:r w:rsidR="002D488C">
        <w:rPr>
          <w:rStyle w:val="Appelnotedebasdep"/>
          <w:i/>
          <w:iCs/>
        </w:rPr>
        <w:footnoteReference w:id="3"/>
      </w:r>
      <w:r>
        <w:t xml:space="preserve"> de Girar</w:t>
      </w:r>
      <w:r w:rsidR="002D488C">
        <w:t>d</w:t>
      </w:r>
      <w:r w:rsidR="00BF3B84">
        <w:t xml:space="preserve"> </w:t>
      </w:r>
      <w:r>
        <w:t xml:space="preserve">à </w:t>
      </w:r>
      <w:r>
        <w:rPr>
          <w:rStyle w:val="Accentuation"/>
        </w:rPr>
        <w:t>La formation du couple</w:t>
      </w:r>
      <w:r w:rsidR="002D488C">
        <w:rPr>
          <w:rStyle w:val="Appelnotedebasdep"/>
          <w:i/>
          <w:iCs/>
        </w:rPr>
        <w:footnoteReference w:id="4"/>
      </w:r>
      <w:r>
        <w:t xml:space="preserve"> de Bozon et Héran, puis à l’enquête Épic</w:t>
      </w:r>
      <w:r w:rsidR="002D488C">
        <w:rPr>
          <w:rStyle w:val="Appelnotedebasdep"/>
        </w:rPr>
        <w:footnoteReference w:id="5"/>
      </w:r>
      <w:r>
        <w:t xml:space="preserve">, elle a documenté les conditions sociales de la rencontre, l’homogamie et les transformations des parcours conjugaux. Les recherches contemporaines montrent une diversification considérable de ces parcours : allongement de la jeunesse sexuelle, dissociation croissante entre sexualité, mariage et procréation, développement des relations non cohabitantes, multiplication des séparations et des remises en couple, recul du mariage comme passage obligé et pluralisation des configurations familiales (Bozon, 1991, 2012 ; Rault, 2007 ; </w:t>
      </w:r>
      <w:proofErr w:type="spellStart"/>
      <w:r>
        <w:t>Costemalle</w:t>
      </w:r>
      <w:proofErr w:type="spellEnd"/>
      <w:r>
        <w:t>, 2017 ; Régnier-</w:t>
      </w:r>
      <w:proofErr w:type="spellStart"/>
      <w:r>
        <w:t>Loilier</w:t>
      </w:r>
      <w:proofErr w:type="spellEnd"/>
      <w:r>
        <w:t>, 2019 ; Rault et Régnier-</w:t>
      </w:r>
      <w:proofErr w:type="spellStart"/>
      <w:r>
        <w:t>Loilier</w:t>
      </w:r>
      <w:proofErr w:type="spellEnd"/>
      <w:r>
        <w:t>, 2019</w:t>
      </w:r>
      <w:r w:rsidR="002D488C">
        <w:t> ; Bergström et al. 2025</w:t>
      </w:r>
      <w:r>
        <w:t>).</w:t>
      </w:r>
    </w:p>
    <w:p w14:paraId="53C429E0" w14:textId="2446D847" w:rsidR="00624346" w:rsidRDefault="00624346" w:rsidP="00624346">
      <w:pPr>
        <w:pStyle w:val="Corpsdetexte"/>
      </w:pPr>
      <w:r>
        <w:t>Cette diversification ne signifie toutefois pas la disparition de la norme conjugale. Le couple demeure étroitement associé à l’accès à la parentalité, à l’entrée dans l’âge adulte, au bonheur et à l’épanouissement personnel. Les périodes de célibat sont plus fréquentes et les trajectoires moins linéaires, mais les individus restent régulièrement incités à se remettre en couple. La diffusion de la vie hors couple et le renouvellement des partenaires n’ont pas diminué la valeur sociale attribuée à la conjugalité : le couple demeure un statut plus légitime et plus valorisé que le célibat (Bergström et al., 2019).</w:t>
      </w:r>
    </w:p>
    <w:p w14:paraId="0FF0D585" w14:textId="246F94D7" w:rsidR="002D488C" w:rsidRDefault="00624346" w:rsidP="00624346">
      <w:pPr>
        <w:pStyle w:val="Corpsdetexte"/>
      </w:pPr>
      <w:r>
        <w:t xml:space="preserve">Cette norme conjugale est également une norme de genre. L’individualisation des conduites sexuelles reste partielle : celles-ci continuent d’être structurées par l’hétérosexualité comme institution et par des attentes différenciées envers les femmes et les hommes. La sexualité constitue notamment, pendant la jeunesse, un lieu de production et de rappel des normes de genre (Clair, </w:t>
      </w:r>
      <w:r>
        <w:lastRenderedPageBreak/>
        <w:t>2012, 2013). Les désirs masculins sont plus facilement naturalisés et dissociés de l’engagement affectif, tandis que la sexualité des femmes est davantage rapportée au sentiment amoureux, à la fidélité et au couple (</w:t>
      </w:r>
      <w:proofErr w:type="spellStart"/>
      <w:r>
        <w:t>Maillochon</w:t>
      </w:r>
      <w:proofErr w:type="spellEnd"/>
      <w:r w:rsidR="00CF132D">
        <w:t xml:space="preserve"> 1999</w:t>
      </w:r>
      <w:r>
        <w:t xml:space="preserve">). </w:t>
      </w:r>
      <w:r w:rsidR="002D488C">
        <w:t>La</w:t>
      </w:r>
      <w:r>
        <w:t xml:space="preserve"> mise en couple peut ainsi constituer une protection relative contre le stigmate associé à une sexualité jugée trop visible ou trop abondante.</w:t>
      </w:r>
    </w:p>
    <w:p w14:paraId="10533AAB" w14:textId="02158DE2" w:rsidR="00624346" w:rsidRDefault="00624346" w:rsidP="00624346">
      <w:pPr>
        <w:pStyle w:val="Corpsdetexte"/>
      </w:pPr>
      <w:r>
        <w:t>Le rapport à la conjugalité, à l’exclusivité et à la sexualité ne peut donc être étudié indépendamment du genre. Cette précaution vaut également pour les personnes bisexuelles : les éventuelles particularités de leur conjugalité peuvent tenir à leur identification sexuelle, mais aussi aux formes de socialisation féminine ou masculine et aux rapports de genre qui traversent leurs relations.</w:t>
      </w:r>
    </w:p>
    <w:p w14:paraId="63FE6FC9" w14:textId="4FEB50F7" w:rsidR="00624346" w:rsidRDefault="00624346" w:rsidP="00624346">
      <w:pPr>
        <w:pStyle w:val="Corpsdetexte"/>
      </w:pPr>
      <w:r>
        <w:t xml:space="preserve">L’ouverture progressive de la sociologie de la conjugalité aux </w:t>
      </w:r>
      <w:r w:rsidR="00620D86">
        <w:t xml:space="preserve">pratiques et </w:t>
      </w:r>
      <w:r>
        <w:t xml:space="preserve">couples de même sexe a permis de remettre en cause </w:t>
      </w:r>
      <w:r w:rsidR="00620D86">
        <w:t>l’association</w:t>
      </w:r>
      <w:r>
        <w:t xml:space="preserve"> implicite du couple </w:t>
      </w:r>
      <w:r w:rsidR="00620D86">
        <w:t>et de</w:t>
      </w:r>
      <w:r>
        <w:t xml:space="preserve"> l’hétérosexualité. </w:t>
      </w:r>
      <w:r w:rsidR="009F5A92">
        <w:t>D’abord auprès d’échantillons de volontaires</w:t>
      </w:r>
      <w:r w:rsidR="009F5A92">
        <w:rPr>
          <w:rStyle w:val="Appelnotedebasdep"/>
        </w:rPr>
        <w:footnoteReference w:id="6"/>
      </w:r>
      <w:r w:rsidR="009F5A92">
        <w:t xml:space="preserve"> puis avec les grandes enquêtes sur les comportements sexuels réalisées en population générale</w:t>
      </w:r>
      <w:r w:rsidR="00B12EA7">
        <w:rPr>
          <w:rStyle w:val="Appelnotedebasdep"/>
        </w:rPr>
        <w:footnoteReference w:id="7"/>
      </w:r>
      <w:r w:rsidR="00B12EA7">
        <w:t>, ces enquêtes ont permis de rendre compte des pratiques sexuelles puis de la diversité des sexualités minoritaires</w:t>
      </w:r>
      <w:r w:rsidR="009F5A92">
        <w:t xml:space="preserve">. </w:t>
      </w:r>
      <w:r>
        <w:t xml:space="preserve">Les </w:t>
      </w:r>
      <w:r w:rsidR="009F5A92">
        <w:t>recherches</w:t>
      </w:r>
      <w:r>
        <w:t xml:space="preserve"> de </w:t>
      </w:r>
      <w:r w:rsidR="009F5A92">
        <w:t xml:space="preserve">Michael </w:t>
      </w:r>
      <w:r>
        <w:t>Pollak puis d</w:t>
      </w:r>
      <w:r w:rsidR="009F5A92">
        <w:t xml:space="preserve">e Philippe </w:t>
      </w:r>
      <w:r>
        <w:t xml:space="preserve">Adam auprès d’hommes gays documentent ainsi le passage d’un modèle valorisant les sociabilités communautaires, la drague et le </w:t>
      </w:r>
      <w:proofErr w:type="spellStart"/>
      <w:r>
        <w:t>multipartenariat</w:t>
      </w:r>
      <w:proofErr w:type="spellEnd"/>
      <w:r>
        <w:t xml:space="preserve"> à un modèle de « bonheur domestique » dans lequel la relation stable devient un horizon plus fréquent et plus légitime (Pollak, 1982 ; Adam, 1999). Cette évolution est liée à des transformations générationnelles, à l’épidémie de VIH/sida, à l’acceptation sociale</w:t>
      </w:r>
      <w:r w:rsidR="009F5A92">
        <w:t xml:space="preserve"> relative</w:t>
      </w:r>
      <w:r>
        <w:t xml:space="preserve"> de l’homosexualité et à l’institutionnalisation juridique des couples de même sexe.</w:t>
      </w:r>
    </w:p>
    <w:p w14:paraId="20512A04" w14:textId="19D9D2D1" w:rsidR="00CE65EB" w:rsidRDefault="00B12EA7" w:rsidP="00CE65EB">
      <w:pPr>
        <w:pStyle w:val="Corpsdetexte"/>
      </w:pPr>
      <w:r>
        <w:t>La</w:t>
      </w:r>
      <w:r w:rsidRPr="00B12EA7">
        <w:t xml:space="preserve"> reconnaissance des couples de même sexe dans les années 1990 et la création d’une forme d’union légale via le Pacs en 1999 ont progressivement </w:t>
      </w:r>
      <w:r>
        <w:t>accru la</w:t>
      </w:r>
      <w:r w:rsidRPr="00B12EA7">
        <w:t xml:space="preserve"> visibilité des homosexualités amorcée dans les années 1980 avec une attention croissante portée sur le couple</w:t>
      </w:r>
      <w:r>
        <w:t xml:space="preserve">, notamment </w:t>
      </w:r>
      <w:r w:rsidRPr="00B12EA7">
        <w:t>dans les travaux en sciences sociales</w:t>
      </w:r>
      <w:r>
        <w:t xml:space="preserve"> (Rault 2009 ; </w:t>
      </w:r>
      <w:proofErr w:type="spellStart"/>
      <w:r>
        <w:t>Chetcuti</w:t>
      </w:r>
      <w:proofErr w:type="spellEnd"/>
      <w:r>
        <w:t xml:space="preserve"> 2010 ; </w:t>
      </w:r>
      <w:proofErr w:type="spellStart"/>
      <w:r>
        <w:t>Courduriès</w:t>
      </w:r>
      <w:proofErr w:type="spellEnd"/>
      <w:r>
        <w:t xml:space="preserve"> 2011). </w:t>
      </w:r>
      <w:r w:rsidR="00624346">
        <w:t xml:space="preserve">Les recherches sur le mariage, le pacs, la cohabitation et la séparation montrent </w:t>
      </w:r>
      <w:r w:rsidR="0073149E">
        <w:t>des appropriations variables du couple et de son institutionnalisation selon les situations matérielles</w:t>
      </w:r>
      <w:r w:rsidR="00621282">
        <w:t xml:space="preserve">, </w:t>
      </w:r>
      <w:r w:rsidR="0073149E">
        <w:t>l’appartenance générationnelle</w:t>
      </w:r>
      <w:r w:rsidR="00621282">
        <w:t xml:space="preserve"> et le genre </w:t>
      </w:r>
      <w:r w:rsidR="00624346">
        <w:t xml:space="preserve">(Rault </w:t>
      </w:r>
      <w:r w:rsidR="00621282">
        <w:t xml:space="preserve">2023 </w:t>
      </w:r>
      <w:r w:rsidR="00624346">
        <w:t xml:space="preserve">; Gates 2015 ; Moore et </w:t>
      </w:r>
      <w:proofErr w:type="spellStart"/>
      <w:r w:rsidR="00624346">
        <w:t>Stamboli</w:t>
      </w:r>
      <w:r w:rsidR="00621282">
        <w:t>s</w:t>
      </w:r>
      <w:proofErr w:type="spellEnd"/>
      <w:r w:rsidR="00624346">
        <w:t xml:space="preserve"> 2013 ; Meslay</w:t>
      </w:r>
      <w:r w:rsidR="00621282">
        <w:t xml:space="preserve"> 2023</w:t>
      </w:r>
      <w:r w:rsidR="00624346">
        <w:t>).</w:t>
      </w:r>
      <w:r w:rsidR="00621282">
        <w:t xml:space="preserve"> </w:t>
      </w:r>
      <w:r w:rsidR="00621282">
        <w:lastRenderedPageBreak/>
        <w:t xml:space="preserve">L’attrait </w:t>
      </w:r>
      <w:r w:rsidR="00621282" w:rsidRPr="00621282">
        <w:t>des gays et des lesbiennes pour le couple progresse au fil du temps</w:t>
      </w:r>
      <w:r w:rsidR="00621282">
        <w:t xml:space="preserve">. Des critiques s’amplifient dans les années 2000 à propos de la normalisation excessive de l’homosexualité. L’acceptation sociale </w:t>
      </w:r>
      <w:r w:rsidR="00CE65EB">
        <w:t xml:space="preserve">de l’homosexualité se ferait </w:t>
      </w:r>
      <w:r w:rsidR="00621282" w:rsidRPr="00621282">
        <w:t>au prix de l’</w:t>
      </w:r>
      <w:r w:rsidR="00CE65EB" w:rsidRPr="00621282">
        <w:t>intégration</w:t>
      </w:r>
      <w:r w:rsidR="00621282" w:rsidRPr="00621282">
        <w:t xml:space="preserve"> de normes </w:t>
      </w:r>
      <w:r w:rsidR="00CE65EB" w:rsidRPr="00621282">
        <w:t>hétérocentrées</w:t>
      </w:r>
      <w:r w:rsidR="00621282" w:rsidRPr="00621282">
        <w:t xml:space="preserve"> dans </w:t>
      </w:r>
      <w:r w:rsidR="00CE65EB">
        <w:t xml:space="preserve">les </w:t>
      </w:r>
      <w:r w:rsidR="00621282" w:rsidRPr="00621282">
        <w:t xml:space="preserve">modes de vies et </w:t>
      </w:r>
      <w:r w:rsidR="00CE65EB">
        <w:t>les relations :</w:t>
      </w:r>
      <w:r w:rsidR="00CE65EB" w:rsidRPr="00621282">
        <w:t xml:space="preserve"> </w:t>
      </w:r>
      <w:r w:rsidR="00621282" w:rsidRPr="00621282">
        <w:t>distinction couple/</w:t>
      </w:r>
      <w:r w:rsidR="00CE65EB" w:rsidRPr="00621282">
        <w:t>amitié</w:t>
      </w:r>
      <w:r w:rsidR="00CE65EB">
        <w:t>,</w:t>
      </w:r>
      <w:r w:rsidR="00621282" w:rsidRPr="00621282">
        <w:t xml:space="preserve"> scripts monogame</w:t>
      </w:r>
      <w:r w:rsidR="00CE65EB">
        <w:t>,</w:t>
      </w:r>
      <w:r w:rsidR="00621282" w:rsidRPr="00621282">
        <w:t xml:space="preserve"> tromperie pour parler </w:t>
      </w:r>
      <w:proofErr w:type="spellStart"/>
      <w:r w:rsidR="00621282" w:rsidRPr="00621282">
        <w:t>multiparte</w:t>
      </w:r>
      <w:r w:rsidR="00CE65EB">
        <w:t>nariat</w:t>
      </w:r>
      <w:proofErr w:type="spellEnd"/>
      <w:r w:rsidR="00CE65EB">
        <w:t>, parentalité</w:t>
      </w:r>
      <w:r w:rsidR="00621282" w:rsidRPr="00621282">
        <w:t xml:space="preserve"> comme destin. </w:t>
      </w:r>
      <w:r w:rsidR="00CE65EB">
        <w:t>Une acceptation de</w:t>
      </w:r>
      <w:r w:rsidR="00621282" w:rsidRPr="00621282">
        <w:t xml:space="preserve"> formes respectables et conventionnelles </w:t>
      </w:r>
      <w:r w:rsidR="00CE65EB">
        <w:t xml:space="preserve">qui </w:t>
      </w:r>
      <w:r w:rsidR="00621282" w:rsidRPr="00621282">
        <w:t xml:space="preserve">accentue </w:t>
      </w:r>
      <w:r w:rsidR="00CE65EB">
        <w:t xml:space="preserve">la </w:t>
      </w:r>
      <w:r w:rsidR="00621282" w:rsidRPr="00621282">
        <w:t xml:space="preserve">stigmatisation des modes de vie </w:t>
      </w:r>
      <w:r w:rsidR="00CE65EB" w:rsidRPr="00621282">
        <w:t>hétérodoxes</w:t>
      </w:r>
      <w:r w:rsidR="00621282" w:rsidRPr="00621282">
        <w:t>. </w:t>
      </w:r>
      <w:r w:rsidR="00624346">
        <w:t>La critique de l’</w:t>
      </w:r>
      <w:proofErr w:type="spellStart"/>
      <w:r w:rsidR="00624346">
        <w:t>homonormativité</w:t>
      </w:r>
      <w:proofErr w:type="spellEnd"/>
      <w:r w:rsidR="00624346">
        <w:t xml:space="preserve"> formulée par </w:t>
      </w:r>
      <w:proofErr w:type="spellStart"/>
      <w:r w:rsidR="00624346">
        <w:t>Duggan</w:t>
      </w:r>
      <w:proofErr w:type="spellEnd"/>
      <w:r w:rsidR="00624346">
        <w:t xml:space="preserve"> </w:t>
      </w:r>
      <w:r w:rsidR="00CE65EB">
        <w:t xml:space="preserve">(2002) </w:t>
      </w:r>
      <w:r w:rsidR="00624346">
        <w:t xml:space="preserve">souligne que l’intégration sociale des couples homosexuels peut passer par leur conformité à un modèle </w:t>
      </w:r>
      <w:r w:rsidR="00CE65EB">
        <w:t xml:space="preserve">néolibéral </w:t>
      </w:r>
      <w:r w:rsidR="00624346">
        <w:t xml:space="preserve">centré sur la domesticité, l’exclusivité, la distinction entre couple et amitié et la mise à distance du </w:t>
      </w:r>
      <w:proofErr w:type="spellStart"/>
      <w:r w:rsidR="00624346">
        <w:t>multipartenariat</w:t>
      </w:r>
      <w:proofErr w:type="spellEnd"/>
      <w:r w:rsidR="00624346">
        <w:t>.</w:t>
      </w:r>
      <w:r w:rsidR="00CE65EB">
        <w:t xml:space="preserve"> En réalité on ne peut réduire ces évolutions à une simple normalisation ou hégémonie du modèle domestique. Il s’agit plutôt d’une banalisation, d’un élargissement du spectre des possibles dans les choix intimes, toutes sexualités confondues (Chauvin, Lerch 2013). </w:t>
      </w:r>
    </w:p>
    <w:p w14:paraId="09238823" w14:textId="05C76046" w:rsidR="00624346" w:rsidRDefault="00624346" w:rsidP="00624346">
      <w:pPr>
        <w:pStyle w:val="Corpsdetexte"/>
      </w:pPr>
      <w:r>
        <w:t xml:space="preserve">Par ailleurs, les couples d’hommes et les couples de femmes ne présentent pas un même rapport à l’exclusivité. La littérature synthétisée par Chauvin et Lerch décrit plus fréquemment, chez les couples d’hommes, des formes de non-exclusivité sexuelle explicitement négociées. Les relations entre femmes tendraient davantage à prendre la forme de monogamies sérielles </w:t>
      </w:r>
      <w:r w:rsidR="00003776">
        <w:t>(</w:t>
      </w:r>
      <w:proofErr w:type="spellStart"/>
      <w:r w:rsidR="00003776">
        <w:t>Chetcuti</w:t>
      </w:r>
      <w:proofErr w:type="spellEnd"/>
      <w:r w:rsidR="00003776">
        <w:t xml:space="preserve"> 2010) </w:t>
      </w:r>
      <w:r>
        <w:t xml:space="preserve">ou de « quasi-conjugalités », dans lesquelles sexualité, sentiments et engagement sont moins facilement dissociés. Ces différences empêchent de considérer les « couples homosexuels » comme une catégorie homogène : elles montrent que </w:t>
      </w:r>
      <w:r w:rsidR="00003776">
        <w:t>d’autres rapports sociaux, dont le genre,</w:t>
      </w:r>
      <w:r>
        <w:t xml:space="preserve"> continue</w:t>
      </w:r>
      <w:r w:rsidR="00003776">
        <w:t>nt</w:t>
      </w:r>
      <w:r>
        <w:t xml:space="preserve"> d’organiser les normes conjugales.</w:t>
      </w:r>
    </w:p>
    <w:p w14:paraId="332A5B2A" w14:textId="49636259" w:rsidR="00624346" w:rsidRDefault="00624346" w:rsidP="00624346">
      <w:pPr>
        <w:pStyle w:val="Corpsdetexte"/>
      </w:pPr>
      <w:r>
        <w:t xml:space="preserve">Cependant, cet élargissement du champ aux couples de même sexe ne suffit pas à rendre visibles les personnes bisexuelles. Les couples continuent d’être classés selon la composition sexuée de </w:t>
      </w:r>
      <w:r w:rsidR="00003776">
        <w:t>celui-ci</w:t>
      </w:r>
      <w:r>
        <w:t>. Une personne bisexuelle vivant avec une personne d’un autre sexe est comptée parmi les couples hétérosexuels ; lorsqu’elle vit avec une personne du même sexe, elle est comptée parmi les couples homosexuels. Gates (2015) remarque que la majorité des personnes bisexuelles étudiées vivent dans un couple de sexe différent, ce qui contribue à leur disparition statistique en tant que personnes bisexuelles.</w:t>
      </w:r>
    </w:p>
    <w:p w14:paraId="7AF839CA" w14:textId="3F28E9DF" w:rsidR="00624346" w:rsidRDefault="00624346" w:rsidP="00624346">
      <w:pPr>
        <w:pStyle w:val="Corpsdetexte"/>
      </w:pPr>
      <w:r>
        <w:t xml:space="preserve">Les rares travaux français qui incluent explicitement les personnes bisexuelles ne résolvent pas entièrement ce problème. Rault et Lambert (2019) montrent que les personnes réunies dans une catégorie « homo-bi » se tiennent davantage à distance du modèle associant sexualité, sentiment </w:t>
      </w:r>
      <w:r>
        <w:lastRenderedPageBreak/>
        <w:t xml:space="preserve">amoureux et conjugalité. Elles se déclarent notamment plus souvent favorables à la possibilité d’avoir des relations sexuelles sans sentiment, d’aimer une personne tout en ayant des aventures ou d’être </w:t>
      </w:r>
      <w:proofErr w:type="spellStart"/>
      <w:r>
        <w:t>amoureux·se</w:t>
      </w:r>
      <w:proofErr w:type="spellEnd"/>
      <w:r>
        <w:t xml:space="preserve"> de plusieurs personnes. L’écart paraît particulièrement marqué chez les femmes. Toutefois, l’agrégation des personnes homosexuelles et bisexuelles empêche de déterminer si ces résultats caractérisent les personnes bisexuelles, homosexuelles ou l’ensemble du groupe ainsi constitué.</w:t>
      </w:r>
    </w:p>
    <w:p w14:paraId="1FCDEAED" w14:textId="77777777" w:rsidR="00624346" w:rsidRDefault="00624346" w:rsidP="00624346">
      <w:pPr>
        <w:pStyle w:val="Corpsdetexte"/>
      </w:pPr>
      <w:r>
        <w:t xml:space="preserve">La sociologie de la conjugalité s’est donc ouverte au-delà de l’hétérosexualité sans renoncer à une lecture principalement binaire des relations. Elle sait désormais distinguer les couples de même sexe et de sexe différent, mais elle peine encore à penser l’identification sexuelle de chacun de leurs membres indépendamment de la configuration visible du couple. </w:t>
      </w:r>
    </w:p>
    <w:p w14:paraId="39BA5958" w14:textId="36AADE63" w:rsidR="00624346" w:rsidRDefault="00624346" w:rsidP="00624346">
      <w:pPr>
        <w:pStyle w:val="Titre2"/>
      </w:pPr>
      <w:bookmarkStart w:id="3" w:name="_Toc239087481"/>
      <w:r>
        <w:t xml:space="preserve">2. La bisexualité : une identification qui déborde </w:t>
      </w:r>
      <w:r w:rsidR="00734292">
        <w:t>du</w:t>
      </w:r>
      <w:r>
        <w:t xml:space="preserve"> couple</w:t>
      </w:r>
      <w:bookmarkEnd w:id="3"/>
    </w:p>
    <w:p w14:paraId="3D02573E" w14:textId="31671001" w:rsidR="00624346" w:rsidRDefault="00624346" w:rsidP="00620D86">
      <w:pPr>
        <w:pStyle w:val="Corpsdetexte"/>
      </w:pPr>
      <w:r>
        <w:t xml:space="preserve">Cette difficulté ne relève pas seulement des études sur le couple. Elle prolonge l’effacement plus général de la bisexualité dans l’histoire des savoirs sur la sexualité. </w:t>
      </w:r>
      <w:r w:rsidR="00734292">
        <w:t xml:space="preserve">Steven </w:t>
      </w:r>
      <w:proofErr w:type="spellStart"/>
      <w:r>
        <w:t>Angelides</w:t>
      </w:r>
      <w:proofErr w:type="spellEnd"/>
      <w:r>
        <w:t xml:space="preserve"> montre que l’hétérosexualité et l’homosexualité ont été constituées comme les deux pôles centraux à partir desquels les désirs et les pratiques sont interprétés. La bisexualité a longtemps été conçue comme un état primitif, une phase transitoire ou une combinaison dérivée de ces deux orientations, plutôt que comme une sexualité et une identification à part entière (</w:t>
      </w:r>
      <w:proofErr w:type="spellStart"/>
      <w:r>
        <w:t>Angelides</w:t>
      </w:r>
      <w:proofErr w:type="spellEnd"/>
      <w:r>
        <w:t>, 2001, 2006).</w:t>
      </w:r>
    </w:p>
    <w:p w14:paraId="1DD9A9EF" w14:textId="2235D844" w:rsidR="00624346" w:rsidRDefault="00734292" w:rsidP="00620D86">
      <w:pPr>
        <w:pStyle w:val="Corpsdetexte"/>
      </w:pPr>
      <w:r>
        <w:t>L’étude de l’effacement historique de la bisexualité aboutit au concept de</w:t>
      </w:r>
      <w:r w:rsidR="00624346">
        <w:t xml:space="preserve"> « </w:t>
      </w:r>
      <w:proofErr w:type="spellStart"/>
      <w:r w:rsidR="00624346">
        <w:t>monosexisme</w:t>
      </w:r>
      <w:proofErr w:type="spellEnd"/>
      <w:r w:rsidR="00624346">
        <w:t xml:space="preserve"> »</w:t>
      </w:r>
      <w:r>
        <w:t xml:space="preserve"> qui décrit</w:t>
      </w:r>
      <w:r w:rsidR="00624346">
        <w:t xml:space="preserve"> l’ensemble des croyances et des structures qui</w:t>
      </w:r>
      <w:r>
        <w:t xml:space="preserve"> </w:t>
      </w:r>
      <w:r w:rsidR="00133090">
        <w:t>reproduisent la perception binaire de la sexualité. Une conception dans laquelle</w:t>
      </w:r>
      <w:r>
        <w:t xml:space="preserve"> les sexualités exclusives, hétérosexuelles et </w:t>
      </w:r>
      <w:r w:rsidR="00133090">
        <w:t>homosexuelles, sont les</w:t>
      </w:r>
      <w:r>
        <w:t xml:space="preserve"> seules</w:t>
      </w:r>
      <w:r w:rsidR="00624346">
        <w:t xml:space="preserve"> formes </w:t>
      </w:r>
      <w:r>
        <w:t xml:space="preserve">abouties et </w:t>
      </w:r>
      <w:r w:rsidR="00624346">
        <w:t>intelligibles de sexualité</w:t>
      </w:r>
      <w:r>
        <w:t xml:space="preserve"> (</w:t>
      </w:r>
      <w:r w:rsidR="00133090">
        <w:t>Yoshino 2000 ; Rust 2002</w:t>
      </w:r>
      <w:r>
        <w:t>)</w:t>
      </w:r>
      <w:r w:rsidR="00624346">
        <w:t>. Dans cette perspective, la bisexualité ne constitue pas seulement une troisième catégorie ajoutée entre les deux premières. Elle met en difficulté la logique même selon laquelle une personne devrait être orientée soit vers les hommes, soit vers les femmes</w:t>
      </w:r>
      <w:r w:rsidR="00133090">
        <w:t xml:space="preserve"> et introduit une logique de conjonction, </w:t>
      </w:r>
      <w:proofErr w:type="spellStart"/>
      <w:r w:rsidR="00133090" w:rsidRPr="00133090">
        <w:rPr>
          <w:i/>
          <w:iCs/>
        </w:rPr>
        <w:t>both</w:t>
      </w:r>
      <w:proofErr w:type="spellEnd"/>
      <w:r w:rsidR="00133090" w:rsidRPr="00133090">
        <w:rPr>
          <w:i/>
          <w:iCs/>
        </w:rPr>
        <w:t>/and</w:t>
      </w:r>
      <w:r w:rsidR="00133090">
        <w:t>, plutôt que d’alternative (</w:t>
      </w:r>
      <w:proofErr w:type="spellStart"/>
      <w:r w:rsidR="00133090">
        <w:t>Angelides</w:t>
      </w:r>
      <w:proofErr w:type="spellEnd"/>
      <w:r w:rsidR="00133090">
        <w:t xml:space="preserve"> 2006</w:t>
      </w:r>
      <w:r w:rsidR="0069161D">
        <w:t> ; Mendès-</w:t>
      </w:r>
      <w:proofErr w:type="spellStart"/>
      <w:r w:rsidR="0069161D">
        <w:t>Leite</w:t>
      </w:r>
      <w:proofErr w:type="spellEnd"/>
      <w:r w:rsidR="0069161D">
        <w:t xml:space="preserve"> et al 1998</w:t>
      </w:r>
      <w:r w:rsidR="00133090">
        <w:t>)</w:t>
      </w:r>
      <w:r w:rsidR="00624346">
        <w:t>.</w:t>
      </w:r>
    </w:p>
    <w:p w14:paraId="42590972" w14:textId="4CD181F9" w:rsidR="00624346" w:rsidRDefault="00624346" w:rsidP="00620D86">
      <w:pPr>
        <w:pStyle w:val="Corpsdetexte"/>
      </w:pPr>
      <w:r>
        <w:t xml:space="preserve">Cette critique du binarisme ne signifie pas que toutes les personnes bisexuelles entretiennent le même rapport aux catégories sexuelles ou qu’elles portent nécessairement un projet politique de déconstruction. L’identification bisexuelle peut avoir des significations variables. Elle peut être revendiquée comme une identité stable, comme la catégorie la plus susceptible de rendre compte </w:t>
      </w:r>
      <w:r>
        <w:lastRenderedPageBreak/>
        <w:t>des évolutions du désir au cours de la vie, comme une identification contextuelle mobilisée dans certains espaces sociaux, ou comme une catégorie imparfaite utilisée faute de mieux. Elle peut également coexister avec d’autres identifications</w:t>
      </w:r>
      <w:r w:rsidR="00133090">
        <w:t xml:space="preserve"> (Rust 2000)</w:t>
      </w:r>
      <w:r>
        <w:t>.</w:t>
      </w:r>
    </w:p>
    <w:p w14:paraId="6CCC2929" w14:textId="5C8587C7" w:rsidR="00624346" w:rsidRDefault="00133090" w:rsidP="00620D86">
      <w:pPr>
        <w:pStyle w:val="Corpsdetexte"/>
      </w:pPr>
      <w:r>
        <w:t>C’est ce qui amène à la proposition de Paula Rust</w:t>
      </w:r>
      <w:r w:rsidR="00624346">
        <w:t xml:space="preserve"> de saisir la bisexualité à partir de la </w:t>
      </w:r>
      <w:r w:rsidR="00624346" w:rsidRPr="00133090">
        <w:rPr>
          <w:rStyle w:val="lev"/>
          <w:b w:val="0"/>
          <w:bCs w:val="0"/>
        </w:rPr>
        <w:t>potentialité</w:t>
      </w:r>
      <w:r w:rsidR="00624346" w:rsidRPr="00133090">
        <w:rPr>
          <w:b/>
          <w:bCs/>
        </w:rPr>
        <w:t xml:space="preserve"> </w:t>
      </w:r>
      <w:r w:rsidR="00624346">
        <w:t>plutôt qu’à partir du seul comportement. Est bisexuelle, dans cette conception, une personne pour laquelle demeure possible l’attirance sexuelle, affective ou amoureuse envers des personnes de plusieurs genres. Cette potentialité peut rester entièrement virtuelle pendant une relation monogame. Une personne n’a donc pas besoin d’avoir eu des partenaires de plusieurs genres, ni d’en avoir simultanément, pour se définir comme bisexuelle. Inversement, avoir eu des pratiques avec des personnes de plusieurs genres ne conduit pas nécessairement à s’identifier comme bisexuel·le.</w:t>
      </w:r>
    </w:p>
    <w:p w14:paraId="6F54066C" w14:textId="417FA651" w:rsidR="00624346" w:rsidRDefault="00624346" w:rsidP="00620D86">
      <w:pPr>
        <w:pStyle w:val="Corpsdetexte"/>
      </w:pPr>
      <w:r>
        <w:t xml:space="preserve">Cette distinction explique que les pratiques, les attirances et l’identification ne se recouvrent que partiellement. Les enquêtes françaises montrent que le nombre de personnes déclarant des attirances ou des pratiques avec plusieurs sexes est différent du nombre de personnes qui se définissent comme bisexuelles. Ces dimensions possèdent en outre des temporalités différentes : les pratiques peuvent être mesurées sur l’ensemble de la vie, les attirances être présentes sans être réalisées et l’identification être saisie au moment de l’enquête. L’identification doit ainsi être envisagée comme une construction sociale, évolutive, contextuelle et interactionnelle plutôt que comme le simple reflet d’une succession de comportements (Rust 2000 ; Trachman et </w:t>
      </w:r>
      <w:proofErr w:type="spellStart"/>
      <w:r>
        <w:t>Lejbowicz</w:t>
      </w:r>
      <w:proofErr w:type="spellEnd"/>
      <w:r>
        <w:t xml:space="preserve"> 2020).</w:t>
      </w:r>
    </w:p>
    <w:p w14:paraId="0587593F" w14:textId="02DEEE24" w:rsidR="00624346" w:rsidRDefault="00624346" w:rsidP="00620D86">
      <w:pPr>
        <w:pStyle w:val="Corpsdetexte"/>
      </w:pPr>
      <w:r>
        <w:t xml:space="preserve">Cette non-correspondance constitue un enjeu majeur pour la sociologie du couple. Lorsque l’orientation d’une personne est déduite du genre de son ou de sa partenaire </w:t>
      </w:r>
      <w:proofErr w:type="spellStart"/>
      <w:r>
        <w:t>actuel·le</w:t>
      </w:r>
      <w:proofErr w:type="spellEnd"/>
      <w:r>
        <w:t xml:space="preserve">, le couple transforme une situation relationnelle momentanée en </w:t>
      </w:r>
      <w:r w:rsidR="00133090">
        <w:t>identification sexuelle</w:t>
      </w:r>
      <w:r>
        <w:t>. L’identification bisexuelle devient invisible précisément parce qu’elle ne peut pas être lue à partir d’un</w:t>
      </w:r>
      <w:r w:rsidR="00133090">
        <w:t>e seule relation</w:t>
      </w:r>
      <w:r>
        <w:t>.</w:t>
      </w:r>
    </w:p>
    <w:p w14:paraId="34776AAD" w14:textId="3463BB8E" w:rsidR="00624346" w:rsidRDefault="00624346" w:rsidP="00620D86">
      <w:pPr>
        <w:pStyle w:val="Corpsdetexte"/>
      </w:pPr>
      <w:r>
        <w:t>L’histoire de la mesure statistique des minorités sexuelles montre que cette invisibilisation est également inscrite dans les instruments d’enquête.</w:t>
      </w:r>
      <w:r w:rsidR="00CF132D">
        <w:t xml:space="preserve"> Brigitte</w:t>
      </w:r>
      <w:r>
        <w:t xml:space="preserve"> Lhomond (1997) souligne que les estimations de la population homosexuelle dépendent moins de la découverte d’une population préexistante que des définitions, des mots, des périodes et des indicateurs retenus.</w:t>
      </w:r>
      <w:r w:rsidR="00CF132D">
        <w:t xml:space="preserve"> Florence</w:t>
      </w:r>
      <w:r>
        <w:t xml:space="preserve"> </w:t>
      </w:r>
      <w:proofErr w:type="spellStart"/>
      <w:r>
        <w:t>Maillochon</w:t>
      </w:r>
      <w:proofErr w:type="spellEnd"/>
      <w:r>
        <w:t xml:space="preserve"> (2023) prolonge cette critique à propos de la bisexualité : les questionnaires distinguent </w:t>
      </w:r>
      <w:r>
        <w:lastRenderedPageBreak/>
        <w:t xml:space="preserve">imparfaitement pratiques, attirances et identification ; ils recueillent rarement de manière systématique le </w:t>
      </w:r>
      <w:r w:rsidR="00B30EBD">
        <w:t>sexe</w:t>
      </w:r>
      <w:r>
        <w:t xml:space="preserve"> des partenaires ; ils reposent fréquemment sur une tripartition hétérosexuelle, homosexuelle et bisexuelle qui ne rend pas compte de la variété des identifications </w:t>
      </w:r>
      <w:proofErr w:type="spellStart"/>
      <w:r>
        <w:t>plurisexuelles</w:t>
      </w:r>
      <w:proofErr w:type="spellEnd"/>
      <w:r>
        <w:t>.</w:t>
      </w:r>
      <w:r w:rsidR="00B30EBD">
        <w:t xml:space="preserve"> Dans une approche hétéronormative où l’hétérosexualité est la seule identification à ne pas être questionnée, les enquêtes comme Virage n’interrogent l’identification sexuelle que lorsqu’il y a déclaration d’attirance pour le même sexe. </w:t>
      </w:r>
    </w:p>
    <w:p w14:paraId="64444FCE" w14:textId="46695237" w:rsidR="00624346" w:rsidRDefault="00624346" w:rsidP="00620D86">
      <w:pPr>
        <w:pStyle w:val="Corpsdetexte"/>
      </w:pPr>
      <w:r>
        <w:t>Les instruments sont aussi généralement construits autour d’</w:t>
      </w:r>
      <w:proofErr w:type="spellStart"/>
      <w:r>
        <w:t>un·e</w:t>
      </w:r>
      <w:proofErr w:type="spellEnd"/>
      <w:r>
        <w:t xml:space="preserve"> partenaire au singulier et de relations successives. Ils saisissent mieux les trajectoires de monogamie sérielle que les relations ouvertes, polyamoureuses ou les formes de </w:t>
      </w:r>
      <w:proofErr w:type="spellStart"/>
      <w:r>
        <w:t>multipartenariat</w:t>
      </w:r>
      <w:proofErr w:type="spellEnd"/>
      <w:r>
        <w:t xml:space="preserve">. La monogamie n’est donc pas seulement une pratique éventuellement majoritaire : elle peut devenir une présupposition intégrée à la production des données. Dans ce cadre, la difficulté à penser la bisexualité au sein du couple n’est pas uniquement théorique. Elle tient aussi à la manière dont les enquêtes découpent les relations et </w:t>
      </w:r>
      <w:r w:rsidR="00B30EBD">
        <w:t>empêchent d’étudier les « carrières sexuelles »</w:t>
      </w:r>
      <w:r>
        <w:t>.</w:t>
      </w:r>
    </w:p>
    <w:p w14:paraId="2BB66D53" w14:textId="52B3E6E9" w:rsidR="00624346" w:rsidRDefault="0069161D" w:rsidP="00620D86">
      <w:pPr>
        <w:pStyle w:val="Corpsdetexte"/>
      </w:pPr>
      <w:r>
        <w:t>La prise en compte de l’identification sexuelle dans les enquêtes ne résout pas tous les problèmes</w:t>
      </w:r>
      <w:r w:rsidR="00624346">
        <w:t xml:space="preserve">. Les femmes et les hommes n’ont ni le même accès aux identifications bisexuelles ni les mêmes coûts à supporter lorsqu’ils les revendiquent. </w:t>
      </w:r>
      <w:proofErr w:type="spellStart"/>
      <w:r w:rsidR="00624346">
        <w:t>Dusseau</w:t>
      </w:r>
      <w:proofErr w:type="spellEnd"/>
      <w:r w:rsidR="00624346">
        <w:t xml:space="preserve"> (2017) estime que les pratiques entre femmes bénéficient d’une certaine tolérance parce qu’elles sont fréquemment désexualisées ou interprétées à travers le regard masculin, tandis que la bisexualité masculine se heurte plus directement à la stigmatisation de l’homosexualité et aux injonctions hétérosexuelle</w:t>
      </w:r>
      <w:r w:rsidR="004E6594">
        <w:t>s masculines</w:t>
      </w:r>
      <w:r w:rsidR="00624346">
        <w:t>. Cette relative tolérance de la bisexualité féminine ne doit toutefois pas être confondue avec une véritable liberté : elle s’accompagne d</w:t>
      </w:r>
      <w:r w:rsidR="004E6594">
        <w:t xml:space="preserve">’une perception fantasmée ou disqualifiée des </w:t>
      </w:r>
      <w:r w:rsidR="00624346">
        <w:t>relations entre femmes.</w:t>
      </w:r>
    </w:p>
    <w:p w14:paraId="108CDAAD" w14:textId="77777777" w:rsidR="00624346" w:rsidRDefault="00624346" w:rsidP="00620D86">
      <w:pPr>
        <w:pStyle w:val="Corpsdetexte"/>
      </w:pPr>
      <w:r>
        <w:t xml:space="preserve">Armstrong (2014) montre également que les femmes bisexuelles peuvent être suspectées, dans certains espaces lesbiens, de vouloir « revenir » vers les hommes ou de réintroduire les rapports hétérosexuels dans les relations entre femmes. La bisexualité masculine et la bisexualité féminine sont ainsi exposées à des mécanismes différents de disqualification. L’analyse des conjugalités bisexuelles doit par conséquent considérer le genre comme un principe structurant de l’objet et non comme une simple variable de contrôle. </w:t>
      </w:r>
    </w:p>
    <w:p w14:paraId="06ADEA4E" w14:textId="77777777" w:rsidR="00624346" w:rsidRDefault="00624346" w:rsidP="00624346">
      <w:pPr>
        <w:pStyle w:val="Titre2"/>
      </w:pPr>
      <w:bookmarkStart w:id="4" w:name="_Toc239087482"/>
      <w:r>
        <w:lastRenderedPageBreak/>
        <w:t>3. Ce que la littérature permet d’attendre d’une analyse des conjugalités bisexuelles</w:t>
      </w:r>
      <w:bookmarkEnd w:id="4"/>
    </w:p>
    <w:p w14:paraId="59026270" w14:textId="362D62FD" w:rsidR="00624346" w:rsidRDefault="00624346" w:rsidP="00073297">
      <w:pPr>
        <w:pStyle w:val="Corpsdetexte"/>
      </w:pPr>
      <w:r>
        <w:t xml:space="preserve">Il n’existe pas, à ce jour, de corpus unifié équivalent à une sociologie constituée des conjugalités bisexuelles. Les résultats sont dispersés entre les recherches sur les couples de même sexe, les travaux sur les identités bisexuelles, les études sur la non-monogamie et la littérature consacrée aux violences. Leur rapprochement fait néanmoins apparaître trois ensembles de questions : les formes et les trajectoires conjugales, les représentations de l’amour et </w:t>
      </w:r>
      <w:r w:rsidR="00595554">
        <w:t>du couple</w:t>
      </w:r>
      <w:r>
        <w:t>, puis les expériences de stigmatisation et de violence.</w:t>
      </w:r>
    </w:p>
    <w:p w14:paraId="4B87540E" w14:textId="77777777" w:rsidR="00624346" w:rsidRDefault="00624346" w:rsidP="00624346">
      <w:pPr>
        <w:pStyle w:val="Titre3"/>
      </w:pPr>
      <w:bookmarkStart w:id="5" w:name="_Toc239087483"/>
      <w:r>
        <w:t>3.1. Des formes conjugales encore mal connues</w:t>
      </w:r>
      <w:bookmarkEnd w:id="5"/>
    </w:p>
    <w:p w14:paraId="21B0701C" w14:textId="77777777" w:rsidR="00624346" w:rsidRDefault="00624346" w:rsidP="00073297">
      <w:pPr>
        <w:pStyle w:val="Corpsdetexte"/>
      </w:pPr>
      <w:r>
        <w:t>Les études consacrées aux couples de même sexe renseignent les effets du mariage, de la cohabitation, de la parentalité ou des discriminations sur la stabilité des relations. Elles ne permettent toutefois pas de savoir si les personnes bisexuelles connaissent des trajectoires comparables. Lorsqu’elles vivent avec une personne d’un autre sexe, ce qui constitue une configuration fréquente dans les recherches citées par Gates (2015), elles sont généralement incluses dans le groupe hétérosexuel. Lorsqu’elles vivent avec une personne du même sexe, elles sont assimilées au groupe homosexuel.</w:t>
      </w:r>
    </w:p>
    <w:p w14:paraId="08C99F8B" w14:textId="06B284B4" w:rsidR="00624346" w:rsidRDefault="00624346" w:rsidP="00073297">
      <w:pPr>
        <w:pStyle w:val="Corpsdetexte"/>
      </w:pPr>
      <w:r>
        <w:t xml:space="preserve">Cette classification rend notamment difficile l’étude de leur rapport à l’institutionnalisation du couple. Les travaux de Gates montrent que les couples de même sexe et de sexe différent donnent des significations largement comparables au mariage — amour, engagement, compagnonnage — tandis que les bénéfices juridiques peuvent prendre une importance particulière pour les populations minoritaires. Moore et </w:t>
      </w:r>
      <w:proofErr w:type="spellStart"/>
      <w:r>
        <w:t>Stambolis</w:t>
      </w:r>
      <w:proofErr w:type="spellEnd"/>
      <w:r>
        <w:t xml:space="preserve"> (2013) soulignent pour leur part le rôle protecteur du mariage, de la durée de la relation, de la présence d’enfants et de l’indépendance financière sur la stabilité du couple. En France, la pluralité des usages du pacs et l’ouverture du mariage aux couples de même sexe </w:t>
      </w:r>
      <w:r w:rsidR="00595554">
        <w:t xml:space="preserve">(Rault 2009 ; Meslay 2023) </w:t>
      </w:r>
      <w:r>
        <w:t>rendent néanmoins nécessaire une analyse située du rapport des personnes bisexuelles aux différentes formes d’union.</w:t>
      </w:r>
    </w:p>
    <w:p w14:paraId="39FA41E8" w14:textId="77777777" w:rsidR="00624346" w:rsidRDefault="00624346" w:rsidP="00073297">
      <w:pPr>
        <w:pStyle w:val="Corpsdetexte"/>
      </w:pPr>
      <w:r>
        <w:t xml:space="preserve">Il reste ainsi à déterminer si les personnes bisexuelles accèdent au couple, cohabitent, se marient, se pacsent ou se séparent dans les mêmes proportions que les personnes hétérosexuelles et homosexuelles. Les éventuels écarts ne devront pas être immédiatement interprétés comme les effets d’une « culture bisexuelle ». Ils peuvent être liés à la structure par âge des groupes, à leur </w:t>
      </w:r>
      <w:r>
        <w:lastRenderedPageBreak/>
        <w:t>position sociale, au genre, au sexe ou au genre du ou de la partenaire, ainsi qu’aux possibilités socialement inégales de rendre visible une identification minoritaire.</w:t>
      </w:r>
    </w:p>
    <w:p w14:paraId="50BF33C7" w14:textId="6A17A15B" w:rsidR="00624346" w:rsidRDefault="00624346" w:rsidP="00073297">
      <w:pPr>
        <w:pStyle w:val="Corpsdetexte"/>
      </w:pPr>
      <w:r>
        <w:t xml:space="preserve">Il est également possible que les personnes bisexuelles les plus engagées dans des couples de sexe différent soient moins présentes dans les espaces communautaires et dans les enquêtes consacrées aux populations LGBT. Inversement, les échantillons recrutés dans ces espaces peuvent sélectionner des personnes dont les trajectoires, les partenaires et les formes d’identification se rapprochent davantage de celles des populations gays et lesbiennes. La comparaison entre plusieurs dispositifs d’enquête </w:t>
      </w:r>
      <w:r w:rsidR="00595554">
        <w:t>invite à ne</w:t>
      </w:r>
      <w:r>
        <w:t xml:space="preserve"> pas confondre les caractéristiques d’un mode de recrutement avec celles de la population bisexuelle.</w:t>
      </w:r>
    </w:p>
    <w:p w14:paraId="5232329B" w14:textId="77777777" w:rsidR="00624346" w:rsidRDefault="00624346" w:rsidP="00624346">
      <w:pPr>
        <w:pStyle w:val="Titre3"/>
      </w:pPr>
      <w:bookmarkStart w:id="6" w:name="_Toc239087484"/>
      <w:r>
        <w:t>3.2. Exclusivité, pluralité des attirances et représentations de l’amour</w:t>
      </w:r>
      <w:bookmarkEnd w:id="6"/>
    </w:p>
    <w:p w14:paraId="6ACC51ED" w14:textId="77777777" w:rsidR="00624346" w:rsidRDefault="00624346" w:rsidP="00073297">
      <w:pPr>
        <w:pStyle w:val="Corpsdetexte"/>
      </w:pPr>
      <w:r>
        <w:t>Le modèle dominant du couple associe une relation privilégiée, une exclusivité au moins affective, une distinction forte entre le couple et les autres liens, et une certaine articulation entre amour, sexualité et vie commune. Même lorsque les trajectoires deviennent plus mobiles et les unions moins institutionnalisées, l’idéal conjugal conserve une dimension fusionnelle : le couple est supposé réunir dans une même relation la sexualité, l’intimité, le soutien affectif et le projet de vie.</w:t>
      </w:r>
    </w:p>
    <w:p w14:paraId="3B6FE756" w14:textId="43709894" w:rsidR="00624346" w:rsidRDefault="00624346" w:rsidP="00073297">
      <w:pPr>
        <w:pStyle w:val="Corpsdetexte"/>
      </w:pPr>
      <w:r>
        <w:t xml:space="preserve">Les bisexualités introduisent une tension dans ce modèle, non parce qu’elles supposeraient nécessairement plusieurs partenaires, mais parce que la pluralité potentielle des attirances ne disparaît pas avec la mise en couple. Pour </w:t>
      </w:r>
      <w:proofErr w:type="spellStart"/>
      <w:r>
        <w:t>Dusseau</w:t>
      </w:r>
      <w:proofErr w:type="spellEnd"/>
      <w:r>
        <w:t xml:space="preserve"> (2017), la bisexualité introduirait ainsi la possibilité du multiple dans une conception de l’amour organisée autour de la fusion de deux individus. Elle permettrait de rendre visible le caractère historiquement et socialement construit de l’équivalence entre amour, exclusivité et monogamie. Les travaux de </w:t>
      </w:r>
      <w:proofErr w:type="spellStart"/>
      <w:r>
        <w:t>Klesse</w:t>
      </w:r>
      <w:proofErr w:type="spellEnd"/>
      <w:r>
        <w:t xml:space="preserve"> sur le polyamour</w:t>
      </w:r>
      <w:r w:rsidR="00595554">
        <w:t xml:space="preserve"> (2018)</w:t>
      </w:r>
      <w:r>
        <w:t xml:space="preserve"> montrent également que les mouvements et les identifications bisexuels ont entretenu des liens historiques avec les critiques de la monogamie et avec la recherche de formes relationnelles reconnaissant la pluralité des attachements.</w:t>
      </w:r>
    </w:p>
    <w:p w14:paraId="4F0A99FE" w14:textId="77777777" w:rsidR="00624346" w:rsidRDefault="00624346" w:rsidP="00073297">
      <w:pPr>
        <w:pStyle w:val="Corpsdetexte"/>
      </w:pPr>
      <w:r>
        <w:t xml:space="preserve">Les résultats de Rault et Lambert (2019) apportent un premier appui empirique à cette hypothèse : les personnes classées « homo-bi », particulièrement les femmes, se montrent plus favorables à une dissociation entre sexualité, amour et engagement conjugal. Toutefois, cette catégorie ne permet pas d’attribuer précisément ces représentations à la bisexualité. Les différences observées peuvent également reproduire les écarts genrés déjà identifiés entre couples d’hommes et couples de </w:t>
      </w:r>
      <w:r>
        <w:lastRenderedPageBreak/>
        <w:t xml:space="preserve">femmes. Une plus grande acceptation théorique des relations sans sentiment, du </w:t>
      </w:r>
      <w:proofErr w:type="spellStart"/>
      <w:r>
        <w:t>multipartenariat</w:t>
      </w:r>
      <w:proofErr w:type="spellEnd"/>
      <w:r>
        <w:t xml:space="preserve"> ou de l’amour pour plusieurs personnes ne signifie pas non plus que ces pratiques soient effectivement plus fréquentes.</w:t>
      </w:r>
    </w:p>
    <w:p w14:paraId="64C2979D" w14:textId="77777777" w:rsidR="00624346" w:rsidRDefault="00624346" w:rsidP="00073297">
      <w:pPr>
        <w:pStyle w:val="Corpsdetexte"/>
      </w:pPr>
      <w:r>
        <w:t xml:space="preserve">Surtout, associer trop directement bisexualité et non-monogamie risque de reprendre les stéréotypes qui présentent les personnes bisexuelles comme incapables de fidélité, insatisfaites avec </w:t>
      </w:r>
      <w:proofErr w:type="spellStart"/>
      <w:r>
        <w:t>un·e</w:t>
      </w:r>
      <w:proofErr w:type="spellEnd"/>
      <w:r>
        <w:t xml:space="preserve"> </w:t>
      </w:r>
      <w:proofErr w:type="spellStart"/>
      <w:r>
        <w:t>seul·e</w:t>
      </w:r>
      <w:proofErr w:type="spellEnd"/>
      <w:r>
        <w:t xml:space="preserve"> partenaire ou nécessairement attirées par toutes les personnes qu’elles rencontrent. La pluralité des genres susceptibles de susciter une attirance ne dit rien, à elle seule, du nombre de partenaires souhaités, de la fréquence des pratiques extraconjugales ou du rapport à l’exclusivité.</w:t>
      </w:r>
    </w:p>
    <w:p w14:paraId="183F42EC" w14:textId="4E2E1608" w:rsidR="00624346" w:rsidRDefault="00624346" w:rsidP="00073297">
      <w:pPr>
        <w:pStyle w:val="Corpsdetexte"/>
      </w:pPr>
      <w:r>
        <w:t xml:space="preserve">Ces stéréotypes peuvent néanmoins avoir des effets réels sur la relation. Les travaux de </w:t>
      </w:r>
      <w:proofErr w:type="spellStart"/>
      <w:r>
        <w:t>Turell</w:t>
      </w:r>
      <w:proofErr w:type="spellEnd"/>
      <w:r>
        <w:t xml:space="preserve"> montrent que la bi-négativité du ou de la partenaire et l’infidélité, réelle ou supposée, sont associées à des dynamiques de contrôle et à des violences</w:t>
      </w:r>
      <w:r w:rsidR="00595554">
        <w:t xml:space="preserve"> (2018)</w:t>
      </w:r>
      <w:r>
        <w:t>. Les relations ouvertes et polyamoureuses ne constituent donc pas automatiquement des espaces d’émancipation pour les personnes bisexuelles. Elles supposent des accords, des ressources relationnelles et une reconnaissance réciproque qui peuvent faire défaut. La non-exclusivité négociée peut coexister avec la jalousie, la surveillance ou l’usage de la bisexualité comme justification d’un contrôle renforcé.</w:t>
      </w:r>
    </w:p>
    <w:p w14:paraId="4DF705E4" w14:textId="65712C38" w:rsidR="00624346" w:rsidRDefault="00624346" w:rsidP="00073297">
      <w:pPr>
        <w:pStyle w:val="Corpsdetexte"/>
      </w:pPr>
      <w:r>
        <w:t xml:space="preserve">L’enjeu empirique n’est donc pas de vérifier si les personnes bisexuelles seraient « par nature » moins monogames. Il consiste plutôt à déterminer si elles expriment des représentations différentes de l’amour, de l’exclusivité </w:t>
      </w:r>
      <w:r w:rsidR="00595554">
        <w:t xml:space="preserve">relationnelle et du couple </w:t>
      </w:r>
      <w:r>
        <w:t xml:space="preserve">; si ces représentations varient selon leur genre et la configuration de leur couple ; et si les stéréotypes attachés à leur identification interviennent dans leur satisfaction ou dans les négociations conjugales. </w:t>
      </w:r>
    </w:p>
    <w:p w14:paraId="18A9D179" w14:textId="77777777" w:rsidR="00624346" w:rsidRDefault="00624346" w:rsidP="00624346">
      <w:pPr>
        <w:pStyle w:val="Titre3"/>
      </w:pPr>
      <w:bookmarkStart w:id="7" w:name="_Toc239087485"/>
      <w:r>
        <w:t>3.3. Invisibilisation, biphobie et violences au sein du couple</w:t>
      </w:r>
      <w:bookmarkEnd w:id="7"/>
    </w:p>
    <w:p w14:paraId="45D5DA09" w14:textId="77777777" w:rsidR="00624346" w:rsidRDefault="00624346" w:rsidP="00073297">
      <w:pPr>
        <w:pStyle w:val="Corpsdetexte"/>
      </w:pPr>
      <w:r>
        <w:t>Le couple n’est pas seulement le lieu où la bisexualité devient difficile à catégoriser pour l’observateur ou l’observatrice. Il peut également devenir un espace où cette identification est reconnue, niée, minorée ou utilisée contre la personne. Le ou la partenaire peut considérer que l’engagement dans une relation de sexe différent « prouve » une hétérosexualité, ou qu’une relation de même sexe « révèle » une homosexualité auparavant dissimulée. La bisexualité est alors interprétée comme une phase passée, une hésitation ou une identité désormais sans pertinence.</w:t>
      </w:r>
    </w:p>
    <w:p w14:paraId="381A6542" w14:textId="6788C10A" w:rsidR="00624346" w:rsidRDefault="00624346" w:rsidP="00073297">
      <w:pPr>
        <w:pStyle w:val="Corpsdetexte"/>
      </w:pPr>
      <w:r>
        <w:t>Cette invisibilisation peut être relativement silencieuse, mais elle peut aussi prendre la forme d’une biphobie conjugale</w:t>
      </w:r>
      <w:r w:rsidR="00FC166B">
        <w:t xml:space="preserve"> qui dénie ou suspecte la pluralité des désirs et des relations</w:t>
      </w:r>
      <w:r>
        <w:t xml:space="preserve"> : dénigrement des </w:t>
      </w:r>
      <w:r>
        <w:lastRenderedPageBreak/>
        <w:t xml:space="preserve">relations passées, accusation d’indécision, suspicion d’infidélité, contrôle des fréquentations ou crainte d’être </w:t>
      </w:r>
      <w:proofErr w:type="spellStart"/>
      <w:r>
        <w:t>quitté·e</w:t>
      </w:r>
      <w:proofErr w:type="spellEnd"/>
      <w:r>
        <w:t xml:space="preserve"> pour une personne d’un autre genre. Les personnes bisexuelles peuvent subir cette disqualification à la fois dans des espaces hétérosexuels et dans des espaces gays ou lesbiens, ce qui limite parfois leur accès à des réseaux de soutien.</w:t>
      </w:r>
    </w:p>
    <w:p w14:paraId="67AB7495" w14:textId="77777777" w:rsidR="00624346" w:rsidRDefault="00624346" w:rsidP="00073297">
      <w:pPr>
        <w:pStyle w:val="Corpsdetexte"/>
      </w:pPr>
      <w:r>
        <w:t>La littérature anglo-saxonne sur les violences conjugales fait apparaître une surexposition des femmes bisexuelles par rapport aux femmes hétérosexuelles et lesbiennes (</w:t>
      </w:r>
      <w:proofErr w:type="spellStart"/>
      <w:r>
        <w:t>Bermea</w:t>
      </w:r>
      <w:proofErr w:type="spellEnd"/>
      <w:r>
        <w:t>, 2018). Plusieurs mécanismes sont envisagés : stress minoritaire, discriminations, isolement à l’égard des communautés hétérosexuelles comme LGBT, réactions négatives à la divulgation de l’identification bisexuelle et recours, par le ou la partenaire, à des stéréotypes de promiscuité ou d’infidélité.</w:t>
      </w:r>
    </w:p>
    <w:p w14:paraId="37A46FA4" w14:textId="1C18263E" w:rsidR="00624346" w:rsidRDefault="00624346" w:rsidP="00073297">
      <w:pPr>
        <w:pStyle w:val="Corpsdetexte"/>
      </w:pPr>
      <w:r>
        <w:t xml:space="preserve">L’hypersexualisation de la bisexualité féminine constitue un autre mécanisme important. Les femmes bisexuelles peuvent être présumées particulièrement disponibles, ouvertes au sexe de groupe ou consentantes à des pratiques qu’elles n’ont pas choisies. Les travaux de </w:t>
      </w:r>
      <w:proofErr w:type="spellStart"/>
      <w:r>
        <w:t>Flanders</w:t>
      </w:r>
      <w:proofErr w:type="spellEnd"/>
      <w:r>
        <w:t xml:space="preserve"> et de ses </w:t>
      </w:r>
      <w:proofErr w:type="spellStart"/>
      <w:r>
        <w:t>coauteur·ices</w:t>
      </w:r>
      <w:proofErr w:type="spellEnd"/>
      <w:r>
        <w:t xml:space="preserve"> </w:t>
      </w:r>
      <w:r w:rsidR="00FC166B">
        <w:t xml:space="preserve">(2019) </w:t>
      </w:r>
      <w:r>
        <w:t xml:space="preserve">montrent que ces représentations peuvent entraver la négociation du consentement et contribuer à la coercition sexuelle. La visibilité sociale de la bisexualité féminine ne signifie donc pas sa reconnaissance : elle peut prendre la forme d’une visibilité </w:t>
      </w:r>
      <w:r w:rsidR="00FC166B">
        <w:t xml:space="preserve">sous contrainte et d’une plus forte exposition </w:t>
      </w:r>
      <w:r>
        <w:t>aux violences.</w:t>
      </w:r>
    </w:p>
    <w:p w14:paraId="3A5BB58E" w14:textId="657FEA0B" w:rsidR="00624346" w:rsidRDefault="00624346" w:rsidP="00073297">
      <w:pPr>
        <w:pStyle w:val="Corpsdetexte"/>
      </w:pPr>
      <w:r>
        <w:t>Cette littérature comporte toutefois des limites proches de celles observées dans la sociologie générale du couple. Les personnes bisexuelles sont souvent réunies avec d’autres minorités sexuelles. Une grande partie des travaux porte uniquement sur des femmes cisgenres et ne permet pas d’étudier correctement les expériences des hommes bisexuels, des personnes trans ou des personnes plus âgées. Le genre du ou de la partenaire et son identification sexuelle sont également rarement analysés de façon systématique.</w:t>
      </w:r>
    </w:p>
    <w:p w14:paraId="6B50CD4B" w14:textId="77777777" w:rsidR="00624346" w:rsidRDefault="00624346" w:rsidP="00073297">
      <w:pPr>
        <w:pStyle w:val="Corpsdetexte"/>
      </w:pPr>
      <w:r>
        <w:t xml:space="preserve">Ces résultats justifient néanmoins de traiter les violences comme une dimension centrale de la conjugalité bisexuelle, et non comme une question extérieure relevant uniquement de la santé publique. Ils permettent d’interroger les conséquences concrètes de la tension entre une identification </w:t>
      </w:r>
      <w:proofErr w:type="spellStart"/>
      <w:r>
        <w:t>plurisexuelle</w:t>
      </w:r>
      <w:proofErr w:type="spellEnd"/>
      <w:r>
        <w:t xml:space="preserve"> et un ordre conjugal qui attend des personnes qu’elles deviennent lisibles à travers une relation exclusive. </w:t>
      </w:r>
    </w:p>
    <w:p w14:paraId="15E0A5BE" w14:textId="69F17AF9" w:rsidR="00624346" w:rsidRDefault="00FC166B" w:rsidP="00624346">
      <w:pPr>
        <w:pStyle w:val="Titre2"/>
      </w:pPr>
      <w:bookmarkStart w:id="8" w:name="_Toc239087486"/>
      <w:r>
        <w:lastRenderedPageBreak/>
        <w:t>4. Ce que la bisexualité fait au couple</w:t>
      </w:r>
      <w:bookmarkEnd w:id="8"/>
      <w:r>
        <w:t xml:space="preserve"> </w:t>
      </w:r>
    </w:p>
    <w:p w14:paraId="66432849" w14:textId="774299CF" w:rsidR="00624346" w:rsidRDefault="00624346" w:rsidP="00073297">
      <w:pPr>
        <w:pStyle w:val="Corpsdetexte"/>
      </w:pPr>
      <w:r>
        <w:t>Le croisement de ces travaux fait apparaître un angle mort partagé par la sociologie de la conjugalité et par la sociologie de la bisexualité.</w:t>
      </w:r>
    </w:p>
    <w:p w14:paraId="396D768D" w14:textId="77777777" w:rsidR="00624346" w:rsidRDefault="00624346" w:rsidP="00073297">
      <w:pPr>
        <w:pStyle w:val="Corpsdetexte"/>
      </w:pPr>
      <w:r>
        <w:t>La sociologie de la conjugalité dispose d’outils nombreux pour étudier la mise en couple, l’homogamie, la cohabitation, l’institutionnalisation, la séparation, les représentations et les violences. Cependant, elle continue le plus souvent à qualifier les relations à partir du sexe ou du genre des partenaires. Elle rend ainsi visibles les couples de même sexe sans nécessairement rendre visibles les personnes bisexuelles qui les composent.</w:t>
      </w:r>
    </w:p>
    <w:p w14:paraId="3769C6A1" w14:textId="77777777" w:rsidR="00624346" w:rsidRDefault="00624346" w:rsidP="00073297">
      <w:pPr>
        <w:pStyle w:val="Corpsdetexte"/>
      </w:pPr>
      <w:r>
        <w:t xml:space="preserve">La sociologie de la bisexualité a, inversement, développé une critique approfondie de la binarité hétérosexuelle/homosexuelle et des catégories monosexuelles. Elle a montré que la bisexualité ne peut être réduite aux pratiques observées ni au ou à la partenaire </w:t>
      </w:r>
      <w:proofErr w:type="spellStart"/>
      <w:r>
        <w:t>actuel·le</w:t>
      </w:r>
      <w:proofErr w:type="spellEnd"/>
      <w:r>
        <w:t>. Elle s’est toutefois moins systématiquement intéressée aux formes ordinaires et institutionnelles de la vie en couple. Lorsqu’elle aborde la conjugalité, elle privilégie souvent la critique théorique de la monogamie, l’étude des identités ou les violences, sans disposer de comparaisons quantitatives permettant d’étudier conjointement les personnes bisexuelles, hétérosexuelles et homosexuelles.</w:t>
      </w:r>
    </w:p>
    <w:p w14:paraId="6FF5EC4C" w14:textId="77777777" w:rsidR="00624346" w:rsidRDefault="00624346" w:rsidP="00073297">
      <w:pPr>
        <w:pStyle w:val="Corpsdetexte"/>
      </w:pPr>
      <w:r>
        <w:t xml:space="preserve">Cet angle mort est simultanément théorique, méthodologique et empirique. Il est théorique parce que le couple reste spontanément pensé comme hétérosexuel ou homosexuel. Il est méthodologique parce que les instruments privilégient </w:t>
      </w:r>
      <w:proofErr w:type="spellStart"/>
      <w:r>
        <w:t>un·e</w:t>
      </w:r>
      <w:proofErr w:type="spellEnd"/>
      <w:r>
        <w:t xml:space="preserve"> partenaire </w:t>
      </w:r>
      <w:proofErr w:type="spellStart"/>
      <w:r>
        <w:t>principal·e</w:t>
      </w:r>
      <w:proofErr w:type="spellEnd"/>
      <w:r>
        <w:t xml:space="preserve"> et distinguent imparfaitement identification, attirances et pratiques. Il est empirique parce que les personnes bisexuelles sont fréquemment absorbées dans les groupes hétérosexuels, homosexuels ou « homo-bi ».</w:t>
      </w:r>
    </w:p>
    <w:p w14:paraId="48770955" w14:textId="01220BFB" w:rsidR="00624346" w:rsidRDefault="00624346" w:rsidP="00073297">
      <w:pPr>
        <w:pStyle w:val="Corpsdetexte"/>
      </w:pPr>
      <w:r>
        <w:t xml:space="preserve">L’enquête Virage fournit un matériau permettant de commencer à combler ce manque. Sans avoir été conçue comme une enquête </w:t>
      </w:r>
      <w:r w:rsidR="00FC166B">
        <w:t>les parcours conjugaux</w:t>
      </w:r>
      <w:r>
        <w:t>, elle renseigne plusieurs dimensions classiques de la conjugalité : la situation conjugale et matrimoniale, la cohabitation, la durée des relations, certaines représentations du couple, la satisfaction relationnelle et les violences. La présence d’un volet en population générale et d’un volet consacré aux populations LGBT permet en outre d’observer des personnes bisexuelles dans deux cadres de recrutement différents. La portée et les limites de cette comparaison, ainsi que les problèmes liés à la construction des variables d’identification, seront développés dans la partie méthodologique.</w:t>
      </w:r>
    </w:p>
    <w:p w14:paraId="3F87DFDC" w14:textId="2FE21B15" w:rsidR="00624346" w:rsidRDefault="00624346" w:rsidP="00073297">
      <w:pPr>
        <w:pStyle w:val="Corpsdetexte"/>
      </w:pPr>
      <w:r>
        <w:lastRenderedPageBreak/>
        <w:t>À partir de ce croisement de la littérature, la question générale du mémoire peut être formulée ainsi :</w:t>
      </w:r>
      <w:r w:rsidR="00FC166B">
        <w:t xml:space="preserve"> </w:t>
      </w:r>
      <w:r w:rsidR="00FC166B" w:rsidRPr="00FC166B">
        <w:rPr>
          <w:b/>
          <w:bCs/>
        </w:rPr>
        <w:t>Qu’est-ce que faire couple pour les personnes qui se déclarent bisexuelles ?</w:t>
      </w:r>
      <w:r w:rsidR="00FC166B">
        <w:t xml:space="preserve"> </w:t>
      </w:r>
      <w:r>
        <w:rPr>
          <w:rStyle w:val="lev"/>
        </w:rPr>
        <w:t>Comment l’identification bisexuelle s’inscrit-elle dans les trajectoires, les normes et les expériences conjugales, et dans quelle mesure celles-ci se distinguent-elles de celles des personnes hétérosexuelles et homosexuelles ?</w:t>
      </w:r>
    </w:p>
    <w:p w14:paraId="5AA3C7B9" w14:textId="29BE9F56" w:rsidR="00624346" w:rsidRDefault="00624346" w:rsidP="00073297">
      <w:pPr>
        <w:pStyle w:val="Corpsdetexte"/>
      </w:pPr>
      <w:r>
        <w:t>Cette interrogation générale se décline en trois ensembles de questions. Premièrement, les personnes bisexuelles connaissent-elles des formes particulières d’accès à la conjugalité, de cohabitation et d’institutionnalisation de leurs relations ? Deuxièmement, expriment-elles des représentations différentes d</w:t>
      </w:r>
      <w:r w:rsidR="00FC166B">
        <w:t>u couple</w:t>
      </w:r>
      <w:r>
        <w:t>, de l’exclusivité et de la satisfaction conjugale ? Troisièmement, sont-elles exposées à des formes spécifiques d’invisibilisation, de contrôle et de violence dans leurs relations ?</w:t>
      </w:r>
    </w:p>
    <w:p w14:paraId="5831E503" w14:textId="77777777" w:rsidR="00624346" w:rsidRDefault="00624346" w:rsidP="00073297">
      <w:pPr>
        <w:pStyle w:val="Corpsdetexte"/>
      </w:pPr>
      <w:r>
        <w:t xml:space="preserve">Il ne s’agit pas de présupposer l’existence d’une conjugalité bisexuelle homogène ni d’attribuer à l’identification bisexuelle un effet causal propre. Les différences observées peuvent être liées à l’âge, à la classe sociale, au genre, aux trajectoires antérieures ou à la composition sexuée du couple. Le point de départ de ce mémoire est plus précisément l’hypothèse que la rencontre entre une identification </w:t>
      </w:r>
      <w:proofErr w:type="spellStart"/>
      <w:r>
        <w:t>plurisexuelle</w:t>
      </w:r>
      <w:proofErr w:type="spellEnd"/>
      <w:r>
        <w:t xml:space="preserve"> et un ordre conjugal organisé autour de catégories monosexuelles peut produire des configurations et des expériences particulières. Ces éventuelles spécificités doivent être établies empiriquement, et non déduites de la seule définition de la bisexualité.</w:t>
      </w:r>
    </w:p>
    <w:p w14:paraId="4D830F3D" w14:textId="00F66F57" w:rsidR="00624346" w:rsidRDefault="00624346" w:rsidP="00624346">
      <w:pPr>
        <w:pStyle w:val="Corpsdetexte"/>
      </w:pPr>
      <w:r>
        <w:t>L’enjeu est ainsi de passer de la question de Deschamps — comment rendre visible la bisexualité lorsqu’on ne voit que deux personnes ? — à une analyse de ce que l’identification bisexuelle change, ou ne change pas, dans les manières de faire couple.</w:t>
      </w:r>
    </w:p>
    <w:p w14:paraId="1837302D" w14:textId="77777777" w:rsidR="00E2476B" w:rsidRDefault="00E2476B" w:rsidP="00F1581A">
      <w:pPr>
        <w:pStyle w:val="Corpsdetexte"/>
      </w:pPr>
      <w:r>
        <w:t xml:space="preserve">Pour répondre à la problématique, nous mobilisons les données de l’enquête Virage en population générale et celles de son volet complémentaire Virage LGBT. Ces deux dispositifs ne sont pas traités comme deux reproductions d’une même enquête. Le premier permet de situer les personnes bisexuelles dans la population générale et d’établir des données de cadrage pondérées, mais leurs effectifs y sont faibles. Le second rassemble un nombre beaucoup plus important de personnes appartenant aux minorités sexuelles et de genre, mais repose sur un échantillon de volontaires recruté dans des espaces LGBT. Il permet d’approfondir certaines configurations sans autoriser une généralisation à l’ensemble de la population LGBT. Cette complémentarité constitue l’un des principes méthodologiques de ce travail. </w:t>
      </w:r>
    </w:p>
    <w:p w14:paraId="091A0DD6" w14:textId="74FA16A8" w:rsidR="00E2476B" w:rsidRDefault="00F1581A" w:rsidP="00624346">
      <w:pPr>
        <w:pStyle w:val="Corpsdetexte"/>
      </w:pPr>
      <w:r>
        <w:lastRenderedPageBreak/>
        <w:t xml:space="preserve">Le premier chapitre présente ces deux dispositifs et les opérations par lesquelles sont construites les populations et les variables analysées. Il examine notamment le choix de l’identification sexuelle comme critère principal, la présomption d’hétérosexualité inscrite dans le questionnaire, la mesure du genre et les limites de l’opérationnalisation de la conjugalité. Les trois chapitres empiriques portent ensuite successivement sur les formes et l’institutionnalisation de la vie conjugale, sur les représentations du couple et la satisfaction relationnelle, puis sur les violences vécues dans la sphère conjugale. </w:t>
      </w:r>
    </w:p>
    <w:p w14:paraId="14C09689" w14:textId="77777777" w:rsidR="00EE42F2" w:rsidRDefault="00EE42F2" w:rsidP="00EE42F2">
      <w:pPr>
        <w:pStyle w:val="Titre1"/>
        <w:jc w:val="both"/>
      </w:pPr>
      <w:bookmarkStart w:id="9" w:name="_Toc239087487"/>
      <w:r>
        <w:t>Données et méthode : construire statistiquement les conjugalités bisexuelles</w:t>
      </w:r>
      <w:bookmarkEnd w:id="9"/>
    </w:p>
    <w:p w14:paraId="3B5BCF33" w14:textId="77777777" w:rsidR="00EE42F2" w:rsidRDefault="00EE42F2" w:rsidP="00EE42F2">
      <w:pPr>
        <w:pStyle w:val="Titre2"/>
        <w:jc w:val="both"/>
      </w:pPr>
      <w:bookmarkStart w:id="10" w:name="_Toc239087488"/>
      <w:r>
        <w:t>1. L’enquête Virage : une enquête sur les violences mobilisée pour étudier la conjugalité</w:t>
      </w:r>
      <w:bookmarkEnd w:id="10"/>
    </w:p>
    <w:p w14:paraId="4C28B1AA" w14:textId="0A863B64" w:rsidR="00EE42F2" w:rsidRDefault="00EE42F2" w:rsidP="00EE42F2">
      <w:pPr>
        <w:pStyle w:val="Corpsdetexte"/>
      </w:pPr>
      <w:r>
        <w:t xml:space="preserve">L’enquête </w:t>
      </w:r>
      <w:r w:rsidRPr="00EE42F2">
        <w:rPr>
          <w:rStyle w:val="Accentuation"/>
          <w:i w:val="0"/>
          <w:iCs w:val="0"/>
        </w:rPr>
        <w:t>Violences et rapports de genre</w:t>
      </w:r>
      <w:r>
        <w:t xml:space="preserve">, Virage a été réalisée par l’Ined en 2015 afin d’étudier les violences interpersonnelles subies par les femmes et les hommes dans les différentes sphères de leur vie. Son questionnaire est organisé en modules portant notamment sur les études, le travail, la famille, les espaces publics et les relations conjugales. L’enquête principale a été menée par téléphone auprès de 27 268 personnes âgées de 20 à 69 ans, résidant en France hexagonale et vivant en ménage ordinaire. Le protocole repose sur une sélection aléatoire de numéros de téléphone puis d’une personne au sein du ménage ; les pondérations fournies avec la base corrigent en partie les déséquilibres de participation observés selon différentes caractéristiques sociodémographiques. </w:t>
      </w:r>
    </w:p>
    <w:p w14:paraId="5034B44D" w14:textId="59063956" w:rsidR="00EE42F2" w:rsidRDefault="00EE42F2" w:rsidP="00EE42F2">
      <w:pPr>
        <w:pStyle w:val="Corpsdetexte"/>
      </w:pPr>
      <w:r>
        <w:t xml:space="preserve">Virage n’a pas été conçue comme une enquête sur les parcours conjugaux, elle ne permet pas de retracer aussi précisément que d’autres enquêtes les lieux de rencontre, les processus de mise en couple, les rituels d’union ou les trajectoires relationnelles. Elle renseigne néanmoins plusieurs dimensions centrales pour notre objet : la situation conjugale et matrimoniale, la cohabitation, certaines caractéristiques du ou de la partenaire, les représentations du couple, la satisfaction relationnelle et les violences survenues dans les relations conjugales. Cette utilisation constitue donc un déplacement du matériau : une enquête consacrée principalement aux violences est mobilisée pour étudier plus largement les formes et les expériences de la conjugalité. </w:t>
      </w:r>
    </w:p>
    <w:p w14:paraId="10F5DD3F" w14:textId="77777777" w:rsidR="00EE42F2" w:rsidRDefault="00EE42F2" w:rsidP="00EE42F2">
      <w:pPr>
        <w:pStyle w:val="Corpsdetexte"/>
      </w:pPr>
      <w:r>
        <w:t xml:space="preserve">Il faut ici souligner que Virage produit des données individuelles et non dyadiques. Les déclarations ne portent que sur l’expérience d’un membre du couple ; elles ne peuvent pas être confrontées à </w:t>
      </w:r>
      <w:r>
        <w:lastRenderedPageBreak/>
        <w:t>celles de son ou sa partenaire. Surtout, l’enquête ne renseigne pas l’identification sexuelle de ce dernier ou de cette dernière. Nous pouvons donc distinguer l’identification de la personne enquêtée et, lorsqu’elle est disponible, le sexe ou le genre du ou de la partenaire, mais non déterminer si une union réunit deux personnes bisexuelles, une personne bisexuelle et une personne hétérosexuelle ou une personne bisexuelle et une personne homosexuelle.</w:t>
      </w:r>
    </w:p>
    <w:p w14:paraId="722D4BEA" w14:textId="6DCDC6AB" w:rsidR="00EE42F2" w:rsidRDefault="00EE42F2" w:rsidP="00EE42F2">
      <w:pPr>
        <w:pStyle w:val="Corpsdetexte"/>
      </w:pPr>
      <w:r>
        <w:t xml:space="preserve">Cette dernière précision est importante : elle justifie de parler de </w:t>
      </w:r>
      <w:r w:rsidRPr="00EE42F2">
        <w:rPr>
          <w:rStyle w:val="lev"/>
          <w:b w:val="0"/>
          <w:bCs w:val="0"/>
        </w:rPr>
        <w:t>personnes bisexuelles en couple</w:t>
      </w:r>
      <w:r w:rsidRPr="00EE42F2">
        <w:rPr>
          <w:b/>
          <w:bCs/>
        </w:rPr>
        <w:t xml:space="preserve"> </w:t>
      </w:r>
      <w:r w:rsidRPr="00EE42F2">
        <w:t>ou de</w:t>
      </w:r>
      <w:r w:rsidRPr="00EE42F2">
        <w:rPr>
          <w:b/>
          <w:bCs/>
        </w:rPr>
        <w:t xml:space="preserve"> </w:t>
      </w:r>
      <w:r w:rsidRPr="00EE42F2">
        <w:rPr>
          <w:rStyle w:val="lev"/>
          <w:b w:val="0"/>
          <w:bCs w:val="0"/>
        </w:rPr>
        <w:t>conjugalités des personnes bisexuelles</w:t>
      </w:r>
      <w:r>
        <w:t>, et non de « couples bisexuels » comme si l’identification des deux membres était connue.</w:t>
      </w:r>
    </w:p>
    <w:p w14:paraId="4EC63CA7" w14:textId="77777777" w:rsidR="00EE42F2" w:rsidRDefault="00EE42F2" w:rsidP="00EE42F2">
      <w:pPr>
        <w:pStyle w:val="Titre2"/>
        <w:jc w:val="both"/>
      </w:pPr>
      <w:bookmarkStart w:id="11" w:name="_Toc239087489"/>
      <w:r>
        <w:t>2. Deux dispositifs de collecte, deux fractions de la population bisexuelle observées</w:t>
      </w:r>
      <w:bookmarkEnd w:id="11"/>
    </w:p>
    <w:p w14:paraId="31CE6294" w14:textId="77777777" w:rsidR="00391A1C" w:rsidRDefault="00EE42F2" w:rsidP="00EE42F2">
      <w:pPr>
        <w:pStyle w:val="Corpsdetexte"/>
      </w:pPr>
      <w:r>
        <w:t xml:space="preserve">Malgré la taille de l’échantillon en population générale, les personnes homosexuelles et bisexuelles y restent peu nombreuses. L’Ined recense 503 personnes s’identifiant comme homosexuelles ou bisexuelles parmi les 27 268 répondant·es : 94 lesbiennes, 135 femmes bisexuelles, 180 hommes gays et 94 hommes bisexuels. Pour disposer d’effectifs plus importants, un volet complémentaire a été organisé entre novembre 2015 et mars 2016 auprès de personnes LGBT âgées de 18 ans ou plus. Le questionnaire, presque identique à celui de Virage en population générale, a été diffusé en ligne par l’intermédiaire d’une centaine d’associations, de médias, de centres de dépistage, de sites de rencontre et d’autres espaces LGBT. Sur 10 612 personnes ayant commencé le questionnaire, 7 148 l’ont rempli intégralement. </w:t>
      </w:r>
    </w:p>
    <w:p w14:paraId="7EE2C0C4" w14:textId="2AF27063" w:rsidR="00EE42F2" w:rsidRDefault="00EE42F2" w:rsidP="00EE42F2">
      <w:pPr>
        <w:pStyle w:val="Corpsdetexte"/>
      </w:pPr>
      <w:r>
        <w:t xml:space="preserve">Le volet LGBT ne dispose d’aucune pondération, faute de base de sondage permettant de connaître les probabilités d’inclusion. Les résultats qui en sont issus décrivent donc les personnes effectivement recrutées, et non l’ensemble des personnes LGBT vivant en France. </w:t>
      </w:r>
    </w:p>
    <w:p w14:paraId="5C0A2014" w14:textId="55A88EB9" w:rsidR="00EE42F2" w:rsidRDefault="00EE42F2" w:rsidP="00EE42F2">
      <w:pPr>
        <w:pStyle w:val="Corpsdetexte"/>
      </w:pPr>
      <w:r>
        <w:t xml:space="preserve">Virage en population générale permet d’estimer des proportions dans la population couverte par l’enquête et d’observer des personnes bisexuelles qui ne fréquentent pas nécessairement les espaces LGBT. Virage LGBT sélectionne davantage les personnes disposées à répondre à un questionnaire explicitement destiné aux populations LGBT et atteintes par ses canaux de diffusion. Il est raisonnable de supposer que ces personnes sont en moyenne plus proches des sociabilités communautaires ou plus susceptibles de présenter leur sexualité comme une identification minoritaire, même si l’enquête ne permet pas de mesurer directement cet effet de sélection. Le </w:t>
      </w:r>
      <w:r>
        <w:lastRenderedPageBreak/>
        <w:t xml:space="preserve">dispositif communautaire avait précisément pour objectif d’atteindre des populations LGBT difficiles à joindre dans une enquête générale, et non de constituer un échantillon représentatif. </w:t>
      </w:r>
    </w:p>
    <w:p w14:paraId="0B7D894B" w14:textId="3CB6D23D" w:rsidR="00EE42F2" w:rsidRDefault="00391A1C" w:rsidP="00EE42F2">
      <w:pPr>
        <w:pStyle w:val="Corpsdetexte"/>
      </w:pPr>
      <w:r>
        <w:t>Les deux échantillons couvrent</w:t>
      </w:r>
      <w:r w:rsidR="00EE42F2">
        <w:t xml:space="preserve"> </w:t>
      </w:r>
      <w:r w:rsidR="00EE42F2" w:rsidRPr="00391A1C">
        <w:rPr>
          <w:rStyle w:val="lev"/>
          <w:b w:val="0"/>
          <w:bCs w:val="0"/>
        </w:rPr>
        <w:t>deux fractions de la population bisexuelle</w:t>
      </w:r>
      <w:r w:rsidR="00942876">
        <w:rPr>
          <w:rStyle w:val="lev"/>
          <w:b w:val="0"/>
          <w:bCs w:val="0"/>
        </w:rPr>
        <w:t xml:space="preserve"> (Trachman, </w:t>
      </w:r>
      <w:proofErr w:type="spellStart"/>
      <w:r w:rsidR="00942876">
        <w:rPr>
          <w:rStyle w:val="lev"/>
          <w:b w:val="0"/>
          <w:bCs w:val="0"/>
        </w:rPr>
        <w:t>Lejbowicz</w:t>
      </w:r>
      <w:proofErr w:type="spellEnd"/>
      <w:r w:rsidR="00942876">
        <w:rPr>
          <w:rStyle w:val="lev"/>
          <w:b w:val="0"/>
          <w:bCs w:val="0"/>
        </w:rPr>
        <w:t xml:space="preserve"> 2020)</w:t>
      </w:r>
      <w:r w:rsidR="00EE42F2" w:rsidRPr="00391A1C">
        <w:rPr>
          <w:b/>
          <w:bCs/>
        </w:rPr>
        <w:t>.</w:t>
      </w:r>
      <w:r w:rsidR="00EE42F2">
        <w:t xml:space="preserve"> La comparaison des bases devient alors elle-même un résultat méthodologique : elle montre que la population observée varie selon la manière dont l’enquête est présentée, diffusée et administrée.</w:t>
      </w:r>
    </w:p>
    <w:p w14:paraId="6B4FEA74" w14:textId="39442D1C" w:rsidR="00EE42F2" w:rsidRDefault="00EE42F2" w:rsidP="00391A1C">
      <w:pPr>
        <w:pStyle w:val="Corpsdetexte"/>
      </w:pPr>
      <w:r>
        <w:t>Pour</w:t>
      </w:r>
      <w:r w:rsidR="00391A1C">
        <w:t xml:space="preserve"> une question d’harmonisation des champs nous restreignons</w:t>
      </w:r>
      <w:r w:rsidR="00942876">
        <w:t xml:space="preserve"> </w:t>
      </w:r>
      <w:r>
        <w:t xml:space="preserve">Virage LGBT aux personnes de 20 à 69 ans résidant en France hexagonale. </w:t>
      </w:r>
    </w:p>
    <w:p w14:paraId="58F7218E" w14:textId="488266D4" w:rsidR="00F1581A" w:rsidRDefault="00F1581A" w:rsidP="00F1581A">
      <w:pPr>
        <w:pStyle w:val="Titre2"/>
      </w:pPr>
      <w:r>
        <w:t xml:space="preserve">3. </w:t>
      </w:r>
      <w:r>
        <w:t>Avant et après le tableau : objectivation statistique et interprétation sociologique</w:t>
      </w:r>
    </w:p>
    <w:p w14:paraId="1BCF2399" w14:textId="066C9943" w:rsidR="00F1581A" w:rsidRDefault="00F1581A" w:rsidP="00F1581A">
      <w:pPr>
        <w:pStyle w:val="Corpsdetexte"/>
      </w:pPr>
      <w:r>
        <w:t>Le recours à la statistique dans ce mémoire ne consiste ni à substituer la mesure à l’interprétation sociologique, ni à considérer les tableaux comme de simples illustrations d’un raisonnement théorique construit indépendamment des données. Le travail statistique établit des régularités, construit des comparaisons</w:t>
      </w:r>
      <w:r>
        <w:t xml:space="preserve"> là où</w:t>
      </w:r>
      <w:r>
        <w:t xml:space="preserve"> le raisonnement sociologique interroge les catégories qui rendent ces constats possibles, restitue leurs conditions de production et cherche à en établir la signification historique et sociale.</w:t>
      </w:r>
    </w:p>
    <w:p w14:paraId="223773EA" w14:textId="2EF627A1" w:rsidR="00F1581A" w:rsidRDefault="002D36EE" w:rsidP="002D36EE">
      <w:pPr>
        <w:pStyle w:val="Corpsdetexte"/>
      </w:pPr>
      <w:r>
        <w:t xml:space="preserve">La statistique hérite de catégories sociales préexistantes et contribue à les stabiliser (Héran 1984). </w:t>
      </w:r>
      <w:r w:rsidR="00F1581A">
        <w:t>Cette perspective est particulièrement pertinente pour l’étude de la conjugalité. Le mariage, le pacs ou l’âge sont associés à des actes juridiques ou à des seuils chronologiques relativement stabilisés. Leur enregistrement statistique peut s’appuyer sur des catégories déjà fortement instituées. À l’inverse, les limites d’une relation conjugale, la pluralité des partenaires, la satisfaction relationnelle ou l’identification sexuelle ne disposent pas du même degré de fixation juridique et administrative. Elles nécessitent davantage de conventions : choix des mots, périodes de référence, modalités de réponse, filtres et décisions de codage. Virage mesure ainsi plus aisément certaines dimensions formalisées de la conjugalité</w:t>
      </w:r>
      <w:r>
        <w:t xml:space="preserve"> </w:t>
      </w:r>
      <w:r w:rsidR="00F1581A">
        <w:t xml:space="preserve">que les configurations relationnelles moins institutionnalisées ou les fluctuations de l’identification sexuelle. </w:t>
      </w:r>
    </w:p>
    <w:p w14:paraId="15B454D7" w14:textId="2A76AA73" w:rsidR="00F1581A" w:rsidRDefault="002D36EE" w:rsidP="00FB6B76">
      <w:pPr>
        <w:pStyle w:val="Corpsdetexte"/>
      </w:pPr>
      <w:r>
        <w:t xml:space="preserve">Les tableaux produits établissent, dans une population définie et sous certaines conventions de codage, une distribution ou une relation entre variables. L’interprétation sociologique </w:t>
      </w:r>
      <w:r w:rsidR="00F1581A">
        <w:t xml:space="preserve">cherche à établir ce que cette relation signifie dans un contexte historique donné. Dès qu’un résultat est traduit </w:t>
      </w:r>
      <w:r>
        <w:lastRenderedPageBreak/>
        <w:t xml:space="preserve">et </w:t>
      </w:r>
      <w:r w:rsidR="00FB6B76">
        <w:t>interprété</w:t>
      </w:r>
      <w:r w:rsidR="00F1581A">
        <w:t>, des significations extérieures au tableau sont introduites</w:t>
      </w:r>
      <w:r>
        <w:t xml:space="preserve"> (Passeron 1991).</w:t>
      </w:r>
      <w:r w:rsidR="00F1581A">
        <w:t xml:space="preserve"> </w:t>
      </w:r>
      <w:r w:rsidR="00FB6B76">
        <w:t>La proposition d’interprétations</w:t>
      </w:r>
      <w:r>
        <w:t xml:space="preserve"> sociologique</w:t>
      </w:r>
      <w:r w:rsidR="00FB6B76">
        <w:t>s</w:t>
      </w:r>
      <w:r>
        <w:t xml:space="preserve"> est </w:t>
      </w:r>
      <w:r w:rsidR="00FB6B76">
        <w:t>inévitable mais l</w:t>
      </w:r>
      <w:r w:rsidR="00F1581A">
        <w:t xml:space="preserve">e tableau ne permet pas, à lui seul, de choisir entre ces interprétations. De la même manière, si les personnes bisexuelles sont plus jeunes et moins souvent mariées, l’écart peut tenir à leur âge au moment de l’enquête, à une socialisation générationnelle différente, à l’évolution de l’accès aux catégories </w:t>
      </w:r>
      <w:proofErr w:type="spellStart"/>
      <w:r w:rsidR="00F1581A">
        <w:t>plurisexuelles</w:t>
      </w:r>
      <w:proofErr w:type="spellEnd"/>
      <w:r w:rsidR="00F1581A">
        <w:t xml:space="preserve">, au calendrier de leur mise en couple ou à la composition sexuée de leurs unions. Le rôle du raisonnement sociologique est de confronter ces possibilités à d’autres constats et à la littérature existante. Cette précaution vaut également pour les modèles multivariés. Le contrôle statistique de l’âge, de la catégorie sociale ou de la configuration du couple permet d’examiner si une association persiste à caractéristiques observées comparables. Il ne produit pas pour autant un « effet pur » de l’identification bisexuelle. </w:t>
      </w:r>
      <w:r w:rsidR="00FB6B76">
        <w:t xml:space="preserve">Le </w:t>
      </w:r>
      <w:r w:rsidR="00F1581A">
        <w:t xml:space="preserve">raisonnement statistique construit parfois, pour neutraliser les effets de structure, une population théorique différente des configurations réellement observées. Plus la comparaison se rapproche de l’idéal expérimental du « toutes choses égales par ailleurs », plus elle risque de détacher les propriétés des configurations historiques dans lesquelles elles prennent concrètement sens. Les modèles seront donc utilisés ici comme des instruments de comparaison ajustée et de mise à l’épreuve d’interprétations concurrentes, non comme la preuve d’une causalité autonome de l’identification sexuelle. </w:t>
      </w:r>
    </w:p>
    <w:p w14:paraId="07834B3D" w14:textId="1A4B5215" w:rsidR="00F1581A" w:rsidRDefault="00F1581A" w:rsidP="00391A1C">
      <w:pPr>
        <w:pStyle w:val="Corpsdetexte"/>
      </w:pPr>
      <w:r>
        <w:t>Cette démarche conduit à distinguer, dans la présentation des résultats, le constat statistique, son interprétation sociologique et les hypothèses explicatives qu’il permet de formuler. Les tests et les intervalles de confiance renseignent l’incertitude associée aux estimations ; ils ne déterminent ni l’importance sociologique d’un écart ni sa signification. Une différence statistiquement significative peut être de faible ampleur, tandis qu’un résultat non significatif obtenu sur de petits effectifs peut rester imprécis plutôt qu’établir l’absence de différence.</w:t>
      </w:r>
      <w:r w:rsidR="00FB6B76">
        <w:t xml:space="preserve"> </w:t>
      </w:r>
      <w:r>
        <w:t xml:space="preserve">Les conclusions ne reposeront donc pas sur le seul franchissement du seuil de 5 %, mais sur l’articulation entre ampleur des écarts, précision des estimations, composition des groupes, conditions de collecte et interprétation sociologique. </w:t>
      </w:r>
    </w:p>
    <w:p w14:paraId="73E25CEC" w14:textId="77777777" w:rsidR="00EE42F2" w:rsidRDefault="00EE42F2" w:rsidP="00EE42F2">
      <w:pPr>
        <w:pStyle w:val="Titre2"/>
      </w:pPr>
      <w:bookmarkStart w:id="12" w:name="_Toc239087490"/>
      <w:r>
        <w:t>3. Construire les groupes comparés</w:t>
      </w:r>
      <w:bookmarkEnd w:id="12"/>
    </w:p>
    <w:p w14:paraId="4E13C271" w14:textId="77777777" w:rsidR="00EE42F2" w:rsidRDefault="00EE42F2" w:rsidP="00EE42F2">
      <w:pPr>
        <w:pStyle w:val="Titre3"/>
      </w:pPr>
      <w:bookmarkStart w:id="13" w:name="_Toc239087491"/>
      <w:r>
        <w:t>3.1. L’identification sexuelle comme critère principal</w:t>
      </w:r>
      <w:bookmarkEnd w:id="13"/>
    </w:p>
    <w:p w14:paraId="67175ADD" w14:textId="77777777" w:rsidR="00EE42F2" w:rsidRDefault="00EE42F2" w:rsidP="00942876">
      <w:pPr>
        <w:pStyle w:val="Corpsdetexte"/>
      </w:pPr>
      <w:r>
        <w:t xml:space="preserve">Les enquêtes quantitatives appréhendent généralement les sexualités à partir de trois dimensions : les attirances, les pratiques sexuelles et l’identification. Ces dimensions sont liées, mais elles ne se </w:t>
      </w:r>
      <w:r>
        <w:lastRenderedPageBreak/>
        <w:t xml:space="preserve">recouvrent pas. Une personne peut avoir eu des partenaires de plusieurs sexes sans se définir comme bisexuelle ; elle peut inversement se définir comme bisexuelle tout en n’ayant eu que des partenaires d’un seul sexe ou en étant engagée depuis longtemps dans une relation monogame. </w:t>
      </w:r>
    </w:p>
    <w:p w14:paraId="0605CD1F" w14:textId="77777777" w:rsidR="00EE42F2" w:rsidRDefault="00EE42F2" w:rsidP="00942876">
      <w:pPr>
        <w:pStyle w:val="Corpsdetexte"/>
      </w:pPr>
      <w:r>
        <w:t xml:space="preserve">Dans ce mémoire, le critère principal retenu est celui de l’identification sexuelle déclarée. Ce choix découle directement de la problématique. Utiliser uniquement le sexe du ou de la partenaire </w:t>
      </w:r>
      <w:proofErr w:type="spellStart"/>
      <w:r>
        <w:t>actuel·le</w:t>
      </w:r>
      <w:proofErr w:type="spellEnd"/>
      <w:r>
        <w:t xml:space="preserve"> reviendrait à classer comme hétérosexuelle une personne bisexuelle en couple avec une personne d’un autre sexe, ou comme homosexuelle une personne bisexuelle en couple avec une personne du même sexe. L’identification permet au contraire de maintenir la personne dans le groupe bisexuel quelle que soit la configuration visible de son couple.</w:t>
      </w:r>
    </w:p>
    <w:p w14:paraId="279AC2E7" w14:textId="4D0EE021" w:rsidR="00EE42F2" w:rsidRDefault="00EE42F2" w:rsidP="00942876">
      <w:pPr>
        <w:pStyle w:val="Corpsdetexte"/>
      </w:pPr>
      <w:r>
        <w:t>Ce choix ne repose pas sur l’idée que l’identification révélerait une orientation plus</w:t>
      </w:r>
      <w:r w:rsidR="00942876">
        <w:t xml:space="preserve"> authentique </w:t>
      </w:r>
      <w:r>
        <w:t xml:space="preserve">que les attirances ou les pratiques. Il permet de saisir la manière dont les personnes qualifient leur propre sexualité et donnent une place à celle-ci dans leur définition d’elles-mêmes. Trachman et </w:t>
      </w:r>
      <w:proofErr w:type="spellStart"/>
      <w:r>
        <w:t>Lejbowicz</w:t>
      </w:r>
      <w:proofErr w:type="spellEnd"/>
      <w:r>
        <w:t xml:space="preserve"> soulignent que l’identification peut être maintenue alors même qu’une personne n’a plus de relations qu’avec un seul sexe et qu’elle peut évoluer au cours de la vie. Elle constitue ainsi une manière particulière de donner sens à des attirances et à des expériences qui ne se laissent pas déduire mécaniquement des comportements. </w:t>
      </w:r>
    </w:p>
    <w:p w14:paraId="7733EAEF" w14:textId="77777777" w:rsidR="00EE42F2" w:rsidRDefault="00EE42F2" w:rsidP="00942876">
      <w:pPr>
        <w:pStyle w:val="Corpsdetexte"/>
      </w:pPr>
      <w:r>
        <w:t xml:space="preserve">L’identification présente néanmoins plusieurs limites. Elle est recueillie à un moment précis et ne restitue pas les variations biographiques ou contextuelles de la manière de se définir. Les catégories proposées dans Virage ne rendent pas compte des identifications plurielles, pansexuelles, queer ou des refus de catégorisation. Certaines personnes ayant des attirances ou des pratiques avec plusieurs sexes peuvent ne pas se sentir légitimes à utiliser le terme « bisexuel·le », ne pas en connaître le sens ou ne pas souhaiter se présenter à travers une catégorie minoritaire. Enfin, l’enquête ne renseigne pas l’identification sexuelle du ou de la partenaire. </w:t>
      </w:r>
    </w:p>
    <w:p w14:paraId="1DC8DCEB" w14:textId="6E8BE9C3" w:rsidR="00EE42F2" w:rsidRDefault="00915800" w:rsidP="00942876">
      <w:pPr>
        <w:pStyle w:val="Corpsdetexte"/>
      </w:pPr>
      <w:r>
        <w:rPr>
          <w:rStyle w:val="lev"/>
          <w:b w:val="0"/>
          <w:bCs w:val="0"/>
        </w:rPr>
        <w:t>Ainsi, l</w:t>
      </w:r>
      <w:r w:rsidR="00EE42F2" w:rsidRPr="00942876">
        <w:rPr>
          <w:rStyle w:val="lev"/>
          <w:b w:val="0"/>
          <w:bCs w:val="0"/>
        </w:rPr>
        <w:t>e choix de l’indicateur transforme la population étudié</w:t>
      </w:r>
      <w:r>
        <w:rPr>
          <w:rStyle w:val="lev"/>
          <w:b w:val="0"/>
          <w:bCs w:val="0"/>
        </w:rPr>
        <w:t>e, comme présenté dans le tableau ci-dessous</w:t>
      </w:r>
      <w:r w:rsidR="00EE42F2">
        <w:t xml:space="preserve">. </w:t>
      </w:r>
    </w:p>
    <w:p w14:paraId="5A64988B" w14:textId="371A8369" w:rsidR="00915800" w:rsidRDefault="00915800" w:rsidP="00915800">
      <w:pPr>
        <w:pStyle w:val="Tableauuser"/>
        <w:jc w:val="both"/>
      </w:pPr>
      <w:r>
        <w:t xml:space="preserve">Table 1 : </w:t>
      </w:r>
      <w:r w:rsidR="003B083A">
        <w:t xml:space="preserve">Les indicateurs de bisexualité. </w:t>
      </w:r>
      <w:r>
        <w:t> </w:t>
      </w:r>
    </w:p>
    <w:tbl>
      <w:tblPr>
        <w:tblW w:w="9781" w:type="dxa"/>
        <w:tblCellSpacing w:w="15" w:type="dxa"/>
        <w:tblInd w:w="15" w:type="dxa"/>
        <w:tblCellMar>
          <w:top w:w="15" w:type="dxa"/>
          <w:left w:w="15" w:type="dxa"/>
          <w:bottom w:w="15" w:type="dxa"/>
          <w:right w:w="15" w:type="dxa"/>
        </w:tblCellMar>
        <w:tblLook w:val="04A0" w:firstRow="1" w:lastRow="0" w:firstColumn="1" w:lastColumn="0" w:noHBand="0" w:noVBand="1"/>
      </w:tblPr>
      <w:tblGrid>
        <w:gridCol w:w="5103"/>
        <w:gridCol w:w="2339"/>
        <w:gridCol w:w="2339"/>
      </w:tblGrid>
      <w:tr w:rsidR="00942876" w14:paraId="202E2AC1" w14:textId="77777777" w:rsidTr="00915800">
        <w:trPr>
          <w:tblCellSpacing w:w="15" w:type="dxa"/>
        </w:trPr>
        <w:tc>
          <w:tcPr>
            <w:tcW w:w="5058" w:type="dxa"/>
            <w:tcBorders>
              <w:top w:val="single" w:sz="12" w:space="0" w:color="auto"/>
              <w:left w:val="single" w:sz="12" w:space="0" w:color="auto"/>
            </w:tcBorders>
            <w:vAlign w:val="center"/>
          </w:tcPr>
          <w:p w14:paraId="5D5232FC" w14:textId="688976FA" w:rsidR="00942876" w:rsidRPr="00915800" w:rsidRDefault="00942876" w:rsidP="00915800">
            <w:pPr>
              <w:spacing w:before="120" w:after="120"/>
              <w:ind w:left="102"/>
              <w:rPr>
                <w:rFonts w:ascii="Times New Roman" w:hAnsi="Times New Roman" w:cs="Times New Roman"/>
                <w:sz w:val="22"/>
                <w:szCs w:val="22"/>
              </w:rPr>
            </w:pPr>
            <w:r w:rsidRPr="00915800">
              <w:rPr>
                <w:rFonts w:ascii="Times New Roman" w:hAnsi="Times New Roman" w:cs="Times New Roman"/>
                <w:b/>
                <w:bCs/>
                <w:sz w:val="22"/>
                <w:szCs w:val="22"/>
              </w:rPr>
              <w:t>Dimension mesurée</w:t>
            </w:r>
          </w:p>
        </w:tc>
        <w:tc>
          <w:tcPr>
            <w:tcW w:w="2309" w:type="dxa"/>
            <w:tcBorders>
              <w:top w:val="single" w:sz="12" w:space="0" w:color="auto"/>
            </w:tcBorders>
            <w:vAlign w:val="center"/>
          </w:tcPr>
          <w:p w14:paraId="1AA590CE" w14:textId="77777777" w:rsidR="00942876" w:rsidRDefault="00942876" w:rsidP="00915800">
            <w:pPr>
              <w:spacing w:before="40" w:after="40"/>
              <w:jc w:val="center"/>
              <w:rPr>
                <w:rFonts w:ascii="Times New Roman" w:hAnsi="Times New Roman" w:cs="Times New Roman"/>
                <w:b/>
                <w:bCs/>
                <w:sz w:val="22"/>
                <w:szCs w:val="22"/>
              </w:rPr>
            </w:pPr>
            <w:r w:rsidRPr="00915800">
              <w:rPr>
                <w:rFonts w:ascii="Times New Roman" w:hAnsi="Times New Roman" w:cs="Times New Roman"/>
                <w:b/>
                <w:bCs/>
                <w:sz w:val="22"/>
                <w:szCs w:val="22"/>
              </w:rPr>
              <w:t>Femmes</w:t>
            </w:r>
          </w:p>
          <w:p w14:paraId="357AD240" w14:textId="0832A5A9" w:rsidR="00915800" w:rsidRPr="00915800" w:rsidRDefault="00915800" w:rsidP="00915800">
            <w:pPr>
              <w:spacing w:before="40" w:after="40"/>
              <w:jc w:val="center"/>
              <w:rPr>
                <w:rFonts w:ascii="Times New Roman" w:hAnsi="Times New Roman" w:cs="Times New Roman"/>
                <w:sz w:val="22"/>
                <w:szCs w:val="22"/>
              </w:rPr>
            </w:pPr>
            <w:r w:rsidRPr="00915800">
              <w:rPr>
                <w:rFonts w:ascii="Times New Roman" w:hAnsi="Times New Roman" w:cs="Times New Roman"/>
                <w:sz w:val="22"/>
                <w:szCs w:val="22"/>
              </w:rPr>
              <w:t>(15 526)</w:t>
            </w:r>
          </w:p>
        </w:tc>
        <w:tc>
          <w:tcPr>
            <w:tcW w:w="2294" w:type="dxa"/>
            <w:tcBorders>
              <w:top w:val="single" w:sz="12" w:space="0" w:color="auto"/>
              <w:right w:val="single" w:sz="12" w:space="0" w:color="auto"/>
            </w:tcBorders>
            <w:vAlign w:val="center"/>
          </w:tcPr>
          <w:p w14:paraId="0BCD33CF" w14:textId="77777777" w:rsidR="00942876" w:rsidRDefault="00942876" w:rsidP="00915800">
            <w:pPr>
              <w:spacing w:before="40" w:after="40"/>
              <w:jc w:val="center"/>
              <w:rPr>
                <w:rFonts w:ascii="Times New Roman" w:hAnsi="Times New Roman" w:cs="Times New Roman"/>
                <w:b/>
                <w:bCs/>
                <w:sz w:val="22"/>
                <w:szCs w:val="22"/>
              </w:rPr>
            </w:pPr>
            <w:r w:rsidRPr="00915800">
              <w:rPr>
                <w:rFonts w:ascii="Times New Roman" w:hAnsi="Times New Roman" w:cs="Times New Roman"/>
                <w:b/>
                <w:bCs/>
                <w:sz w:val="22"/>
                <w:szCs w:val="22"/>
              </w:rPr>
              <w:t>Hommes</w:t>
            </w:r>
          </w:p>
          <w:p w14:paraId="43E0BFE2" w14:textId="794AC365" w:rsidR="00915800" w:rsidRPr="00915800" w:rsidRDefault="00915800" w:rsidP="00915800">
            <w:pPr>
              <w:spacing w:before="40" w:after="40"/>
              <w:jc w:val="center"/>
              <w:rPr>
                <w:rFonts w:ascii="Times New Roman" w:hAnsi="Times New Roman" w:cs="Times New Roman"/>
                <w:sz w:val="22"/>
                <w:szCs w:val="22"/>
              </w:rPr>
            </w:pPr>
            <w:r w:rsidRPr="00915800">
              <w:rPr>
                <w:rFonts w:ascii="Times New Roman" w:hAnsi="Times New Roman" w:cs="Times New Roman"/>
                <w:sz w:val="22"/>
                <w:szCs w:val="22"/>
              </w:rPr>
              <w:t>(11 696)</w:t>
            </w:r>
          </w:p>
        </w:tc>
      </w:tr>
      <w:tr w:rsidR="00942876" w14:paraId="336E454E" w14:textId="77777777" w:rsidTr="00915800">
        <w:trPr>
          <w:tblCellSpacing w:w="15" w:type="dxa"/>
        </w:trPr>
        <w:tc>
          <w:tcPr>
            <w:tcW w:w="5058" w:type="dxa"/>
            <w:tcBorders>
              <w:top w:val="single" w:sz="12" w:space="0" w:color="auto"/>
              <w:left w:val="single" w:sz="12" w:space="0" w:color="auto"/>
              <w:right w:val="single" w:sz="4" w:space="0" w:color="auto"/>
            </w:tcBorders>
            <w:vAlign w:val="center"/>
            <w:hideMark/>
          </w:tcPr>
          <w:p w14:paraId="7C60AD5F" w14:textId="77777777" w:rsidR="00942876" w:rsidRPr="00915800" w:rsidRDefault="00942876" w:rsidP="00915800">
            <w:pPr>
              <w:spacing w:before="40" w:after="40"/>
              <w:ind w:left="102"/>
              <w:rPr>
                <w:rFonts w:ascii="Times New Roman" w:hAnsi="Times New Roman" w:cs="Times New Roman"/>
                <w:sz w:val="22"/>
                <w:szCs w:val="22"/>
              </w:rPr>
            </w:pPr>
            <w:r w:rsidRPr="00915800">
              <w:rPr>
                <w:rFonts w:ascii="Times New Roman" w:hAnsi="Times New Roman" w:cs="Times New Roman"/>
                <w:sz w:val="22"/>
                <w:szCs w:val="22"/>
              </w:rPr>
              <w:t>S’identifie comme bisexuel·le</w:t>
            </w:r>
          </w:p>
        </w:tc>
        <w:tc>
          <w:tcPr>
            <w:tcW w:w="2309" w:type="dxa"/>
            <w:tcBorders>
              <w:top w:val="single" w:sz="12" w:space="0" w:color="auto"/>
              <w:right w:val="single" w:sz="4" w:space="0" w:color="auto"/>
            </w:tcBorders>
            <w:vAlign w:val="center"/>
            <w:hideMark/>
          </w:tcPr>
          <w:p w14:paraId="23E8151E" w14:textId="023840C9" w:rsidR="00942876" w:rsidRPr="00915800" w:rsidRDefault="00942876" w:rsidP="00915800">
            <w:pPr>
              <w:spacing w:before="40" w:after="40"/>
              <w:jc w:val="center"/>
              <w:rPr>
                <w:rFonts w:ascii="Times New Roman" w:hAnsi="Times New Roman" w:cs="Times New Roman"/>
                <w:sz w:val="22"/>
                <w:szCs w:val="22"/>
              </w:rPr>
            </w:pPr>
            <w:r w:rsidRPr="00915800">
              <w:rPr>
                <w:rFonts w:ascii="Times New Roman" w:hAnsi="Times New Roman" w:cs="Times New Roman"/>
                <w:sz w:val="22"/>
                <w:szCs w:val="22"/>
              </w:rPr>
              <w:t>0,86%</w:t>
            </w:r>
          </w:p>
        </w:tc>
        <w:tc>
          <w:tcPr>
            <w:tcW w:w="2294" w:type="dxa"/>
            <w:tcBorders>
              <w:top w:val="single" w:sz="12" w:space="0" w:color="auto"/>
              <w:right w:val="single" w:sz="12" w:space="0" w:color="auto"/>
            </w:tcBorders>
            <w:vAlign w:val="center"/>
            <w:hideMark/>
          </w:tcPr>
          <w:p w14:paraId="197EE044" w14:textId="2686F76A" w:rsidR="00942876" w:rsidRPr="00915800" w:rsidRDefault="00942876" w:rsidP="00915800">
            <w:pPr>
              <w:spacing w:before="40" w:after="40"/>
              <w:jc w:val="center"/>
              <w:rPr>
                <w:rFonts w:ascii="Times New Roman" w:hAnsi="Times New Roman" w:cs="Times New Roman"/>
                <w:sz w:val="22"/>
                <w:szCs w:val="22"/>
              </w:rPr>
            </w:pPr>
            <w:r w:rsidRPr="00915800">
              <w:rPr>
                <w:rFonts w:ascii="Times New Roman" w:hAnsi="Times New Roman" w:cs="Times New Roman"/>
                <w:sz w:val="22"/>
                <w:szCs w:val="22"/>
              </w:rPr>
              <w:t>0,63%</w:t>
            </w:r>
          </w:p>
        </w:tc>
      </w:tr>
      <w:tr w:rsidR="00915800" w14:paraId="4AF518C9" w14:textId="77777777" w:rsidTr="00915800">
        <w:trPr>
          <w:tblCellSpacing w:w="15" w:type="dxa"/>
        </w:trPr>
        <w:tc>
          <w:tcPr>
            <w:tcW w:w="5058" w:type="dxa"/>
            <w:tcBorders>
              <w:left w:val="single" w:sz="12" w:space="0" w:color="auto"/>
              <w:right w:val="single" w:sz="4" w:space="0" w:color="auto"/>
            </w:tcBorders>
            <w:vAlign w:val="center"/>
            <w:hideMark/>
          </w:tcPr>
          <w:p w14:paraId="28658872" w14:textId="77777777" w:rsidR="00942876" w:rsidRPr="00915800" w:rsidRDefault="00942876" w:rsidP="00915800">
            <w:pPr>
              <w:spacing w:before="40" w:after="40"/>
              <w:ind w:left="102"/>
              <w:rPr>
                <w:rFonts w:ascii="Times New Roman" w:hAnsi="Times New Roman" w:cs="Times New Roman"/>
                <w:sz w:val="22"/>
                <w:szCs w:val="22"/>
              </w:rPr>
            </w:pPr>
            <w:r w:rsidRPr="00915800">
              <w:rPr>
                <w:rFonts w:ascii="Times New Roman" w:hAnsi="Times New Roman" w:cs="Times New Roman"/>
                <w:sz w:val="22"/>
                <w:szCs w:val="22"/>
              </w:rPr>
              <w:lastRenderedPageBreak/>
              <w:t>Déclare des attirances pour les deux sexes</w:t>
            </w:r>
          </w:p>
        </w:tc>
        <w:tc>
          <w:tcPr>
            <w:tcW w:w="2309" w:type="dxa"/>
            <w:tcBorders>
              <w:right w:val="single" w:sz="4" w:space="0" w:color="auto"/>
            </w:tcBorders>
            <w:vAlign w:val="center"/>
            <w:hideMark/>
          </w:tcPr>
          <w:p w14:paraId="5A303F5A" w14:textId="12852053" w:rsidR="00942876" w:rsidRPr="00915800" w:rsidRDefault="00942876" w:rsidP="00915800">
            <w:pPr>
              <w:spacing w:before="40" w:after="40"/>
              <w:jc w:val="center"/>
              <w:rPr>
                <w:rFonts w:ascii="Times New Roman" w:hAnsi="Times New Roman" w:cs="Times New Roman"/>
                <w:sz w:val="22"/>
                <w:szCs w:val="22"/>
              </w:rPr>
            </w:pPr>
            <w:r w:rsidRPr="00915800">
              <w:rPr>
                <w:rFonts w:ascii="Times New Roman" w:hAnsi="Times New Roman" w:cs="Times New Roman"/>
                <w:sz w:val="22"/>
                <w:szCs w:val="22"/>
              </w:rPr>
              <w:t>3,33%</w:t>
            </w:r>
          </w:p>
        </w:tc>
        <w:tc>
          <w:tcPr>
            <w:tcW w:w="2294" w:type="dxa"/>
            <w:tcBorders>
              <w:right w:val="single" w:sz="12" w:space="0" w:color="auto"/>
            </w:tcBorders>
            <w:vAlign w:val="center"/>
            <w:hideMark/>
          </w:tcPr>
          <w:p w14:paraId="07FB338B" w14:textId="431A029C" w:rsidR="00942876" w:rsidRPr="00915800" w:rsidRDefault="00942876" w:rsidP="00915800">
            <w:pPr>
              <w:spacing w:before="40" w:after="40"/>
              <w:jc w:val="center"/>
              <w:rPr>
                <w:rFonts w:ascii="Times New Roman" w:hAnsi="Times New Roman" w:cs="Times New Roman"/>
                <w:sz w:val="22"/>
                <w:szCs w:val="22"/>
              </w:rPr>
            </w:pPr>
            <w:r w:rsidRPr="00915800">
              <w:rPr>
                <w:rFonts w:ascii="Times New Roman" w:hAnsi="Times New Roman" w:cs="Times New Roman"/>
                <w:sz w:val="22"/>
                <w:szCs w:val="22"/>
              </w:rPr>
              <w:t>1,95%</w:t>
            </w:r>
          </w:p>
        </w:tc>
      </w:tr>
      <w:tr w:rsidR="00915800" w14:paraId="0359EC53" w14:textId="77777777" w:rsidTr="00915800">
        <w:trPr>
          <w:tblCellSpacing w:w="15" w:type="dxa"/>
        </w:trPr>
        <w:tc>
          <w:tcPr>
            <w:tcW w:w="5058" w:type="dxa"/>
            <w:tcBorders>
              <w:left w:val="single" w:sz="12" w:space="0" w:color="auto"/>
              <w:right w:val="single" w:sz="4" w:space="0" w:color="auto"/>
            </w:tcBorders>
            <w:vAlign w:val="center"/>
            <w:hideMark/>
          </w:tcPr>
          <w:p w14:paraId="37C4C730" w14:textId="77777777" w:rsidR="00942876" w:rsidRPr="00915800" w:rsidRDefault="00942876" w:rsidP="00915800">
            <w:pPr>
              <w:spacing w:before="40" w:after="40"/>
              <w:ind w:left="102"/>
              <w:rPr>
                <w:rFonts w:ascii="Times New Roman" w:hAnsi="Times New Roman" w:cs="Times New Roman"/>
                <w:sz w:val="22"/>
                <w:szCs w:val="22"/>
              </w:rPr>
            </w:pPr>
            <w:r w:rsidRPr="00915800">
              <w:rPr>
                <w:rFonts w:ascii="Times New Roman" w:hAnsi="Times New Roman" w:cs="Times New Roman"/>
                <w:sz w:val="22"/>
                <w:szCs w:val="22"/>
              </w:rPr>
              <w:t>Déclare avoir eu des partenaires des deux sexes</w:t>
            </w:r>
          </w:p>
        </w:tc>
        <w:tc>
          <w:tcPr>
            <w:tcW w:w="2309" w:type="dxa"/>
            <w:tcBorders>
              <w:right w:val="single" w:sz="4" w:space="0" w:color="auto"/>
            </w:tcBorders>
            <w:vAlign w:val="center"/>
            <w:hideMark/>
          </w:tcPr>
          <w:p w14:paraId="131A530F" w14:textId="5659585D" w:rsidR="00942876" w:rsidRPr="00915800" w:rsidRDefault="00942876" w:rsidP="00915800">
            <w:pPr>
              <w:spacing w:before="40" w:after="40"/>
              <w:jc w:val="center"/>
              <w:rPr>
                <w:rFonts w:ascii="Times New Roman" w:hAnsi="Times New Roman" w:cs="Times New Roman"/>
                <w:sz w:val="22"/>
                <w:szCs w:val="22"/>
              </w:rPr>
            </w:pPr>
            <w:r w:rsidRPr="00915800">
              <w:rPr>
                <w:rFonts w:ascii="Times New Roman" w:hAnsi="Times New Roman" w:cs="Times New Roman"/>
                <w:sz w:val="22"/>
                <w:szCs w:val="22"/>
              </w:rPr>
              <w:t>2,21%</w:t>
            </w:r>
          </w:p>
        </w:tc>
        <w:tc>
          <w:tcPr>
            <w:tcW w:w="2294" w:type="dxa"/>
            <w:tcBorders>
              <w:right w:val="single" w:sz="12" w:space="0" w:color="auto"/>
            </w:tcBorders>
            <w:vAlign w:val="center"/>
            <w:hideMark/>
          </w:tcPr>
          <w:p w14:paraId="73F11906" w14:textId="2B58A17F" w:rsidR="00942876" w:rsidRPr="00915800" w:rsidRDefault="00942876" w:rsidP="00915800">
            <w:pPr>
              <w:spacing w:before="40" w:after="40"/>
              <w:jc w:val="center"/>
              <w:rPr>
                <w:rFonts w:ascii="Times New Roman" w:hAnsi="Times New Roman" w:cs="Times New Roman"/>
                <w:sz w:val="22"/>
                <w:szCs w:val="22"/>
              </w:rPr>
            </w:pPr>
            <w:r w:rsidRPr="00915800">
              <w:rPr>
                <w:rFonts w:ascii="Times New Roman" w:hAnsi="Times New Roman" w:cs="Times New Roman"/>
                <w:sz w:val="22"/>
                <w:szCs w:val="22"/>
              </w:rPr>
              <w:t>1,59%</w:t>
            </w:r>
          </w:p>
        </w:tc>
      </w:tr>
      <w:tr w:rsidR="00915800" w14:paraId="5D911DFE" w14:textId="77777777" w:rsidTr="00915800">
        <w:trPr>
          <w:tblCellSpacing w:w="15" w:type="dxa"/>
        </w:trPr>
        <w:tc>
          <w:tcPr>
            <w:tcW w:w="9721" w:type="dxa"/>
            <w:gridSpan w:val="3"/>
            <w:tcBorders>
              <w:top w:val="single" w:sz="12" w:space="0" w:color="auto"/>
              <w:left w:val="single" w:sz="12" w:space="0" w:color="auto"/>
              <w:bottom w:val="single" w:sz="12" w:space="0" w:color="auto"/>
              <w:right w:val="single" w:sz="12" w:space="0" w:color="auto"/>
            </w:tcBorders>
            <w:vAlign w:val="center"/>
          </w:tcPr>
          <w:p w14:paraId="78D525DA" w14:textId="21A62B52" w:rsidR="00915800" w:rsidRPr="00915800" w:rsidRDefault="00915800" w:rsidP="00915800">
            <w:pPr>
              <w:spacing w:before="40" w:after="40"/>
              <w:ind w:left="102" w:right="102"/>
              <w:rPr>
                <w:rFonts w:ascii="Times New Roman" w:eastAsia="Arial" w:hAnsi="Times New Roman" w:cs="Times New Roman"/>
                <w:color w:val="000000"/>
                <w:sz w:val="16"/>
                <w:szCs w:val="16"/>
              </w:rPr>
            </w:pPr>
            <w:r w:rsidRPr="00915800">
              <w:rPr>
                <w:rFonts w:ascii="Times New Roman" w:eastAsia="Arial" w:hAnsi="Times New Roman" w:cs="Times New Roman"/>
                <w:b/>
                <w:bCs/>
                <w:color w:val="000000"/>
                <w:sz w:val="16"/>
                <w:szCs w:val="16"/>
              </w:rPr>
              <w:t xml:space="preserve">Champ </w:t>
            </w:r>
            <w:r w:rsidRPr="00915800">
              <w:rPr>
                <w:rFonts w:ascii="Times New Roman" w:eastAsia="Arial" w:hAnsi="Times New Roman" w:cs="Times New Roman"/>
                <w:color w:val="000000"/>
                <w:sz w:val="16"/>
                <w:szCs w:val="16"/>
              </w:rPr>
              <w:t xml:space="preserve">: </w:t>
            </w:r>
            <w:r w:rsidR="00F420D3">
              <w:rPr>
                <w:rFonts w:ascii="Times New Roman" w:eastAsia="Arial" w:hAnsi="Times New Roman" w:cs="Times New Roman"/>
                <w:color w:val="000000"/>
                <w:sz w:val="16"/>
                <w:szCs w:val="16"/>
              </w:rPr>
              <w:t>R</w:t>
            </w:r>
            <w:r w:rsidRPr="00915800">
              <w:rPr>
                <w:rFonts w:ascii="Times New Roman" w:eastAsia="Arial" w:hAnsi="Times New Roman" w:cs="Times New Roman"/>
                <w:color w:val="000000"/>
                <w:sz w:val="16"/>
                <w:szCs w:val="16"/>
              </w:rPr>
              <w:t xml:space="preserve">épondant∙es </w:t>
            </w:r>
            <w:r w:rsidR="00F420D3">
              <w:rPr>
                <w:rFonts w:ascii="Times New Roman" w:eastAsia="Arial" w:hAnsi="Times New Roman" w:cs="Times New Roman"/>
                <w:color w:val="000000"/>
                <w:sz w:val="16"/>
                <w:szCs w:val="16"/>
              </w:rPr>
              <w:t xml:space="preserve">ayant déclaré∙es une identification sexuelle </w:t>
            </w:r>
            <w:r w:rsidRPr="00915800">
              <w:rPr>
                <w:rFonts w:ascii="Times New Roman" w:eastAsia="Arial" w:hAnsi="Times New Roman" w:cs="Times New Roman"/>
                <w:color w:val="000000"/>
                <w:sz w:val="16"/>
                <w:szCs w:val="16"/>
              </w:rPr>
              <w:t xml:space="preserve">à l’enquête Virage PG, pourcentages pondérés. </w:t>
            </w:r>
            <w:r w:rsidRPr="00915800">
              <w:rPr>
                <w:rFonts w:ascii="Times New Roman" w:eastAsia="Arial" w:hAnsi="Times New Roman" w:cs="Times New Roman"/>
                <w:color w:val="000000"/>
                <w:sz w:val="16"/>
                <w:szCs w:val="16"/>
              </w:rPr>
              <w:br/>
            </w:r>
            <w:r w:rsidRPr="00915800">
              <w:rPr>
                <w:rFonts w:ascii="Times New Roman" w:eastAsia="Arial" w:hAnsi="Times New Roman" w:cs="Times New Roman"/>
                <w:b/>
                <w:bCs/>
                <w:color w:val="000000"/>
                <w:sz w:val="16"/>
                <w:szCs w:val="16"/>
              </w:rPr>
              <w:t>Lecture</w:t>
            </w:r>
            <w:r w:rsidRPr="00915800">
              <w:rPr>
                <w:rFonts w:ascii="Times New Roman" w:eastAsia="Arial" w:hAnsi="Times New Roman" w:cs="Times New Roman"/>
                <w:color w:val="000000"/>
                <w:sz w:val="16"/>
                <w:szCs w:val="16"/>
              </w:rPr>
              <w:t xml:space="preserve"> : 0,86% des femmes s’identifient comme bisexuelles dans l'enquête Virage en population générale</w:t>
            </w:r>
            <w:bookmarkStart w:id="14" w:name="tbl-sociodémo"/>
            <w:bookmarkEnd w:id="14"/>
            <w:r w:rsidRPr="00915800">
              <w:rPr>
                <w:rFonts w:ascii="Times New Roman" w:eastAsia="Arial" w:hAnsi="Times New Roman" w:cs="Times New Roman"/>
                <w:color w:val="000000"/>
                <w:sz w:val="16"/>
                <w:szCs w:val="16"/>
              </w:rPr>
              <w:t>.</w:t>
            </w:r>
          </w:p>
          <w:p w14:paraId="17D83C61" w14:textId="367670E1" w:rsidR="00915800" w:rsidRPr="00915800" w:rsidRDefault="00915800" w:rsidP="00915800">
            <w:pPr>
              <w:spacing w:before="40" w:after="40"/>
              <w:ind w:left="102" w:right="102"/>
              <w:rPr>
                <w:rFonts w:ascii="Times New Roman" w:eastAsia="Arial" w:hAnsi="Times New Roman" w:cs="Times New Roman"/>
                <w:color w:val="000000"/>
                <w:sz w:val="14"/>
                <w:szCs w:val="14"/>
              </w:rPr>
            </w:pPr>
            <w:r w:rsidRPr="00915800">
              <w:rPr>
                <w:rFonts w:ascii="Times New Roman" w:eastAsia="Arial" w:hAnsi="Times New Roman" w:cs="Times New Roman"/>
                <w:b/>
                <w:bCs/>
                <w:color w:val="000000"/>
                <w:sz w:val="16"/>
                <w:szCs w:val="16"/>
              </w:rPr>
              <w:t xml:space="preserve">Source : </w:t>
            </w:r>
            <w:r w:rsidRPr="00915800">
              <w:rPr>
                <w:rFonts w:ascii="Times New Roman" w:eastAsia="Arial" w:hAnsi="Times New Roman" w:cs="Times New Roman"/>
                <w:color w:val="000000"/>
                <w:sz w:val="16"/>
                <w:szCs w:val="16"/>
              </w:rPr>
              <w:t>Enquête Virage PG, Ined, 2015.</w:t>
            </w:r>
          </w:p>
        </w:tc>
      </w:tr>
    </w:tbl>
    <w:p w14:paraId="42BB8F8A" w14:textId="7ED8B9DC" w:rsidR="00EE42F2" w:rsidRDefault="00EE42F2" w:rsidP="00EE42F2"/>
    <w:p w14:paraId="307E7EF2" w14:textId="77777777" w:rsidR="00EE42F2" w:rsidRDefault="00EE42F2" w:rsidP="00EE42F2">
      <w:pPr>
        <w:pStyle w:val="Titre3"/>
      </w:pPr>
      <w:bookmarkStart w:id="15" w:name="_Toc239087492"/>
      <w:r>
        <w:t>3.2. Une asymétrie de mesure : la présomption d’hétérosexualité</w:t>
      </w:r>
      <w:bookmarkEnd w:id="15"/>
    </w:p>
    <w:p w14:paraId="7FD8CD45" w14:textId="77777777" w:rsidR="00EE42F2" w:rsidRDefault="00EE42F2" w:rsidP="00F420D3">
      <w:pPr>
        <w:pStyle w:val="Corpsdetexte"/>
      </w:pPr>
      <w:r>
        <w:t xml:space="preserve">La variable d’identification sexuelle utilisée dans ce travail est une variable construite à partir de la question : « Actuellement, vous vous diriez… ». Les modalités proposées sont « </w:t>
      </w:r>
      <w:proofErr w:type="spellStart"/>
      <w:r>
        <w:t>hétérosexuel·le</w:t>
      </w:r>
      <w:proofErr w:type="spellEnd"/>
      <w:r>
        <w:t xml:space="preserve"> », « </w:t>
      </w:r>
      <w:proofErr w:type="spellStart"/>
      <w:r>
        <w:t>homosexuel·le</w:t>
      </w:r>
      <w:proofErr w:type="spellEnd"/>
      <w:r>
        <w:t xml:space="preserve"> », « bisexuel·le », « ne veut pas dire » et « ne sait pas ». Cette question n’est cependant pas posée à l’ensemble de l’échantillon. Elle est réservée aux personnes ayant déclaré au moins une attirance pour le même sexe, un premier rapport avec une personne du même sexe ou au moins un partenaire de même sexe au cours de leur vie. Les personnes qui ne remplissent aucun de ces critères sont codées comme hétérosexuelles dans la variable construite. </w:t>
      </w:r>
    </w:p>
    <w:p w14:paraId="3B47DB95" w14:textId="77777777" w:rsidR="00EE42F2" w:rsidRDefault="00EE42F2" w:rsidP="00F420D3">
      <w:pPr>
        <w:pStyle w:val="Corpsdetexte"/>
      </w:pPr>
      <w:r>
        <w:t>Ce filtrage introduit une asymétrie importante. L’homosexualité et la bisexualité doivent être confirmées par une déclaration explicite, tandis que l’hétérosexualité peut être déduite de l’absence d’indice contraire. La catégorie « hétérosexuelle » réunit donc deux populations : les personnes qui se sont effectivement définies comme hétérosexuelles et celles auxquelles la question n’a pas été posée puis qui ont été recodées comme telles.</w:t>
      </w:r>
    </w:p>
    <w:p w14:paraId="4EBFC55C" w14:textId="77777777" w:rsidR="00EE42F2" w:rsidRDefault="00EE42F2" w:rsidP="00F420D3">
      <w:pPr>
        <w:pStyle w:val="Corpsdetexte"/>
      </w:pPr>
      <w:r>
        <w:t>Dans certaines situations, les informations disponibles ne suffisent pourtant pas à conclure à une identification hétérosexuelle. C’est notamment le cas de personnes ne déclarant aucune attirance ni aucune expérience sexuelle, ou refusant de répondre aux questions sur leurs attirances et sur le sexe de leurs partenaires. Certaines pourraient se reconnaître dans l’asexualité ; d’autres peuvent simplement avoir considéré ces questions comme trop intimes ; d’autres encore pourraient avoir dissimulé des pratiques socialement stigmatisées. Les données ne permettent pas de trancher entre ces interprétations.</w:t>
      </w:r>
    </w:p>
    <w:p w14:paraId="2311E9E3" w14:textId="3D04855C" w:rsidR="001B056D" w:rsidRDefault="00F420D3" w:rsidP="00F420D3">
      <w:pPr>
        <w:pStyle w:val="Corpsdetexte"/>
      </w:pPr>
      <w:r w:rsidRPr="00F420D3">
        <w:rPr>
          <w:rStyle w:val="lev"/>
          <w:b w:val="0"/>
          <w:bCs w:val="0"/>
        </w:rPr>
        <w:t>L</w:t>
      </w:r>
      <w:r w:rsidR="00EE42F2" w:rsidRPr="00F420D3">
        <w:rPr>
          <w:rStyle w:val="lev"/>
          <w:b w:val="0"/>
          <w:bCs w:val="0"/>
        </w:rPr>
        <w:t>’outil ne permet pas d’établir leur identification, mais les verse malgré tout dans la catégorie hétérosexuelle</w:t>
      </w:r>
      <w:r w:rsidR="009727C1">
        <w:rPr>
          <w:rStyle w:val="lev"/>
          <w:b w:val="0"/>
          <w:bCs w:val="0"/>
        </w:rPr>
        <w:t xml:space="preserve">, rejouant en apparence un mécanisme de présomption d’hétérosexualité (Rich </w:t>
      </w:r>
      <w:r w:rsidR="009727C1">
        <w:rPr>
          <w:rStyle w:val="lev"/>
          <w:b w:val="0"/>
          <w:bCs w:val="0"/>
        </w:rPr>
        <w:lastRenderedPageBreak/>
        <w:t>1981).</w:t>
      </w:r>
      <w:r w:rsidR="003B083A">
        <w:t xml:space="preserve"> </w:t>
      </w:r>
      <w:r>
        <w:t>Après un</w:t>
      </w:r>
      <w:r w:rsidR="009727C1">
        <w:t>e analyse de sensibilité</w:t>
      </w:r>
      <w:r w:rsidR="009727C1">
        <w:rPr>
          <w:rStyle w:val="Appelnotedebasdep"/>
        </w:rPr>
        <w:footnoteReference w:id="8"/>
      </w:r>
      <w:r w:rsidR="009727C1">
        <w:t>, les résultats restent très proches et nous concluons donc à la robustesse de cette décision de recodage plutôt qu’à une limite de l’analyse.</w:t>
      </w:r>
    </w:p>
    <w:p w14:paraId="2E033948" w14:textId="63208F96" w:rsidR="00EE42F2" w:rsidRDefault="001B056D" w:rsidP="00F420D3">
      <w:pPr>
        <w:pStyle w:val="Corpsdetexte"/>
      </w:pPr>
      <w:r>
        <w:t>Nous apportons quelques éléments de compréhension à</w:t>
      </w:r>
      <w:r w:rsidR="003B083A">
        <w:t xml:space="preserve"> </w:t>
      </w:r>
      <w:r>
        <w:t>ces choix méthodologiques : La</w:t>
      </w:r>
      <w:r w:rsidRPr="001B056D">
        <w:t xml:space="preserve"> construction de </w:t>
      </w:r>
      <w:r>
        <w:t xml:space="preserve">la </w:t>
      </w:r>
      <w:r w:rsidRPr="001B056D">
        <w:t xml:space="preserve">variable </w:t>
      </w:r>
      <w:r>
        <w:t xml:space="preserve">d’identification </w:t>
      </w:r>
      <w:r w:rsidRPr="001B056D">
        <w:t xml:space="preserve">répond peut-être à une volonté de noyer des observations dans la catégorie majoritaire plutôt que de créer des données manquantes. </w:t>
      </w:r>
      <w:r>
        <w:t xml:space="preserve">Les </w:t>
      </w:r>
      <w:r w:rsidRPr="001B056D">
        <w:t xml:space="preserve">questions liées à </w:t>
      </w:r>
      <w:r>
        <w:t>l’identification</w:t>
      </w:r>
      <w:r w:rsidRPr="001B056D">
        <w:t xml:space="preserve"> sexuelle </w:t>
      </w:r>
      <w:r>
        <w:t>ont provoqué</w:t>
      </w:r>
      <w:r w:rsidRPr="001B056D">
        <w:t xml:space="preserve"> de nombreux abandons</w:t>
      </w:r>
      <w:r>
        <w:t xml:space="preserve"> au moment de la collecte (Hamel 2020)</w:t>
      </w:r>
      <w:r w:rsidRPr="001B056D">
        <w:t xml:space="preserve">. </w:t>
      </w:r>
      <w:r>
        <w:t>L</w:t>
      </w:r>
      <w:r w:rsidRPr="001B056D">
        <w:t>a loi d'ouverture du mariage aux couples homosexuels a généré des débats politiques une année durant et le mouvement de la « Manif pour tous »,</w:t>
      </w:r>
      <w:r>
        <w:t xml:space="preserve"> suivi des protestations conservatrices suites à la mise en place des </w:t>
      </w:r>
      <w:r w:rsidRPr="001B056D">
        <w:t xml:space="preserve">« ABCD de l'égalité » dans les écoles primaires </w:t>
      </w:r>
      <w:r>
        <w:t>forment</w:t>
      </w:r>
      <w:r w:rsidRPr="001B056D">
        <w:t xml:space="preserve"> un contexte</w:t>
      </w:r>
      <w:r>
        <w:t xml:space="preserve"> particulièrement</w:t>
      </w:r>
      <w:r w:rsidRPr="001B056D">
        <w:t xml:space="preserve"> défavorable</w:t>
      </w:r>
      <w:r>
        <w:t xml:space="preserve"> à la déclaration d’identification minoritaires. L</w:t>
      </w:r>
      <w:r w:rsidRPr="001B056D">
        <w:t>es équipes ont observé plus de réticences vis-à-vis de</w:t>
      </w:r>
      <w:r>
        <w:t xml:space="preserve"> ces questions </w:t>
      </w:r>
      <w:r w:rsidRPr="001B056D">
        <w:t xml:space="preserve">que dans les enquêtes précédentes. Par ailleurs, une grande partie de la population ignore le sens de la terminologie. Poser la question à tout le monde c'est prendre le risque de perdre des répondant·es et dans le même temps détériorer la représentativité. </w:t>
      </w:r>
      <w:r w:rsidR="00F420D3">
        <w:t xml:space="preserve"> </w:t>
      </w:r>
    </w:p>
    <w:p w14:paraId="44DA30D9" w14:textId="7D0096DA" w:rsidR="00EE42F2" w:rsidRDefault="001B056D" w:rsidP="003B083A">
      <w:pPr>
        <w:pStyle w:val="Corpsdetexte"/>
      </w:pPr>
      <w:r>
        <w:t>De plus, « il faut rappeler que les expériences avec une personne du même sexe restent réprouvées par nombre de personnes et que les estimations issues d’une enquête quantitative auprès d’un échantillon aléatoire de la population représentent donc, comme pour toute pratique socialement dévalorisée, des estimations minimums. » </w:t>
      </w:r>
      <w:hyperlink r:id="rId10" w:history="1">
        <w:r>
          <w:rPr>
            <w:u w:val="single"/>
          </w:rPr>
          <w:t>(</w:t>
        </w:r>
        <w:proofErr w:type="spellStart"/>
        <w:r>
          <w:rPr>
            <w:u w:val="single"/>
          </w:rPr>
          <w:t>Bajos</w:t>
        </w:r>
        <w:proofErr w:type="spellEnd"/>
        <w:r>
          <w:rPr>
            <w:u w:val="single"/>
          </w:rPr>
          <w:t xml:space="preserve"> et </w:t>
        </w:r>
        <w:proofErr w:type="spellStart"/>
        <w:r>
          <w:rPr>
            <w:u w:val="single"/>
          </w:rPr>
          <w:t>Beltzer</w:t>
        </w:r>
        <w:proofErr w:type="spellEnd"/>
        <w:r>
          <w:rPr>
            <w:u w:val="single"/>
          </w:rPr>
          <w:t xml:space="preserve"> 2008)</w:t>
        </w:r>
      </w:hyperlink>
      <w:r>
        <w:t xml:space="preserve">. La quantification des minorités sexuelles continue de se heurter </w:t>
      </w:r>
      <w:r w:rsidR="003B083A">
        <w:t xml:space="preserve">à des dimensions </w:t>
      </w:r>
      <w:r>
        <w:t xml:space="preserve">contextuelles </w:t>
      </w:r>
      <w:r w:rsidR="003B083A">
        <w:t xml:space="preserve">et méthodologiques spécifiques. </w:t>
      </w:r>
    </w:p>
    <w:p w14:paraId="0190DDD0" w14:textId="77777777" w:rsidR="00EE42F2" w:rsidRDefault="00EE42F2" w:rsidP="00EE42F2">
      <w:pPr>
        <w:pStyle w:val="Titre3"/>
      </w:pPr>
      <w:bookmarkStart w:id="16" w:name="_Toc239087493"/>
      <w:r>
        <w:t>3.3. Sexe, genre et limites de l’analyse des personnes trans</w:t>
      </w:r>
      <w:bookmarkEnd w:id="16"/>
    </w:p>
    <w:p w14:paraId="2D9A1409" w14:textId="16091F61" w:rsidR="00EE42F2" w:rsidRDefault="00EE42F2" w:rsidP="003B083A">
      <w:pPr>
        <w:pStyle w:val="Corpsdetexte"/>
      </w:pPr>
      <w:r>
        <w:t xml:space="preserve">La mesure du sexe et du genre diffère entre les deux volets. Dans Virage en population générale, les répondant·es sont enregistré·es comme femmes ou hommes et les personnes trans ne peuvent pas être identifiées comme telles. Le volet LGBT a introduit des modalités supplémentaires pour distinguer certaines trajectoires trans. À la suite de critiques </w:t>
      </w:r>
      <w:r w:rsidR="003B083A">
        <w:t>militantes</w:t>
      </w:r>
      <w:r>
        <w:t>, de nouvelles questions sur le changement d’état civil, le genre de présentation et l’intersexuation ont été ajoutées en cours de collecte</w:t>
      </w:r>
      <w:r w:rsidR="003B083A">
        <w:t xml:space="preserve"> (Trachman, </w:t>
      </w:r>
      <w:proofErr w:type="spellStart"/>
      <w:r w:rsidR="003B083A">
        <w:t>Lejbowicz</w:t>
      </w:r>
      <w:proofErr w:type="spellEnd"/>
      <w:r w:rsidR="003B083A">
        <w:t xml:space="preserve"> 2018)</w:t>
      </w:r>
      <w:r>
        <w:t xml:space="preserve">. Environ 2 148 personnes avaient déjà répondu avant ces </w:t>
      </w:r>
      <w:r>
        <w:lastRenderedPageBreak/>
        <w:t xml:space="preserve">modifications : les mêmes informations ne sont donc pas disponibles pour l’ensemble de l’échantillon. </w:t>
      </w:r>
    </w:p>
    <w:p w14:paraId="0820CE1E" w14:textId="26CF5EE2" w:rsidR="00EE42F2" w:rsidRDefault="00EE42F2" w:rsidP="00483A49">
      <w:pPr>
        <w:pStyle w:val="Corpsdetexte"/>
      </w:pPr>
      <w:r>
        <w:t>Ces questions améliorent la visibilité des personnes trans, mais elles ne constituent pas une mesure parfaitement homogène de l’identité de genre. Elles articulent sexe déclaré à la naissance, inscription à l’état civil, changement administratif et manière de se présenter socialement. Certaines personnes trans peuvent se déclarer simplement femmes ou hommes ; inversement, les catégories « femmes » et « hommes » peuvent inclure des personnes ayant effectué une transition. La variable ne permet donc pas de construire de manière exhaustive et parfaitement comparable une population trans</w:t>
      </w:r>
      <w:r w:rsidR="00AE1280">
        <w:t xml:space="preserve">, ni de différencier correctement les personnes </w:t>
      </w:r>
      <w:proofErr w:type="spellStart"/>
      <w:r w:rsidR="00AE1280">
        <w:t>transféminines</w:t>
      </w:r>
      <w:proofErr w:type="spellEnd"/>
      <w:r w:rsidR="00AE1280">
        <w:t xml:space="preserve"> des personnes </w:t>
      </w:r>
      <w:proofErr w:type="spellStart"/>
      <w:r w:rsidR="00AE1280">
        <w:t>transmasculines</w:t>
      </w:r>
      <w:proofErr w:type="spellEnd"/>
      <w:r w:rsidR="00AE1280">
        <w:t xml:space="preserve">. Pour ces différentes raisons : mesure inégale au cours de la collecte, faiblesse des effectifs une fois croisée avec l’identification sexuelle et le genre ; nous retirons l’analyse spécifiques des personnes trans se déclarant bisexuelles. </w:t>
      </w:r>
      <w:r w:rsidR="00483A49">
        <w:t>La non prise en compte des parcours de transition dans l’analyse des conjugalités bisexuelles</w:t>
      </w:r>
      <w:r w:rsidR="00AE1280">
        <w:t xml:space="preserve"> est une limite de ce travail</w:t>
      </w:r>
      <w:r w:rsidR="00483A49">
        <w:t>, notamment</w:t>
      </w:r>
      <w:r w:rsidR="004E3956">
        <w:t xml:space="preserve"> au regard du nombre d</w:t>
      </w:r>
      <w:r w:rsidR="00483A49">
        <w:t xml:space="preserve">’hommes et femmes </w:t>
      </w:r>
      <w:r w:rsidR="004E3956">
        <w:t xml:space="preserve">trans </w:t>
      </w:r>
      <w:r w:rsidR="00483A49">
        <w:t>qui</w:t>
      </w:r>
      <w:r w:rsidR="004E3956">
        <w:t xml:space="preserve"> se déclare</w:t>
      </w:r>
      <w:r w:rsidR="00483A49">
        <w:t>nt</w:t>
      </w:r>
      <w:r w:rsidR="004E3956">
        <w:t xml:space="preserve"> </w:t>
      </w:r>
      <w:proofErr w:type="spellStart"/>
      <w:r w:rsidR="004E3956">
        <w:t>bisexuel</w:t>
      </w:r>
      <w:r w:rsidR="00483A49">
        <w:t>∙</w:t>
      </w:r>
      <w:r w:rsidR="004E3956">
        <w:t>les</w:t>
      </w:r>
      <w:proofErr w:type="spellEnd"/>
      <w:r w:rsidR="004E3956">
        <w:t xml:space="preserve"> (Trachman, </w:t>
      </w:r>
      <w:proofErr w:type="spellStart"/>
      <w:r w:rsidR="004E3956">
        <w:t>Lejbowicz</w:t>
      </w:r>
      <w:proofErr w:type="spellEnd"/>
      <w:r w:rsidR="004E3956">
        <w:t xml:space="preserve"> 2020 ; Trachman 2025). Elle s’inscrit dans un contexte minorisation sociale qui entraîne une méconnaissance et invisibilisation dans la recherche</w:t>
      </w:r>
      <w:r w:rsidR="00483A49">
        <w:t xml:space="preserve"> et statistique</w:t>
      </w:r>
      <w:r w:rsidR="004E3956">
        <w:t xml:space="preserve"> </w:t>
      </w:r>
      <w:r w:rsidR="00483A49">
        <w:t xml:space="preserve">qui empêche les analyses spécifiques de cette population. Ainsi, dans toutes les analyses faites sur Virage LGBT, les hommes et femmes trans n’ont pas été </w:t>
      </w:r>
      <w:proofErr w:type="spellStart"/>
      <w:r w:rsidR="00483A49">
        <w:t>exclu∙es</w:t>
      </w:r>
      <w:proofErr w:type="spellEnd"/>
      <w:r w:rsidR="00483A49">
        <w:t xml:space="preserve"> mais </w:t>
      </w:r>
      <w:proofErr w:type="spellStart"/>
      <w:r w:rsidR="00483A49">
        <w:t>intégré∙es</w:t>
      </w:r>
      <w:proofErr w:type="spellEnd"/>
      <w:r w:rsidR="00483A49">
        <w:t xml:space="preserve"> aux catégories hommes et femmes. </w:t>
      </w:r>
    </w:p>
    <w:p w14:paraId="570A2788" w14:textId="77777777" w:rsidR="00EE42F2" w:rsidRDefault="00EE42F2" w:rsidP="00EE42F2">
      <w:pPr>
        <w:pStyle w:val="Titre2"/>
      </w:pPr>
      <w:bookmarkStart w:id="17" w:name="_Toc239087494"/>
      <w:r>
        <w:t>4. Opérationnaliser la conjugalité</w:t>
      </w:r>
      <w:bookmarkEnd w:id="17"/>
    </w:p>
    <w:p w14:paraId="74B7974C" w14:textId="77777777" w:rsidR="00EE42F2" w:rsidRDefault="00EE42F2" w:rsidP="00483A49">
      <w:pPr>
        <w:pStyle w:val="Corpsdetexte"/>
      </w:pPr>
      <w:r>
        <w:t>L’enquête Virage ne contient pas une variable synthétique qui définirait à elle seule la conjugalité. Dans ce travail, celle-ci est appréhendée à travers plusieurs dimensions complémentaires : la situation conjugale au moment de l’enquête, l’institutionnalisation de l’union, les conditions matérielles de la vie en couple, les représentations et appréciations de la relation, puis les violences rapportées dans la sphère conjugale. Ces dimensions ne portent pas toujours sur les mêmes populations. Certaines questions concernent l’ensemble des répondant·es, tandis que d’autres sont réservées aux personnes en couple au moment de l’enquête ou à celles ayant connu une relation conjugale au cours d’une période déterminée. Le champ exact est donc précisé pour chaque analyse.</w:t>
      </w:r>
    </w:p>
    <w:p w14:paraId="3B403B2A" w14:textId="1621211C" w:rsidR="00EE42F2" w:rsidRDefault="00EE42F2" w:rsidP="00BC1909">
      <w:pPr>
        <w:pStyle w:val="Corpsdetexte"/>
      </w:pPr>
      <w:r>
        <w:t>Virage saisit principalement les relations autour d’</w:t>
      </w:r>
      <w:proofErr w:type="spellStart"/>
      <w:r>
        <w:t>un·e</w:t>
      </w:r>
      <w:proofErr w:type="spellEnd"/>
      <w:r>
        <w:t xml:space="preserve"> partenaire au singulier, ne renseigne pas l’identification sexuelle du ou de la partenaire et rend difficile l’analyse des relations simultanées, </w:t>
      </w:r>
      <w:r>
        <w:lastRenderedPageBreak/>
        <w:t xml:space="preserve">ouvertes ou polyamoureuses. Elle observe une situation à un moment donné plus qu’elle ne reconstitue l’ensemble des transformations de l’identification et des configurations conjugales au cours de la vie. </w:t>
      </w:r>
    </w:p>
    <w:p w14:paraId="2A2A8078" w14:textId="77777777" w:rsidR="00EE42F2" w:rsidRDefault="00EE42F2" w:rsidP="00EE42F2">
      <w:pPr>
        <w:pStyle w:val="Titre2"/>
      </w:pPr>
      <w:bookmarkStart w:id="18" w:name="_Toc239087495"/>
      <w:r>
        <w:t>5. Stratégie d’analyse et règles de lecture des résultats</w:t>
      </w:r>
      <w:bookmarkEnd w:id="18"/>
    </w:p>
    <w:p w14:paraId="493692F7" w14:textId="2E34356F" w:rsidR="00EE42F2" w:rsidRDefault="00EE42F2" w:rsidP="00BC1909">
      <w:pPr>
        <w:pStyle w:val="Corpsdetexte"/>
      </w:pPr>
      <w:r>
        <w:t xml:space="preserve">Les données ont été importées, préparées et analysées dans le logiciel R. Les différentes étapes de traitement — sélection des champs d’analyse, construction des variables, regroupement de certaines modalités et production des tableaux — ont été conservées dans des scripts distincts afin d’assurer la reproductibilité du travail. Les recodages ayant une incidence substantielle sur l’interprétation sont </w:t>
      </w:r>
      <w:r w:rsidR="00BC1909">
        <w:t>toujours mentionnés</w:t>
      </w:r>
      <w:r>
        <w:t xml:space="preserve"> dans le texte.</w:t>
      </w:r>
    </w:p>
    <w:p w14:paraId="4DB0DB6F" w14:textId="62B11F9D" w:rsidR="00EE42F2" w:rsidRDefault="00EE42F2" w:rsidP="00BC1909">
      <w:pPr>
        <w:pStyle w:val="Corpsdetexte"/>
      </w:pPr>
      <w:r>
        <w:t xml:space="preserve">Dans Virage en population générale, les proportions présentées sont calculées à partir des pondérations fournies avec l’enquête. Les effectifs mentionnés dans les titres de colonnes et dans les </w:t>
      </w:r>
      <w:r w:rsidR="00BC1909">
        <w:t>cellules</w:t>
      </w:r>
      <w:r>
        <w:t xml:space="preserve"> de</w:t>
      </w:r>
      <w:r w:rsidR="00BC1909">
        <w:t>s</w:t>
      </w:r>
      <w:r>
        <w:t xml:space="preserve"> tableaux sont en revanche des effectifs non pondérés. Cette distinction permet à la fois d’estimer la répartition des phénomènes dans la population couverte par l’enquête et de rendre visibles les faibles nombres d’observations sur lesquels reposent certaines estimations. Dans Virage LGBT, aucune pondération n’est disponible : les pourcentages sont donc non pondérés et décrivent exclusivement l’échantillon recruté.</w:t>
      </w:r>
    </w:p>
    <w:p w14:paraId="14DF010D" w14:textId="77777777" w:rsidR="00EE42F2" w:rsidRDefault="00EE42F2" w:rsidP="00BC1909">
      <w:pPr>
        <w:pStyle w:val="Corpsdetexte"/>
      </w:pPr>
      <w:r>
        <w:t xml:space="preserve">Les associations entre variables catégorielles sont testées dans Virage en population générale à l’aide du test de Rao-Scott, qui adapte le test du khi-deux au plan de sondage et aux pondérations. Le package </w:t>
      </w:r>
      <w:proofErr w:type="spellStart"/>
      <w:r>
        <w:rPr>
          <w:rStyle w:val="CodeHTML"/>
          <w:rFonts w:eastAsiaTheme="majorEastAsia"/>
        </w:rPr>
        <w:t>survey</w:t>
      </w:r>
      <w:proofErr w:type="spellEnd"/>
      <w:r>
        <w:t xml:space="preserve"> utilise par défaut une correction de Rao-Scott de second ordre. Les intervalles de confiance à 95 % sont utilisés pour rendre compte de l’incertitude entourant les estimations. Compte tenu des faibles effectifs de certaines populations, les cellules comprenant moins de dix observations non pondérées sont signalées et ne donnent pas lieu à une interprétation substantielle.</w:t>
      </w:r>
    </w:p>
    <w:p w14:paraId="54644504" w14:textId="4D6F4E20" w:rsidR="00EE42F2" w:rsidRDefault="00EE42F2" w:rsidP="00624346">
      <w:pPr>
        <w:pStyle w:val="Corpsdetexte"/>
      </w:pPr>
      <w:r>
        <w:t>Dans Virage LGBT, les tests éventuels portent seulement sur les associations observées au sein de l’échantillon. Ils ne permettent pas d’inférer que les mêmes écarts existent dans l’ensemble de la population LGBT. Lorsque les conditions du khi-deux ne sont pas remplies en raison de cellules très peu fournies, les résultats sont considérés comme exploratoires ou les catégories sont regroupées lorsqu’un tel regroupement possède un sens sociologique.</w:t>
      </w:r>
      <w:bookmarkEnd w:id="1"/>
    </w:p>
    <w:p w14:paraId="42150189" w14:textId="194BD315" w:rsidR="00E2476B" w:rsidRDefault="00E2476B" w:rsidP="00624346">
      <w:pPr>
        <w:pStyle w:val="Corpsdetexte"/>
      </w:pPr>
    </w:p>
    <w:p w14:paraId="55344B80" w14:textId="77777777" w:rsidR="00E2476B" w:rsidRDefault="00E2476B" w:rsidP="00E2476B">
      <w:pPr>
        <w:pStyle w:val="Titre1"/>
      </w:pPr>
      <w:bookmarkStart w:id="19" w:name="_Toc236751575"/>
      <w:r>
        <w:lastRenderedPageBreak/>
        <w:t>Chapitre I : les situations conjugales bisexuelles</w:t>
      </w:r>
      <w:bookmarkEnd w:id="19"/>
    </w:p>
    <w:p w14:paraId="52415340" w14:textId="77777777" w:rsidR="00E2476B" w:rsidRDefault="00E2476B" w:rsidP="00E2476B">
      <w:pPr>
        <w:pStyle w:val="Corpsdetexte"/>
      </w:pPr>
      <w:r>
        <w:t>Ce chapitre étudie les situations conjugales des personnes se déclarant bisexuelles. Contrairement à l’enquête Envie</w:t>
      </w:r>
      <w:r>
        <w:rPr>
          <w:rStyle w:val="Appelnotedebasdep"/>
        </w:rPr>
        <w:footnoteReference w:id="9"/>
      </w:r>
      <w:r>
        <w:t xml:space="preserve"> pensée pour saisir la variété des expériences affectives (Bergström 2025a) ou à l’enquête Epic</w:t>
      </w:r>
      <w:r>
        <w:rPr>
          <w:rStyle w:val="Appelnotedebasdep"/>
        </w:rPr>
        <w:footnoteReference w:id="10"/>
      </w:r>
      <w:r>
        <w:t xml:space="preserve"> qui suit les trajectoires relationnelles sur le temps long (Rault et Lambert 2019), l’enquête Virage focalise l'observation sur le pôle le plus stable et institué du spectre relationnel : le couple. L’enquête offre un instantané précis des situations conjugales dans les douze derniers mois. Par « situation conjugale », nous entendons le mode d’union (cohabitant ou non), le statut matrimonial (mariage, Pacs, union libre), la composition du couple (de même sexe ou de sexe différent), ainsi que les dimensions temporelles et familiales (durée, enfants). </w:t>
      </w:r>
    </w:p>
    <w:p w14:paraId="2F23B1B7" w14:textId="77777777" w:rsidR="00E2476B" w:rsidRDefault="00E2476B" w:rsidP="00E2476B">
      <w:pPr>
        <w:pStyle w:val="Corpsdetexte"/>
      </w:pPr>
      <w:r>
        <w:t xml:space="preserve">En mobilisant de manière complémentaire les données de l'enquête Virage en population générale et de son volet LGBT, nous commençons par une analyse descriptive des caractéristiques conjugales des </w:t>
      </w:r>
      <w:proofErr w:type="spellStart"/>
      <w:r>
        <w:t>bisexuel∙les</w:t>
      </w:r>
      <w:proofErr w:type="spellEnd"/>
      <w:r>
        <w:t xml:space="preserve">. Dans une deuxième partie c’est le célibat bisexuel masculin qui retiendra notre attention. Enfin les couples des femmes bisexuelles seront analysés sous l’angle de la situation économique et de l’institutionnalisation. </w:t>
      </w:r>
    </w:p>
    <w:p w14:paraId="07658FCD" w14:textId="77777777" w:rsidR="00E2476B" w:rsidRDefault="00E2476B" w:rsidP="00E2476B">
      <w:pPr>
        <w:pStyle w:val="Titre2"/>
      </w:pPr>
      <w:bookmarkStart w:id="20" w:name="_Toc236751576"/>
      <w:r>
        <w:t>I. Des caractéristiques conjugales spécifiques</w:t>
      </w:r>
      <w:bookmarkEnd w:id="20"/>
    </w:p>
    <w:p w14:paraId="5E4A688A" w14:textId="77777777" w:rsidR="00E2476B" w:rsidRDefault="00E2476B" w:rsidP="00E2476B">
      <w:pPr>
        <w:pStyle w:val="Titre3"/>
      </w:pPr>
      <w:bookmarkStart w:id="21" w:name="_Toc236751577"/>
      <w:r>
        <w:t>Les caractéristiques sociales et conjugales dans les deux enquêtes : une analyse descriptive</w:t>
      </w:r>
      <w:bookmarkEnd w:id="21"/>
    </w:p>
    <w:p w14:paraId="67995165" w14:textId="77777777" w:rsidR="00E2476B" w:rsidRDefault="00E2476B" w:rsidP="00E2476B">
      <w:pPr>
        <w:pStyle w:val="FirstParagraph"/>
      </w:pPr>
      <w:r>
        <w:t xml:space="preserve">Le chapitre de Mathieu Trachman et Tania </w:t>
      </w:r>
      <w:proofErr w:type="spellStart"/>
      <w:r>
        <w:t>Lejbowicz</w:t>
      </w:r>
      <w:proofErr w:type="spellEnd"/>
      <w:r>
        <w:t xml:space="preserve">, </w:t>
      </w:r>
      <w:r>
        <w:rPr>
          <w:u w:val="single"/>
        </w:rPr>
        <w:t xml:space="preserve">Lesbiennes, gays, </w:t>
      </w:r>
      <w:proofErr w:type="spellStart"/>
      <w:r>
        <w:rPr>
          <w:u w:val="single"/>
        </w:rPr>
        <w:t>bisexuel·le·s</w:t>
      </w:r>
      <w:proofErr w:type="spellEnd"/>
      <w:r>
        <w:rPr>
          <w:u w:val="single"/>
        </w:rPr>
        <w:t xml:space="preserve"> et trans (LGBT) : une catégorie hétérogène, des violences spécifiques</w:t>
      </w:r>
      <w:r>
        <w:t xml:space="preserve"> tente de saisir et définir les populations LGBT dans l’enquête Virage. Nous revenons sur les conclusions de cet article concernant les personnes bisexuelles et présentons de nouvelles variables. L’objectif est de comprendre les caractéristiques sociales ayant des effets sur la conjugalité et le positionnement spécifique des </w:t>
      </w:r>
      <w:proofErr w:type="spellStart"/>
      <w:r>
        <w:t>bisexuel∙les</w:t>
      </w:r>
      <w:proofErr w:type="spellEnd"/>
      <w:r>
        <w:t xml:space="preserve"> par rapport à celles-ci.  </w:t>
      </w:r>
    </w:p>
    <w:p w14:paraId="7FD472AB" w14:textId="77777777" w:rsidR="00E2476B" w:rsidRDefault="00E2476B" w:rsidP="00E2476B">
      <w:pPr>
        <w:pStyle w:val="Corpsdetexte"/>
      </w:pPr>
      <w:r>
        <w:t xml:space="preserve">Pour approfondir l’analyse de l’appartenance de classe nous mobilisons le revenu déclaré et le ressenti de la situation financière. L’appartenance territoriale est approchée par la taille d’agglomération qui vient compléter la seule analyse du territoire (Île-de-France, autre agglo, territoire rural). Enfin, l’observation de la trajectoire migratoire est écartée du fait d’effectifs trop </w:t>
      </w:r>
      <w:r>
        <w:lastRenderedPageBreak/>
        <w:t>faibles de personnes immigrées, issues de l’immigration ou des DROM et déclarant appartenir à une minorité sexuelle. Les caractéristiques conjugales seront ici saisies par quatre indicateurs : le fait d’être en couple au moment de l’enquête, de l’avoir été dans les douze derniers mois, le fait d’avoir des enfants et la configuration de genre du couple (de même sexe ou de sexe différent).</w:t>
      </w:r>
    </w:p>
    <w:p w14:paraId="1440084E" w14:textId="77777777" w:rsidR="00E2476B" w:rsidRDefault="00E2476B" w:rsidP="00E2476B">
      <w:pPr>
        <w:pStyle w:val="Tableauuser"/>
      </w:pPr>
      <w:r>
        <w:t xml:space="preserve">Table 1 : Caractéristiques socio-démographiques et conjugales selon le sexe et l’identification sexuelle. </w:t>
      </w:r>
    </w:p>
    <w:tbl>
      <w:tblPr>
        <w:tblStyle w:val="Table"/>
        <w:tblW w:w="9923" w:type="dxa"/>
        <w:jc w:val="center"/>
        <w:tblInd w:w="0" w:type="dxa"/>
        <w:tblLayout w:type="fixed"/>
        <w:tblCellMar>
          <w:left w:w="10" w:type="dxa"/>
          <w:right w:w="0" w:type="dxa"/>
        </w:tblCellMar>
        <w:tblLook w:val="0420" w:firstRow="1" w:lastRow="0" w:firstColumn="0" w:lastColumn="0" w:noHBand="0" w:noVBand="1"/>
      </w:tblPr>
      <w:tblGrid>
        <w:gridCol w:w="928"/>
        <w:gridCol w:w="925"/>
        <w:gridCol w:w="10"/>
        <w:gridCol w:w="919"/>
        <w:gridCol w:w="29"/>
        <w:gridCol w:w="902"/>
        <w:gridCol w:w="41"/>
        <w:gridCol w:w="885"/>
        <w:gridCol w:w="60"/>
        <w:gridCol w:w="865"/>
        <w:gridCol w:w="83"/>
        <w:gridCol w:w="846"/>
        <w:gridCol w:w="98"/>
        <w:gridCol w:w="758"/>
        <w:gridCol w:w="71"/>
        <w:gridCol w:w="789"/>
        <w:gridCol w:w="38"/>
        <w:gridCol w:w="816"/>
        <w:gridCol w:w="7"/>
        <w:gridCol w:w="853"/>
      </w:tblGrid>
      <w:tr w:rsidR="00E2476B" w14:paraId="61E350C5" w14:textId="77777777" w:rsidTr="0018419C">
        <w:trPr>
          <w:cnfStyle w:val="100000000000" w:firstRow="1" w:lastRow="0" w:firstColumn="0" w:lastColumn="0" w:oddVBand="0" w:evenVBand="0" w:oddHBand="0" w:evenHBand="0" w:firstRowFirstColumn="0" w:firstRowLastColumn="0" w:lastRowFirstColumn="0" w:lastRowLastColumn="0"/>
          <w:tblHeader/>
          <w:jc w:val="center"/>
        </w:trPr>
        <w:tc>
          <w:tcPr>
            <w:tcW w:w="928" w:type="dxa"/>
            <w:tcBorders>
              <w:top w:val="single" w:sz="8" w:space="0" w:color="000000"/>
              <w:left w:val="single" w:sz="8" w:space="0" w:color="000000"/>
              <w:bottom w:val="single" w:sz="8" w:space="0" w:color="000000"/>
            </w:tcBorders>
            <w:shd w:val="clear" w:color="auto" w:fill="FFFFFF"/>
            <w:vAlign w:val="center"/>
          </w:tcPr>
          <w:p w14:paraId="778B4750" w14:textId="77777777" w:rsidR="00E2476B" w:rsidRDefault="00E2476B" w:rsidP="0018419C">
            <w:pPr>
              <w:spacing w:before="40" w:after="40"/>
              <w:ind w:left="100" w:right="100"/>
              <w:rPr>
                <w:rFonts w:ascii="Times New Roman" w:eastAsia="Arial" w:hAnsi="Times New Roman" w:cs="Times New Roman"/>
                <w:color w:val="000000"/>
                <w:sz w:val="14"/>
                <w:szCs w:val="14"/>
              </w:rPr>
            </w:pPr>
            <w:bookmarkStart w:id="22" w:name="_toc90"/>
            <w:bookmarkEnd w:id="22"/>
            <w:r>
              <w:rPr>
                <w:rFonts w:ascii="Times New Roman" w:eastAsia="Arial" w:hAnsi="Times New Roman" w:cs="Times New Roman"/>
                <w:color w:val="000000"/>
                <w:sz w:val="14"/>
                <w:szCs w:val="14"/>
              </w:rPr>
              <w:t xml:space="preserve"> </w:t>
            </w:r>
          </w:p>
        </w:tc>
        <w:tc>
          <w:tcPr>
            <w:tcW w:w="2826" w:type="dxa"/>
            <w:gridSpan w:val="6"/>
            <w:tcBorders>
              <w:top w:val="single" w:sz="8" w:space="0" w:color="000000"/>
              <w:bottom w:val="single" w:sz="8" w:space="0" w:color="000000"/>
            </w:tcBorders>
            <w:shd w:val="clear" w:color="auto" w:fill="FFFFFF"/>
            <w:vAlign w:val="center"/>
          </w:tcPr>
          <w:p w14:paraId="353BC3FF" w14:textId="77777777" w:rsidR="00E2476B" w:rsidRDefault="00E2476B" w:rsidP="0018419C">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 xml:space="preserve">Virage PG — </w:t>
            </w:r>
          </w:p>
          <w:p w14:paraId="50DAD1E5" w14:textId="77777777" w:rsidR="00E2476B" w:rsidRDefault="00E2476B" w:rsidP="0018419C">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Femmes</w:t>
            </w:r>
            <w:r>
              <w:rPr>
                <w:rFonts w:ascii="Times New Roman" w:eastAsia="Arial" w:hAnsi="Times New Roman" w:cs="Times New Roman"/>
                <w:color w:val="000000"/>
                <w:sz w:val="14"/>
                <w:szCs w:val="14"/>
              </w:rPr>
              <w:t xml:space="preserve"> </w:t>
            </w:r>
          </w:p>
        </w:tc>
        <w:tc>
          <w:tcPr>
            <w:tcW w:w="2837" w:type="dxa"/>
            <w:gridSpan w:val="6"/>
            <w:tcBorders>
              <w:top w:val="single" w:sz="8" w:space="0" w:color="000000"/>
              <w:bottom w:val="single" w:sz="8" w:space="0" w:color="000000"/>
            </w:tcBorders>
            <w:shd w:val="clear" w:color="auto" w:fill="FFFFFF"/>
            <w:tcMar>
              <w:left w:w="108" w:type="dxa"/>
              <w:right w:w="108" w:type="dxa"/>
            </w:tcMar>
            <w:vAlign w:val="center"/>
          </w:tcPr>
          <w:p w14:paraId="75B32A3C" w14:textId="77777777" w:rsidR="00E2476B" w:rsidRDefault="00E2476B" w:rsidP="0018419C">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 xml:space="preserve">Virage PG — </w:t>
            </w:r>
          </w:p>
          <w:p w14:paraId="75683D26" w14:textId="77777777" w:rsidR="00E2476B" w:rsidRDefault="00E2476B" w:rsidP="0018419C">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Hommes</w:t>
            </w:r>
          </w:p>
        </w:tc>
        <w:tc>
          <w:tcPr>
            <w:tcW w:w="1656" w:type="dxa"/>
            <w:gridSpan w:val="4"/>
            <w:tcBorders>
              <w:top w:val="single" w:sz="8" w:space="0" w:color="000000"/>
              <w:bottom w:val="single" w:sz="8" w:space="0" w:color="000000"/>
            </w:tcBorders>
            <w:shd w:val="clear" w:color="auto" w:fill="FFFFFF"/>
            <w:tcMar>
              <w:left w:w="108" w:type="dxa"/>
              <w:right w:w="108" w:type="dxa"/>
            </w:tcMar>
            <w:vAlign w:val="center"/>
          </w:tcPr>
          <w:p w14:paraId="3AFED6A9" w14:textId="77777777" w:rsidR="00E2476B" w:rsidRDefault="00E2476B" w:rsidP="0018419C">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Virage LGBT —</w:t>
            </w:r>
          </w:p>
          <w:p w14:paraId="5D7DF4F9"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Femmes</w:t>
            </w:r>
          </w:p>
        </w:tc>
        <w:tc>
          <w:tcPr>
            <w:tcW w:w="1676" w:type="dxa"/>
            <w:gridSpan w:val="3"/>
            <w:tcBorders>
              <w:top w:val="single" w:sz="8" w:space="0" w:color="000000"/>
              <w:bottom w:val="single" w:sz="8" w:space="0" w:color="000000"/>
              <w:right w:val="single" w:sz="8" w:space="0" w:color="000000"/>
            </w:tcBorders>
            <w:shd w:val="clear" w:color="auto" w:fill="FFFFFF"/>
            <w:tcMar>
              <w:left w:w="108" w:type="dxa"/>
              <w:right w:w="108" w:type="dxa"/>
            </w:tcMar>
            <w:vAlign w:val="center"/>
          </w:tcPr>
          <w:p w14:paraId="442BDDA8"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Virage LGBT — Hommes</w:t>
            </w:r>
          </w:p>
        </w:tc>
      </w:tr>
      <w:tr w:rsidR="00E2476B" w14:paraId="35487EFD" w14:textId="77777777" w:rsidTr="0018419C">
        <w:trPr>
          <w:cnfStyle w:val="100000000000" w:firstRow="1" w:lastRow="0" w:firstColumn="0" w:lastColumn="0" w:oddVBand="0" w:evenVBand="0" w:oddHBand="0" w:evenHBand="0" w:firstRowFirstColumn="0" w:firstRowLastColumn="0" w:lastRowFirstColumn="0" w:lastRowLastColumn="0"/>
          <w:tblHeader/>
          <w:jc w:val="center"/>
        </w:trPr>
        <w:tc>
          <w:tcPr>
            <w:tcW w:w="928" w:type="dxa"/>
            <w:tcBorders>
              <w:top w:val="single" w:sz="8" w:space="0" w:color="000000"/>
              <w:left w:val="single" w:sz="8" w:space="0" w:color="000000"/>
              <w:bottom w:val="single" w:sz="8" w:space="0" w:color="000000"/>
            </w:tcBorders>
            <w:shd w:val="clear" w:color="auto" w:fill="FFFFFF"/>
            <w:vAlign w:val="center"/>
          </w:tcPr>
          <w:p w14:paraId="689E6E21" w14:textId="77777777" w:rsidR="00E2476B" w:rsidRDefault="00E2476B" w:rsidP="0018419C">
            <w:pPr>
              <w:spacing w:before="40" w:after="40"/>
              <w:ind w:left="100" w:right="100"/>
              <w:rPr>
                <w:rFonts w:ascii="Times New Roman" w:eastAsia="Arial" w:hAnsi="Times New Roman" w:cs="Times New Roman"/>
                <w:color w:val="000000"/>
                <w:sz w:val="14"/>
                <w:szCs w:val="14"/>
              </w:rPr>
            </w:pPr>
          </w:p>
        </w:tc>
        <w:tc>
          <w:tcPr>
            <w:tcW w:w="935" w:type="dxa"/>
            <w:gridSpan w:val="2"/>
            <w:tcBorders>
              <w:top w:val="single" w:sz="8" w:space="0" w:color="000000"/>
              <w:bottom w:val="single" w:sz="8" w:space="0" w:color="000000"/>
            </w:tcBorders>
            <w:shd w:val="clear" w:color="auto" w:fill="FFFFFF"/>
            <w:vAlign w:val="center"/>
          </w:tcPr>
          <w:p w14:paraId="20F3DCA7"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(94)</w:t>
            </w:r>
            <w:r>
              <w:rPr>
                <w:rFonts w:ascii="Times New Roman" w:eastAsia="Arial" w:hAnsi="Times New Roman" w:cs="Times New Roman"/>
                <w:color w:val="000000"/>
                <w:sz w:val="12"/>
                <w:szCs w:val="12"/>
                <w:vertAlign w:val="superscript"/>
              </w:rPr>
              <w:t>1</w:t>
            </w:r>
          </w:p>
        </w:tc>
        <w:tc>
          <w:tcPr>
            <w:tcW w:w="948" w:type="dxa"/>
            <w:gridSpan w:val="2"/>
            <w:tcBorders>
              <w:top w:val="single" w:sz="8" w:space="0" w:color="000000"/>
              <w:bottom w:val="single" w:sz="8" w:space="0" w:color="000000"/>
            </w:tcBorders>
            <w:shd w:val="clear" w:color="auto" w:fill="FFFFFF"/>
            <w:tcMar>
              <w:left w:w="108" w:type="dxa"/>
              <w:right w:w="108" w:type="dxa"/>
            </w:tcMar>
            <w:vAlign w:val="center"/>
          </w:tcPr>
          <w:p w14:paraId="4664C564"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(135)</w:t>
            </w:r>
            <w:r>
              <w:rPr>
                <w:rFonts w:ascii="Times New Roman" w:eastAsia="Arial" w:hAnsi="Times New Roman" w:cs="Times New Roman"/>
                <w:color w:val="000000"/>
                <w:sz w:val="12"/>
                <w:szCs w:val="12"/>
                <w:vertAlign w:val="superscript"/>
              </w:rPr>
              <w:t>1</w:t>
            </w:r>
          </w:p>
        </w:tc>
        <w:tc>
          <w:tcPr>
            <w:tcW w:w="943" w:type="dxa"/>
            <w:gridSpan w:val="2"/>
            <w:tcBorders>
              <w:top w:val="single" w:sz="8" w:space="0" w:color="000000"/>
              <w:bottom w:val="single" w:sz="8" w:space="0" w:color="000000"/>
            </w:tcBorders>
            <w:shd w:val="clear" w:color="auto" w:fill="FFFFFF"/>
            <w:tcMar>
              <w:left w:w="108" w:type="dxa"/>
              <w:right w:w="108" w:type="dxa"/>
            </w:tcMar>
            <w:vAlign w:val="center"/>
          </w:tcPr>
          <w:p w14:paraId="22F55530"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(15 297)</w:t>
            </w:r>
            <w:r>
              <w:rPr>
                <w:rFonts w:ascii="Times New Roman" w:eastAsia="Arial" w:hAnsi="Times New Roman" w:cs="Times New Roman"/>
                <w:color w:val="000000"/>
                <w:sz w:val="12"/>
                <w:szCs w:val="12"/>
                <w:vertAlign w:val="superscript"/>
              </w:rPr>
              <w:t>1</w:t>
            </w:r>
          </w:p>
        </w:tc>
        <w:tc>
          <w:tcPr>
            <w:tcW w:w="945" w:type="dxa"/>
            <w:gridSpan w:val="2"/>
            <w:tcBorders>
              <w:top w:val="single" w:sz="8" w:space="0" w:color="000000"/>
              <w:bottom w:val="single" w:sz="8" w:space="0" w:color="000000"/>
            </w:tcBorders>
            <w:shd w:val="clear" w:color="auto" w:fill="FFFFFF"/>
            <w:tcMar>
              <w:left w:w="108" w:type="dxa"/>
              <w:right w:w="108" w:type="dxa"/>
            </w:tcMar>
            <w:vAlign w:val="center"/>
          </w:tcPr>
          <w:p w14:paraId="38D1CD55"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(180)</w:t>
            </w:r>
            <w:r>
              <w:rPr>
                <w:rFonts w:ascii="Times New Roman" w:eastAsia="Arial" w:hAnsi="Times New Roman" w:cs="Times New Roman"/>
                <w:color w:val="000000"/>
                <w:sz w:val="12"/>
                <w:szCs w:val="12"/>
                <w:vertAlign w:val="superscript"/>
              </w:rPr>
              <w:t>1</w:t>
            </w:r>
          </w:p>
        </w:tc>
        <w:tc>
          <w:tcPr>
            <w:tcW w:w="948" w:type="dxa"/>
            <w:gridSpan w:val="2"/>
            <w:tcBorders>
              <w:top w:val="single" w:sz="8" w:space="0" w:color="000000"/>
              <w:bottom w:val="single" w:sz="8" w:space="0" w:color="000000"/>
            </w:tcBorders>
            <w:shd w:val="clear" w:color="auto" w:fill="FFFFFF"/>
            <w:tcMar>
              <w:left w:w="108" w:type="dxa"/>
              <w:right w:w="108" w:type="dxa"/>
            </w:tcMar>
            <w:vAlign w:val="center"/>
          </w:tcPr>
          <w:p w14:paraId="63BF06E0"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(94)</w:t>
            </w:r>
            <w:r>
              <w:rPr>
                <w:rFonts w:ascii="Times New Roman" w:eastAsia="Arial" w:hAnsi="Times New Roman" w:cs="Times New Roman"/>
                <w:color w:val="000000"/>
                <w:sz w:val="12"/>
                <w:szCs w:val="12"/>
                <w:vertAlign w:val="superscript"/>
              </w:rPr>
              <w:t>1</w:t>
            </w:r>
          </w:p>
        </w:tc>
        <w:tc>
          <w:tcPr>
            <w:tcW w:w="944" w:type="dxa"/>
            <w:gridSpan w:val="2"/>
            <w:tcBorders>
              <w:top w:val="single" w:sz="8" w:space="0" w:color="000000"/>
              <w:bottom w:val="single" w:sz="8" w:space="0" w:color="000000"/>
            </w:tcBorders>
            <w:shd w:val="clear" w:color="auto" w:fill="FFFFFF"/>
            <w:tcMar>
              <w:left w:w="108" w:type="dxa"/>
              <w:right w:w="108" w:type="dxa"/>
            </w:tcMar>
            <w:vAlign w:val="center"/>
          </w:tcPr>
          <w:p w14:paraId="3277A6C7"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(11 422)</w:t>
            </w:r>
            <w:r>
              <w:rPr>
                <w:rFonts w:ascii="Times New Roman" w:eastAsia="Arial" w:hAnsi="Times New Roman" w:cs="Times New Roman"/>
                <w:color w:val="000000"/>
                <w:sz w:val="12"/>
                <w:szCs w:val="12"/>
                <w:vertAlign w:val="superscript"/>
              </w:rPr>
              <w:t>1</w:t>
            </w:r>
          </w:p>
        </w:tc>
        <w:tc>
          <w:tcPr>
            <w:tcW w:w="829" w:type="dxa"/>
            <w:gridSpan w:val="2"/>
            <w:tcBorders>
              <w:top w:val="single" w:sz="8" w:space="0" w:color="000000"/>
              <w:bottom w:val="single" w:sz="8" w:space="0" w:color="000000"/>
            </w:tcBorders>
            <w:shd w:val="clear" w:color="auto" w:fill="FFFFFF"/>
            <w:tcMar>
              <w:left w:w="108" w:type="dxa"/>
              <w:right w:w="108" w:type="dxa"/>
            </w:tcMar>
            <w:vAlign w:val="center"/>
          </w:tcPr>
          <w:p w14:paraId="3345ED3F"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(2 362)</w:t>
            </w:r>
            <w:r>
              <w:rPr>
                <w:rFonts w:ascii="Times New Roman" w:eastAsia="Arial" w:hAnsi="Times New Roman" w:cs="Times New Roman"/>
                <w:color w:val="000000"/>
                <w:sz w:val="12"/>
                <w:szCs w:val="12"/>
                <w:vertAlign w:val="superscript"/>
              </w:rPr>
              <w:t>1</w:t>
            </w:r>
          </w:p>
        </w:tc>
        <w:tc>
          <w:tcPr>
            <w:tcW w:w="827" w:type="dxa"/>
            <w:gridSpan w:val="2"/>
            <w:tcBorders>
              <w:top w:val="single" w:sz="8" w:space="0" w:color="000000"/>
              <w:bottom w:val="single" w:sz="8" w:space="0" w:color="000000"/>
            </w:tcBorders>
            <w:shd w:val="clear" w:color="auto" w:fill="FFFFFF"/>
            <w:tcMar>
              <w:left w:w="108" w:type="dxa"/>
              <w:right w:w="108" w:type="dxa"/>
            </w:tcMar>
            <w:vAlign w:val="center"/>
          </w:tcPr>
          <w:p w14:paraId="1CAB5245"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(654)</w:t>
            </w:r>
            <w:r>
              <w:rPr>
                <w:rFonts w:ascii="Times New Roman" w:eastAsia="Arial" w:hAnsi="Times New Roman" w:cs="Times New Roman"/>
                <w:color w:val="000000"/>
                <w:sz w:val="12"/>
                <w:szCs w:val="12"/>
                <w:vertAlign w:val="superscript"/>
              </w:rPr>
              <w:t>1</w:t>
            </w:r>
          </w:p>
        </w:tc>
        <w:tc>
          <w:tcPr>
            <w:tcW w:w="823" w:type="dxa"/>
            <w:gridSpan w:val="2"/>
            <w:tcBorders>
              <w:top w:val="single" w:sz="8" w:space="0" w:color="000000"/>
              <w:bottom w:val="single" w:sz="8" w:space="0" w:color="000000"/>
            </w:tcBorders>
            <w:shd w:val="clear" w:color="auto" w:fill="FFFFFF"/>
            <w:tcMar>
              <w:left w:w="108" w:type="dxa"/>
              <w:right w:w="108" w:type="dxa"/>
            </w:tcMar>
            <w:vAlign w:val="center"/>
          </w:tcPr>
          <w:p w14:paraId="737FE65F"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(2 954)</w:t>
            </w:r>
            <w:r>
              <w:rPr>
                <w:rFonts w:ascii="Times New Roman" w:eastAsia="Arial" w:hAnsi="Times New Roman" w:cs="Times New Roman"/>
                <w:color w:val="000000"/>
                <w:sz w:val="12"/>
                <w:szCs w:val="12"/>
                <w:vertAlign w:val="superscript"/>
              </w:rPr>
              <w:t>1</w:t>
            </w:r>
          </w:p>
        </w:tc>
        <w:tc>
          <w:tcPr>
            <w:tcW w:w="853" w:type="dxa"/>
            <w:tcBorders>
              <w:top w:val="single" w:sz="8" w:space="0" w:color="000000"/>
              <w:bottom w:val="single" w:sz="8" w:space="0" w:color="000000"/>
              <w:right w:val="single" w:sz="8" w:space="0" w:color="000000"/>
            </w:tcBorders>
            <w:shd w:val="clear" w:color="auto" w:fill="FFFFFF"/>
            <w:tcMar>
              <w:left w:w="108" w:type="dxa"/>
              <w:right w:w="108" w:type="dxa"/>
            </w:tcMar>
            <w:vAlign w:val="center"/>
          </w:tcPr>
          <w:p w14:paraId="0CB5CB64"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(315)</w:t>
            </w:r>
            <w:r>
              <w:rPr>
                <w:rFonts w:ascii="Times New Roman" w:eastAsia="Arial" w:hAnsi="Times New Roman" w:cs="Times New Roman"/>
                <w:color w:val="000000"/>
                <w:sz w:val="12"/>
                <w:szCs w:val="12"/>
                <w:vertAlign w:val="superscript"/>
              </w:rPr>
              <w:t>1</w:t>
            </w:r>
          </w:p>
        </w:tc>
      </w:tr>
      <w:tr w:rsidR="00E2476B" w14:paraId="629CFAFF" w14:textId="77777777" w:rsidTr="0018419C">
        <w:trPr>
          <w:trHeight w:val="227"/>
          <w:jc w:val="center"/>
        </w:trPr>
        <w:tc>
          <w:tcPr>
            <w:tcW w:w="9923" w:type="dxa"/>
            <w:gridSpan w:val="20"/>
            <w:tcBorders>
              <w:top w:val="single" w:sz="8" w:space="0" w:color="000000"/>
              <w:left w:val="single" w:sz="8" w:space="0" w:color="000000"/>
              <w:right w:val="single" w:sz="8" w:space="0" w:color="000000"/>
            </w:tcBorders>
            <w:shd w:val="clear" w:color="auto" w:fill="FFFFFF"/>
          </w:tcPr>
          <w:p w14:paraId="393C8A93"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Groupe d'âge</w:t>
            </w:r>
          </w:p>
        </w:tc>
      </w:tr>
      <w:tr w:rsidR="00E2476B" w14:paraId="637BF18A" w14:textId="77777777" w:rsidTr="0018419C">
        <w:trPr>
          <w:jc w:val="center"/>
        </w:trPr>
        <w:tc>
          <w:tcPr>
            <w:tcW w:w="928" w:type="dxa"/>
            <w:tcBorders>
              <w:left w:val="single" w:sz="8" w:space="0" w:color="000000"/>
              <w:right w:val="single" w:sz="4" w:space="0" w:color="000000"/>
            </w:tcBorders>
            <w:shd w:val="clear" w:color="auto" w:fill="FFFFFF"/>
          </w:tcPr>
          <w:p w14:paraId="3B56016C" w14:textId="77777777" w:rsidR="00E2476B" w:rsidRDefault="00E2476B" w:rsidP="0018419C">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20-29</w:t>
            </w:r>
          </w:p>
        </w:tc>
        <w:tc>
          <w:tcPr>
            <w:tcW w:w="935" w:type="dxa"/>
            <w:gridSpan w:val="2"/>
            <w:tcBorders>
              <w:left w:val="single" w:sz="4" w:space="0" w:color="000000"/>
              <w:right w:val="single" w:sz="4" w:space="0" w:color="000000"/>
            </w:tcBorders>
            <w:shd w:val="clear" w:color="auto" w:fill="FFFFFF"/>
          </w:tcPr>
          <w:p w14:paraId="6D815E94"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30,9 </w:t>
            </w:r>
          </w:p>
          <w:p w14:paraId="17164582"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[20-45]</w:t>
            </w:r>
            <w:r>
              <w:rPr>
                <w:rFonts w:ascii="Times New Roman" w:eastAsia="Arial" w:hAnsi="Times New Roman" w:cs="Times New Roman"/>
                <w:color w:val="000000"/>
                <w:sz w:val="14"/>
                <w:szCs w:val="14"/>
                <w:vertAlign w:val="superscript"/>
              </w:rPr>
              <w:t>4</w:t>
            </w:r>
          </w:p>
        </w:tc>
        <w:tc>
          <w:tcPr>
            <w:tcW w:w="948" w:type="dxa"/>
            <w:gridSpan w:val="2"/>
            <w:tcBorders>
              <w:left w:val="single" w:sz="4" w:space="0" w:color="000000"/>
              <w:right w:val="single" w:sz="4" w:space="0" w:color="000000"/>
            </w:tcBorders>
            <w:shd w:val="clear" w:color="auto" w:fill="FFFFFF"/>
          </w:tcPr>
          <w:p w14:paraId="4C755BE0"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47,0 </w:t>
            </w:r>
          </w:p>
          <w:p w14:paraId="4D527D6F"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[36-58]</w:t>
            </w:r>
          </w:p>
        </w:tc>
        <w:tc>
          <w:tcPr>
            <w:tcW w:w="943" w:type="dxa"/>
            <w:gridSpan w:val="2"/>
            <w:tcBorders>
              <w:left w:val="single" w:sz="4" w:space="0" w:color="000000"/>
              <w:right w:val="single" w:sz="4" w:space="0" w:color="000000"/>
            </w:tcBorders>
            <w:shd w:val="clear" w:color="auto" w:fill="FFFFFF"/>
          </w:tcPr>
          <w:p w14:paraId="70A2FC17"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18,3 </w:t>
            </w:r>
          </w:p>
          <w:p w14:paraId="37ADE65B"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[17-19]</w:t>
            </w:r>
          </w:p>
        </w:tc>
        <w:tc>
          <w:tcPr>
            <w:tcW w:w="945" w:type="dxa"/>
            <w:gridSpan w:val="2"/>
            <w:tcBorders>
              <w:left w:val="single" w:sz="4" w:space="0" w:color="000000"/>
              <w:right w:val="single" w:sz="4" w:space="0" w:color="000000"/>
            </w:tcBorders>
            <w:shd w:val="clear" w:color="auto" w:fill="FFFFFF"/>
          </w:tcPr>
          <w:p w14:paraId="256B0F65"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21,8 </w:t>
            </w:r>
          </w:p>
          <w:p w14:paraId="173A6378"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[15-30]</w:t>
            </w:r>
          </w:p>
        </w:tc>
        <w:tc>
          <w:tcPr>
            <w:tcW w:w="948" w:type="dxa"/>
            <w:gridSpan w:val="2"/>
            <w:tcBorders>
              <w:left w:val="single" w:sz="4" w:space="0" w:color="000000"/>
              <w:right w:val="single" w:sz="4" w:space="0" w:color="000000"/>
            </w:tcBorders>
            <w:shd w:val="clear" w:color="auto" w:fill="FFFFFF"/>
          </w:tcPr>
          <w:p w14:paraId="3606BAE7"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17,5 </w:t>
            </w:r>
          </w:p>
          <w:p w14:paraId="3B3CEE42"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[9,2-31]</w:t>
            </w:r>
          </w:p>
        </w:tc>
        <w:tc>
          <w:tcPr>
            <w:tcW w:w="944" w:type="dxa"/>
            <w:gridSpan w:val="2"/>
            <w:tcBorders>
              <w:left w:val="single" w:sz="4" w:space="0" w:color="000000"/>
              <w:right w:val="single" w:sz="4" w:space="0" w:color="000000"/>
            </w:tcBorders>
            <w:shd w:val="clear" w:color="auto" w:fill="FFFFFF"/>
          </w:tcPr>
          <w:p w14:paraId="2B8D389D"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19,0 </w:t>
            </w:r>
          </w:p>
          <w:p w14:paraId="63C1A252"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[18-20]</w:t>
            </w:r>
          </w:p>
        </w:tc>
        <w:tc>
          <w:tcPr>
            <w:tcW w:w="829" w:type="dxa"/>
            <w:gridSpan w:val="2"/>
            <w:tcBorders>
              <w:left w:val="single" w:sz="4" w:space="0" w:color="000000"/>
              <w:right w:val="single" w:sz="4" w:space="0" w:color="000000"/>
            </w:tcBorders>
            <w:shd w:val="clear" w:color="auto" w:fill="FFFFFF"/>
          </w:tcPr>
          <w:p w14:paraId="167D01F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43,7</w:t>
            </w:r>
          </w:p>
        </w:tc>
        <w:tc>
          <w:tcPr>
            <w:tcW w:w="827" w:type="dxa"/>
            <w:gridSpan w:val="2"/>
            <w:tcBorders>
              <w:left w:val="single" w:sz="4" w:space="0" w:color="000000"/>
              <w:right w:val="single" w:sz="4" w:space="0" w:color="000000"/>
            </w:tcBorders>
            <w:shd w:val="clear" w:color="auto" w:fill="FFFFFF"/>
          </w:tcPr>
          <w:p w14:paraId="54C193A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64,5</w:t>
            </w:r>
          </w:p>
        </w:tc>
        <w:tc>
          <w:tcPr>
            <w:tcW w:w="823" w:type="dxa"/>
            <w:gridSpan w:val="2"/>
            <w:tcBorders>
              <w:left w:val="single" w:sz="4" w:space="0" w:color="000000"/>
              <w:right w:val="single" w:sz="4" w:space="0" w:color="000000"/>
            </w:tcBorders>
            <w:shd w:val="clear" w:color="auto" w:fill="FFFFFF"/>
          </w:tcPr>
          <w:p w14:paraId="214A8AF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26,6</w:t>
            </w:r>
          </w:p>
        </w:tc>
        <w:tc>
          <w:tcPr>
            <w:tcW w:w="853" w:type="dxa"/>
            <w:tcBorders>
              <w:left w:val="single" w:sz="4" w:space="0" w:color="000000"/>
              <w:right w:val="single" w:sz="8" w:space="0" w:color="000000"/>
            </w:tcBorders>
            <w:shd w:val="clear" w:color="auto" w:fill="FFFFFF"/>
          </w:tcPr>
          <w:p w14:paraId="43C1238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38,7</w:t>
            </w:r>
          </w:p>
        </w:tc>
      </w:tr>
      <w:tr w:rsidR="00E2476B" w14:paraId="0E0068DE" w14:textId="77777777" w:rsidTr="0018419C">
        <w:trPr>
          <w:jc w:val="center"/>
        </w:trPr>
        <w:tc>
          <w:tcPr>
            <w:tcW w:w="928" w:type="dxa"/>
            <w:tcBorders>
              <w:left w:val="single" w:sz="8" w:space="0" w:color="000000"/>
              <w:right w:val="single" w:sz="4" w:space="0" w:color="000000"/>
            </w:tcBorders>
            <w:shd w:val="clear" w:color="auto" w:fill="FFFFFF"/>
          </w:tcPr>
          <w:p w14:paraId="24EE27A2" w14:textId="77777777" w:rsidR="00E2476B" w:rsidRDefault="00E2476B" w:rsidP="0018419C">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30-39</w:t>
            </w:r>
          </w:p>
        </w:tc>
        <w:tc>
          <w:tcPr>
            <w:tcW w:w="935" w:type="dxa"/>
            <w:gridSpan w:val="2"/>
            <w:tcBorders>
              <w:left w:val="single" w:sz="4" w:space="0" w:color="000000"/>
              <w:right w:val="single" w:sz="4" w:space="0" w:color="000000"/>
            </w:tcBorders>
            <w:shd w:val="clear" w:color="auto" w:fill="FFFFFF"/>
          </w:tcPr>
          <w:p w14:paraId="5F7325ED"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30,0 </w:t>
            </w:r>
          </w:p>
          <w:p w14:paraId="5F82D827"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[20-42]</w:t>
            </w:r>
          </w:p>
        </w:tc>
        <w:tc>
          <w:tcPr>
            <w:tcW w:w="948" w:type="dxa"/>
            <w:gridSpan w:val="2"/>
            <w:tcBorders>
              <w:left w:val="single" w:sz="4" w:space="0" w:color="000000"/>
              <w:right w:val="single" w:sz="4" w:space="0" w:color="000000"/>
            </w:tcBorders>
            <w:shd w:val="clear" w:color="auto" w:fill="FFFFFF"/>
          </w:tcPr>
          <w:p w14:paraId="39AB2EF4"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18,6 </w:t>
            </w:r>
          </w:p>
          <w:p w14:paraId="773517DC"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[12-27]</w:t>
            </w:r>
          </w:p>
        </w:tc>
        <w:tc>
          <w:tcPr>
            <w:tcW w:w="943" w:type="dxa"/>
            <w:gridSpan w:val="2"/>
            <w:tcBorders>
              <w:left w:val="single" w:sz="4" w:space="0" w:color="000000"/>
              <w:right w:val="single" w:sz="4" w:space="0" w:color="000000"/>
            </w:tcBorders>
            <w:shd w:val="clear" w:color="auto" w:fill="FFFFFF"/>
          </w:tcPr>
          <w:p w14:paraId="4AE14F3A"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20,2 </w:t>
            </w:r>
          </w:p>
          <w:p w14:paraId="40A94B19"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[19-21]</w:t>
            </w:r>
          </w:p>
        </w:tc>
        <w:tc>
          <w:tcPr>
            <w:tcW w:w="945" w:type="dxa"/>
            <w:gridSpan w:val="2"/>
            <w:tcBorders>
              <w:left w:val="single" w:sz="4" w:space="0" w:color="000000"/>
              <w:right w:val="single" w:sz="4" w:space="0" w:color="000000"/>
            </w:tcBorders>
            <w:shd w:val="clear" w:color="auto" w:fill="FFFFFF"/>
          </w:tcPr>
          <w:p w14:paraId="39B2CE8E"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31,3 </w:t>
            </w:r>
          </w:p>
          <w:p w14:paraId="1BAAFA93"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[23-41]</w:t>
            </w:r>
          </w:p>
        </w:tc>
        <w:tc>
          <w:tcPr>
            <w:tcW w:w="948" w:type="dxa"/>
            <w:gridSpan w:val="2"/>
            <w:tcBorders>
              <w:left w:val="single" w:sz="4" w:space="0" w:color="000000"/>
              <w:right w:val="single" w:sz="4" w:space="0" w:color="000000"/>
            </w:tcBorders>
            <w:shd w:val="clear" w:color="auto" w:fill="FFFFFF"/>
          </w:tcPr>
          <w:p w14:paraId="095B9CD7"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9,4 </w:t>
            </w:r>
          </w:p>
          <w:p w14:paraId="1A9CA9DE"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[4,6-18]</w:t>
            </w:r>
          </w:p>
        </w:tc>
        <w:tc>
          <w:tcPr>
            <w:tcW w:w="944" w:type="dxa"/>
            <w:gridSpan w:val="2"/>
            <w:tcBorders>
              <w:left w:val="single" w:sz="4" w:space="0" w:color="000000"/>
              <w:right w:val="single" w:sz="4" w:space="0" w:color="000000"/>
            </w:tcBorders>
            <w:shd w:val="clear" w:color="auto" w:fill="FFFFFF"/>
          </w:tcPr>
          <w:p w14:paraId="072D6140"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20,6 </w:t>
            </w:r>
          </w:p>
          <w:p w14:paraId="72F87F2E"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[20-22]</w:t>
            </w:r>
          </w:p>
        </w:tc>
        <w:tc>
          <w:tcPr>
            <w:tcW w:w="829" w:type="dxa"/>
            <w:gridSpan w:val="2"/>
            <w:tcBorders>
              <w:left w:val="single" w:sz="4" w:space="0" w:color="000000"/>
              <w:right w:val="single" w:sz="4" w:space="0" w:color="000000"/>
            </w:tcBorders>
            <w:shd w:val="clear" w:color="auto" w:fill="FFFFFF"/>
          </w:tcPr>
          <w:p w14:paraId="42340AF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27,7</w:t>
            </w:r>
          </w:p>
        </w:tc>
        <w:tc>
          <w:tcPr>
            <w:tcW w:w="827" w:type="dxa"/>
            <w:gridSpan w:val="2"/>
            <w:tcBorders>
              <w:left w:val="single" w:sz="4" w:space="0" w:color="000000"/>
              <w:right w:val="single" w:sz="4" w:space="0" w:color="000000"/>
            </w:tcBorders>
            <w:shd w:val="clear" w:color="auto" w:fill="FFFFFF"/>
          </w:tcPr>
          <w:p w14:paraId="6196486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23,1</w:t>
            </w:r>
          </w:p>
        </w:tc>
        <w:tc>
          <w:tcPr>
            <w:tcW w:w="823" w:type="dxa"/>
            <w:gridSpan w:val="2"/>
            <w:tcBorders>
              <w:left w:val="single" w:sz="4" w:space="0" w:color="000000"/>
              <w:right w:val="single" w:sz="4" w:space="0" w:color="000000"/>
            </w:tcBorders>
            <w:shd w:val="clear" w:color="auto" w:fill="FFFFFF"/>
          </w:tcPr>
          <w:p w14:paraId="5D637B1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p>
        </w:tc>
        <w:tc>
          <w:tcPr>
            <w:tcW w:w="853" w:type="dxa"/>
            <w:tcBorders>
              <w:left w:val="single" w:sz="4" w:space="0" w:color="000000"/>
              <w:right w:val="single" w:sz="8" w:space="0" w:color="000000"/>
            </w:tcBorders>
            <w:shd w:val="clear" w:color="auto" w:fill="FFFFFF"/>
          </w:tcPr>
          <w:p w14:paraId="4C770B7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p>
        </w:tc>
      </w:tr>
      <w:tr w:rsidR="00E2476B" w14:paraId="7C7EEB00" w14:textId="77777777" w:rsidTr="0018419C">
        <w:trPr>
          <w:jc w:val="center"/>
        </w:trPr>
        <w:tc>
          <w:tcPr>
            <w:tcW w:w="928" w:type="dxa"/>
            <w:tcBorders>
              <w:left w:val="single" w:sz="8" w:space="0" w:color="000000"/>
              <w:right w:val="single" w:sz="4" w:space="0" w:color="000000"/>
            </w:tcBorders>
            <w:shd w:val="clear" w:color="auto" w:fill="FFFFFF"/>
          </w:tcPr>
          <w:p w14:paraId="40C3D7CD" w14:textId="77777777" w:rsidR="00E2476B" w:rsidRDefault="00E2476B" w:rsidP="0018419C">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40-49</w:t>
            </w:r>
          </w:p>
        </w:tc>
        <w:tc>
          <w:tcPr>
            <w:tcW w:w="935" w:type="dxa"/>
            <w:gridSpan w:val="2"/>
            <w:tcBorders>
              <w:left w:val="single" w:sz="4" w:space="0" w:color="000000"/>
              <w:right w:val="single" w:sz="4" w:space="0" w:color="000000"/>
            </w:tcBorders>
            <w:shd w:val="clear" w:color="auto" w:fill="FFFFFF"/>
          </w:tcPr>
          <w:p w14:paraId="343AB46E"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22,8 </w:t>
            </w:r>
          </w:p>
          <w:p w14:paraId="4B28BB73"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[14-34]</w:t>
            </w:r>
          </w:p>
        </w:tc>
        <w:tc>
          <w:tcPr>
            <w:tcW w:w="948" w:type="dxa"/>
            <w:gridSpan w:val="2"/>
            <w:tcBorders>
              <w:left w:val="single" w:sz="4" w:space="0" w:color="000000"/>
              <w:right w:val="single" w:sz="4" w:space="0" w:color="000000"/>
            </w:tcBorders>
            <w:shd w:val="clear" w:color="auto" w:fill="FFFFFF"/>
          </w:tcPr>
          <w:p w14:paraId="74ABFC4C"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18,7 </w:t>
            </w:r>
          </w:p>
          <w:p w14:paraId="04FAE16E"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[12-28]</w:t>
            </w:r>
          </w:p>
        </w:tc>
        <w:tc>
          <w:tcPr>
            <w:tcW w:w="943" w:type="dxa"/>
            <w:gridSpan w:val="2"/>
            <w:tcBorders>
              <w:left w:val="single" w:sz="4" w:space="0" w:color="000000"/>
              <w:right w:val="single" w:sz="4" w:space="0" w:color="000000"/>
            </w:tcBorders>
            <w:shd w:val="clear" w:color="auto" w:fill="FFFFFF"/>
          </w:tcPr>
          <w:p w14:paraId="27A6E924"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22,0 </w:t>
            </w:r>
          </w:p>
          <w:p w14:paraId="494ADC0D"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[21-23]</w:t>
            </w:r>
          </w:p>
        </w:tc>
        <w:tc>
          <w:tcPr>
            <w:tcW w:w="945" w:type="dxa"/>
            <w:gridSpan w:val="2"/>
            <w:tcBorders>
              <w:left w:val="single" w:sz="4" w:space="0" w:color="000000"/>
              <w:right w:val="single" w:sz="4" w:space="0" w:color="000000"/>
            </w:tcBorders>
            <w:shd w:val="clear" w:color="auto" w:fill="FFFFFF"/>
          </w:tcPr>
          <w:p w14:paraId="57E8AD9F"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24,0 </w:t>
            </w:r>
          </w:p>
          <w:p w14:paraId="145990DE"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[18-32]</w:t>
            </w:r>
          </w:p>
        </w:tc>
        <w:tc>
          <w:tcPr>
            <w:tcW w:w="948" w:type="dxa"/>
            <w:gridSpan w:val="2"/>
            <w:tcBorders>
              <w:left w:val="single" w:sz="4" w:space="0" w:color="000000"/>
              <w:right w:val="single" w:sz="4" w:space="0" w:color="000000"/>
            </w:tcBorders>
            <w:shd w:val="clear" w:color="auto" w:fill="FFFFFF"/>
          </w:tcPr>
          <w:p w14:paraId="4B1761E6"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18,5 </w:t>
            </w:r>
          </w:p>
          <w:p w14:paraId="5B1398CF"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[10-31]</w:t>
            </w:r>
          </w:p>
        </w:tc>
        <w:tc>
          <w:tcPr>
            <w:tcW w:w="944" w:type="dxa"/>
            <w:gridSpan w:val="2"/>
            <w:tcBorders>
              <w:left w:val="single" w:sz="4" w:space="0" w:color="000000"/>
              <w:right w:val="single" w:sz="4" w:space="0" w:color="000000"/>
            </w:tcBorders>
            <w:shd w:val="clear" w:color="auto" w:fill="FFFFFF"/>
          </w:tcPr>
          <w:p w14:paraId="19DA1864"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22,4 </w:t>
            </w:r>
          </w:p>
          <w:p w14:paraId="5EE669FA"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[21-23]</w:t>
            </w:r>
          </w:p>
        </w:tc>
        <w:tc>
          <w:tcPr>
            <w:tcW w:w="829" w:type="dxa"/>
            <w:gridSpan w:val="2"/>
            <w:tcBorders>
              <w:left w:val="single" w:sz="4" w:space="0" w:color="000000"/>
              <w:right w:val="single" w:sz="4" w:space="0" w:color="000000"/>
            </w:tcBorders>
            <w:shd w:val="clear" w:color="auto" w:fill="FFFFFF"/>
          </w:tcPr>
          <w:p w14:paraId="487C77C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p>
        </w:tc>
        <w:tc>
          <w:tcPr>
            <w:tcW w:w="827" w:type="dxa"/>
            <w:gridSpan w:val="2"/>
            <w:tcBorders>
              <w:left w:val="single" w:sz="4" w:space="0" w:color="000000"/>
              <w:right w:val="single" w:sz="4" w:space="0" w:color="000000"/>
            </w:tcBorders>
            <w:shd w:val="clear" w:color="auto" w:fill="FFFFFF"/>
          </w:tcPr>
          <w:p w14:paraId="6A0B227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8,6</w:t>
            </w:r>
          </w:p>
        </w:tc>
        <w:tc>
          <w:tcPr>
            <w:tcW w:w="823" w:type="dxa"/>
            <w:gridSpan w:val="2"/>
            <w:tcBorders>
              <w:left w:val="single" w:sz="4" w:space="0" w:color="000000"/>
              <w:right w:val="single" w:sz="4" w:space="0" w:color="000000"/>
            </w:tcBorders>
            <w:shd w:val="clear" w:color="auto" w:fill="FFFFFF"/>
          </w:tcPr>
          <w:p w14:paraId="4835488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26,6</w:t>
            </w:r>
          </w:p>
        </w:tc>
        <w:tc>
          <w:tcPr>
            <w:tcW w:w="853" w:type="dxa"/>
            <w:tcBorders>
              <w:left w:val="single" w:sz="4" w:space="0" w:color="000000"/>
              <w:right w:val="single" w:sz="8" w:space="0" w:color="000000"/>
            </w:tcBorders>
            <w:shd w:val="clear" w:color="auto" w:fill="FFFFFF"/>
          </w:tcPr>
          <w:p w14:paraId="3F2B559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14,3</w:t>
            </w:r>
          </w:p>
        </w:tc>
      </w:tr>
      <w:tr w:rsidR="00E2476B" w14:paraId="62B7A1AB" w14:textId="77777777" w:rsidTr="0018419C">
        <w:trPr>
          <w:jc w:val="center"/>
        </w:trPr>
        <w:tc>
          <w:tcPr>
            <w:tcW w:w="928" w:type="dxa"/>
            <w:tcBorders>
              <w:left w:val="single" w:sz="8" w:space="0" w:color="000000"/>
              <w:right w:val="single" w:sz="4" w:space="0" w:color="000000"/>
            </w:tcBorders>
            <w:shd w:val="clear" w:color="auto" w:fill="FFFFFF"/>
          </w:tcPr>
          <w:p w14:paraId="2C0A4FD8" w14:textId="77777777" w:rsidR="00E2476B" w:rsidRDefault="00E2476B" w:rsidP="0018419C">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50-69</w:t>
            </w:r>
          </w:p>
        </w:tc>
        <w:tc>
          <w:tcPr>
            <w:tcW w:w="935" w:type="dxa"/>
            <w:gridSpan w:val="2"/>
            <w:tcBorders>
              <w:left w:val="single" w:sz="4" w:space="0" w:color="000000"/>
              <w:right w:val="single" w:sz="4" w:space="0" w:color="000000"/>
            </w:tcBorders>
            <w:shd w:val="clear" w:color="auto" w:fill="FFFFFF"/>
          </w:tcPr>
          <w:p w14:paraId="22A5DA3A"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16,2 </w:t>
            </w:r>
          </w:p>
          <w:p w14:paraId="4FB1A4DB"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[9,5-26]</w:t>
            </w:r>
          </w:p>
        </w:tc>
        <w:tc>
          <w:tcPr>
            <w:tcW w:w="948" w:type="dxa"/>
            <w:gridSpan w:val="2"/>
            <w:tcBorders>
              <w:left w:val="single" w:sz="4" w:space="0" w:color="000000"/>
              <w:right w:val="single" w:sz="4" w:space="0" w:color="000000"/>
            </w:tcBorders>
            <w:shd w:val="clear" w:color="auto" w:fill="FFFFFF"/>
          </w:tcPr>
          <w:p w14:paraId="6D0E51D4"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15,8</w:t>
            </w:r>
          </w:p>
          <w:p w14:paraId="59661DE9"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 [9,4-25]</w:t>
            </w:r>
          </w:p>
        </w:tc>
        <w:tc>
          <w:tcPr>
            <w:tcW w:w="943" w:type="dxa"/>
            <w:gridSpan w:val="2"/>
            <w:tcBorders>
              <w:left w:val="single" w:sz="4" w:space="0" w:color="000000"/>
              <w:right w:val="single" w:sz="4" w:space="0" w:color="000000"/>
            </w:tcBorders>
            <w:shd w:val="clear" w:color="auto" w:fill="FFFFFF"/>
          </w:tcPr>
          <w:p w14:paraId="3D966310"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39,4 </w:t>
            </w:r>
          </w:p>
          <w:p w14:paraId="4D633A79"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[38-40]</w:t>
            </w:r>
          </w:p>
        </w:tc>
        <w:tc>
          <w:tcPr>
            <w:tcW w:w="945" w:type="dxa"/>
            <w:gridSpan w:val="2"/>
            <w:tcBorders>
              <w:left w:val="single" w:sz="4" w:space="0" w:color="000000"/>
              <w:right w:val="single" w:sz="4" w:space="0" w:color="000000"/>
            </w:tcBorders>
            <w:shd w:val="clear" w:color="auto" w:fill="FFFFFF"/>
          </w:tcPr>
          <w:p w14:paraId="72C70FBE"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23,0 </w:t>
            </w:r>
          </w:p>
          <w:p w14:paraId="59B3D96B"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[16-31]</w:t>
            </w:r>
          </w:p>
        </w:tc>
        <w:tc>
          <w:tcPr>
            <w:tcW w:w="948" w:type="dxa"/>
            <w:gridSpan w:val="2"/>
            <w:tcBorders>
              <w:left w:val="single" w:sz="4" w:space="0" w:color="000000"/>
              <w:right w:val="single" w:sz="4" w:space="0" w:color="000000"/>
            </w:tcBorders>
            <w:shd w:val="clear" w:color="auto" w:fill="FFFFFF"/>
          </w:tcPr>
          <w:p w14:paraId="63A8BF33"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54,6 </w:t>
            </w:r>
          </w:p>
          <w:p w14:paraId="5BBC05DB"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[40-68]</w:t>
            </w:r>
          </w:p>
        </w:tc>
        <w:tc>
          <w:tcPr>
            <w:tcW w:w="944" w:type="dxa"/>
            <w:gridSpan w:val="2"/>
            <w:tcBorders>
              <w:left w:val="single" w:sz="4" w:space="0" w:color="000000"/>
              <w:right w:val="single" w:sz="4" w:space="0" w:color="000000"/>
            </w:tcBorders>
            <w:shd w:val="clear" w:color="auto" w:fill="FFFFFF"/>
          </w:tcPr>
          <w:p w14:paraId="573985D6"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37,9 </w:t>
            </w:r>
          </w:p>
          <w:p w14:paraId="54D0566E" w14:textId="77777777" w:rsidR="00E2476B" w:rsidRDefault="00E2476B" w:rsidP="0018419C">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[37-39]</w:t>
            </w:r>
          </w:p>
        </w:tc>
        <w:tc>
          <w:tcPr>
            <w:tcW w:w="829" w:type="dxa"/>
            <w:gridSpan w:val="2"/>
            <w:tcBorders>
              <w:left w:val="single" w:sz="4" w:space="0" w:color="000000"/>
              <w:right w:val="single" w:sz="4" w:space="0" w:color="000000"/>
            </w:tcBorders>
            <w:shd w:val="clear" w:color="auto" w:fill="FFFFFF"/>
          </w:tcPr>
          <w:p w14:paraId="5790A52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11,8</w:t>
            </w:r>
          </w:p>
        </w:tc>
        <w:tc>
          <w:tcPr>
            <w:tcW w:w="827" w:type="dxa"/>
            <w:gridSpan w:val="2"/>
            <w:tcBorders>
              <w:left w:val="single" w:sz="4" w:space="0" w:color="000000"/>
              <w:right w:val="single" w:sz="4" w:space="0" w:color="000000"/>
            </w:tcBorders>
            <w:shd w:val="clear" w:color="auto" w:fill="FFFFFF"/>
          </w:tcPr>
          <w:p w14:paraId="631DD32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w:t>
            </w:r>
          </w:p>
        </w:tc>
        <w:tc>
          <w:tcPr>
            <w:tcW w:w="823" w:type="dxa"/>
            <w:gridSpan w:val="2"/>
            <w:tcBorders>
              <w:left w:val="single" w:sz="4" w:space="0" w:color="000000"/>
              <w:right w:val="single" w:sz="4" w:space="0" w:color="000000"/>
            </w:tcBorders>
            <w:shd w:val="clear" w:color="auto" w:fill="FFFFFF"/>
          </w:tcPr>
          <w:p w14:paraId="0A39E87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p>
        </w:tc>
        <w:tc>
          <w:tcPr>
            <w:tcW w:w="853" w:type="dxa"/>
            <w:tcBorders>
              <w:left w:val="single" w:sz="4" w:space="0" w:color="000000"/>
              <w:right w:val="single" w:sz="8" w:space="0" w:color="000000"/>
            </w:tcBorders>
            <w:shd w:val="clear" w:color="auto" w:fill="FFFFFF"/>
          </w:tcPr>
          <w:p w14:paraId="6A97F5A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30,2</w:t>
            </w:r>
          </w:p>
        </w:tc>
      </w:tr>
      <w:tr w:rsidR="00E2476B" w14:paraId="567C2A58" w14:textId="77777777" w:rsidTr="0018419C">
        <w:trPr>
          <w:jc w:val="center"/>
        </w:trPr>
        <w:tc>
          <w:tcPr>
            <w:tcW w:w="928" w:type="dxa"/>
            <w:tcBorders>
              <w:left w:val="single" w:sz="8" w:space="0" w:color="000000"/>
              <w:right w:val="single" w:sz="4" w:space="0" w:color="000000"/>
            </w:tcBorders>
            <w:shd w:val="clear" w:color="auto" w:fill="FFFFFF"/>
          </w:tcPr>
          <w:p w14:paraId="39C1F816" w14:textId="77777777" w:rsidR="00E2476B" w:rsidRDefault="00E2476B" w:rsidP="0018419C">
            <w:pPr>
              <w:spacing w:before="100" w:after="100"/>
              <w:ind w:left="102" w:right="102"/>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61572B1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2</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681D466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0,001</w:t>
            </w:r>
            <w:r>
              <w:rPr>
                <w:rFonts w:ascii="Times New Roman" w:eastAsia="Arial" w:hAnsi="Times New Roman" w:cs="Times New Roman"/>
                <w:color w:val="000000"/>
                <w:sz w:val="14"/>
                <w:szCs w:val="14"/>
                <w:vertAlign w:val="superscript"/>
              </w:rPr>
              <w:t>2</w:t>
            </w:r>
          </w:p>
        </w:tc>
        <w:tc>
          <w:tcPr>
            <w:tcW w:w="1656" w:type="dxa"/>
            <w:gridSpan w:val="4"/>
            <w:tcBorders>
              <w:left w:val="single" w:sz="4" w:space="0" w:color="000000"/>
              <w:right w:val="single" w:sz="4" w:space="0" w:color="000000"/>
            </w:tcBorders>
            <w:shd w:val="clear" w:color="auto" w:fill="FFFFFF"/>
            <w:tcMar>
              <w:left w:w="108" w:type="dxa"/>
              <w:right w:w="108" w:type="dxa"/>
            </w:tcMar>
          </w:tcPr>
          <w:p w14:paraId="4621F17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1F38861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r>
      <w:tr w:rsidR="00E2476B" w14:paraId="38FA7B6F" w14:textId="77777777" w:rsidTr="0018419C">
        <w:trPr>
          <w:jc w:val="center"/>
        </w:trPr>
        <w:tc>
          <w:tcPr>
            <w:tcW w:w="9923" w:type="dxa"/>
            <w:gridSpan w:val="20"/>
            <w:tcBorders>
              <w:left w:val="single" w:sz="8" w:space="0" w:color="000000"/>
              <w:right w:val="single" w:sz="8" w:space="0" w:color="000000"/>
            </w:tcBorders>
            <w:shd w:val="clear" w:color="auto" w:fill="FFFFFF"/>
          </w:tcPr>
          <w:p w14:paraId="74714895"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Revenu individuel</w:t>
            </w:r>
          </w:p>
        </w:tc>
      </w:tr>
      <w:tr w:rsidR="00E2476B" w14:paraId="4E88B5CE" w14:textId="77777777" w:rsidTr="0018419C">
        <w:trPr>
          <w:jc w:val="center"/>
        </w:trPr>
        <w:tc>
          <w:tcPr>
            <w:tcW w:w="928" w:type="dxa"/>
            <w:tcBorders>
              <w:left w:val="single" w:sz="8" w:space="0" w:color="000000"/>
              <w:right w:val="single" w:sz="4" w:space="0" w:color="000000"/>
            </w:tcBorders>
            <w:shd w:val="clear" w:color="auto" w:fill="FFFFFF"/>
          </w:tcPr>
          <w:p w14:paraId="7C5E1C2D"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Moins de </w:t>
            </w:r>
          </w:p>
          <w:p w14:paraId="416BD5CC"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1 000€</w:t>
            </w:r>
          </w:p>
        </w:tc>
        <w:tc>
          <w:tcPr>
            <w:tcW w:w="935" w:type="dxa"/>
            <w:gridSpan w:val="2"/>
            <w:tcBorders>
              <w:left w:val="single" w:sz="4" w:space="0" w:color="000000"/>
              <w:right w:val="single" w:sz="4" w:space="0" w:color="000000"/>
            </w:tcBorders>
            <w:shd w:val="clear" w:color="auto" w:fill="FFFFFF"/>
          </w:tcPr>
          <w:p w14:paraId="60F5B8DE"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32,4</w:t>
            </w:r>
            <w:r>
              <w:rPr>
                <w:rFonts w:ascii="Times New Roman" w:eastAsia="Arial" w:hAnsi="Times New Roman" w:cs="Times New Roman"/>
                <w:color w:val="000000"/>
                <w:sz w:val="14"/>
                <w:szCs w:val="14"/>
              </w:rPr>
              <w:br/>
              <w:t>[22-46]</w:t>
            </w:r>
          </w:p>
        </w:tc>
        <w:tc>
          <w:tcPr>
            <w:tcW w:w="948" w:type="dxa"/>
            <w:gridSpan w:val="2"/>
            <w:tcBorders>
              <w:left w:val="single" w:sz="4" w:space="0" w:color="000000"/>
              <w:right w:val="single" w:sz="4" w:space="0" w:color="000000"/>
            </w:tcBorders>
            <w:shd w:val="clear" w:color="auto" w:fill="FFFFFF"/>
          </w:tcPr>
          <w:p w14:paraId="4DC1FA9C"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48,4</w:t>
            </w:r>
            <w:r>
              <w:rPr>
                <w:rFonts w:ascii="Times New Roman" w:eastAsia="Arial" w:hAnsi="Times New Roman" w:cs="Times New Roman"/>
                <w:color w:val="000000"/>
                <w:sz w:val="14"/>
                <w:szCs w:val="14"/>
              </w:rPr>
              <w:br/>
              <w:t>[38-59]</w:t>
            </w:r>
          </w:p>
        </w:tc>
        <w:tc>
          <w:tcPr>
            <w:tcW w:w="943" w:type="dxa"/>
            <w:gridSpan w:val="2"/>
            <w:tcBorders>
              <w:left w:val="single" w:sz="4" w:space="0" w:color="000000"/>
              <w:right w:val="single" w:sz="4" w:space="0" w:color="000000"/>
            </w:tcBorders>
            <w:shd w:val="clear" w:color="auto" w:fill="FFFFFF"/>
          </w:tcPr>
          <w:p w14:paraId="25B803F9"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31,0</w:t>
            </w:r>
            <w:r>
              <w:rPr>
                <w:rFonts w:ascii="Times New Roman" w:eastAsia="Arial" w:hAnsi="Times New Roman" w:cs="Times New Roman"/>
                <w:color w:val="000000"/>
                <w:sz w:val="14"/>
                <w:szCs w:val="14"/>
              </w:rPr>
              <w:br/>
              <w:t>[30-32]</w:t>
            </w:r>
          </w:p>
        </w:tc>
        <w:tc>
          <w:tcPr>
            <w:tcW w:w="945" w:type="dxa"/>
            <w:gridSpan w:val="2"/>
            <w:tcBorders>
              <w:left w:val="single" w:sz="4" w:space="0" w:color="000000"/>
              <w:right w:val="single" w:sz="4" w:space="0" w:color="000000"/>
            </w:tcBorders>
            <w:shd w:val="clear" w:color="auto" w:fill="FFFFFF"/>
          </w:tcPr>
          <w:p w14:paraId="1F7D1E02"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18,5</w:t>
            </w:r>
            <w:r>
              <w:rPr>
                <w:rFonts w:ascii="Times New Roman" w:eastAsia="Arial" w:hAnsi="Times New Roman" w:cs="Times New Roman"/>
                <w:color w:val="000000"/>
                <w:sz w:val="14"/>
                <w:szCs w:val="14"/>
              </w:rPr>
              <w:br/>
              <w:t>(12%, 27%)</w:t>
            </w:r>
          </w:p>
        </w:tc>
        <w:tc>
          <w:tcPr>
            <w:tcW w:w="948" w:type="dxa"/>
            <w:gridSpan w:val="2"/>
            <w:tcBorders>
              <w:left w:val="single" w:sz="4" w:space="0" w:color="000000"/>
              <w:right w:val="single" w:sz="4" w:space="0" w:color="000000"/>
            </w:tcBorders>
            <w:shd w:val="clear" w:color="auto" w:fill="FFFFFF"/>
          </w:tcPr>
          <w:p w14:paraId="1DF4EF32"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29,6</w:t>
            </w:r>
            <w:r>
              <w:rPr>
                <w:rFonts w:ascii="Times New Roman" w:eastAsia="Arial" w:hAnsi="Times New Roman" w:cs="Times New Roman"/>
                <w:color w:val="000000"/>
                <w:sz w:val="14"/>
                <w:szCs w:val="14"/>
              </w:rPr>
              <w:br/>
              <w:t>[19-43]</w:t>
            </w:r>
          </w:p>
        </w:tc>
        <w:tc>
          <w:tcPr>
            <w:tcW w:w="944" w:type="dxa"/>
            <w:gridSpan w:val="2"/>
            <w:tcBorders>
              <w:left w:val="single" w:sz="4" w:space="0" w:color="000000"/>
              <w:right w:val="single" w:sz="4" w:space="0" w:color="000000"/>
            </w:tcBorders>
            <w:shd w:val="clear" w:color="auto" w:fill="FFFFFF"/>
          </w:tcPr>
          <w:p w14:paraId="58891B0B"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17,3</w:t>
            </w:r>
            <w:r>
              <w:rPr>
                <w:rFonts w:ascii="Times New Roman" w:eastAsia="Arial" w:hAnsi="Times New Roman" w:cs="Times New Roman"/>
                <w:color w:val="000000"/>
                <w:sz w:val="14"/>
                <w:szCs w:val="14"/>
              </w:rPr>
              <w:br/>
              <w:t>[16-18]</w:t>
            </w:r>
          </w:p>
        </w:tc>
        <w:tc>
          <w:tcPr>
            <w:tcW w:w="829" w:type="dxa"/>
            <w:gridSpan w:val="2"/>
            <w:tcBorders>
              <w:left w:val="single" w:sz="4" w:space="0" w:color="000000"/>
              <w:right w:val="single" w:sz="4" w:space="0" w:color="000000"/>
            </w:tcBorders>
            <w:shd w:val="clear" w:color="auto" w:fill="FFFFFF"/>
          </w:tcPr>
          <w:p w14:paraId="1EDF5295"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27,5</w:t>
            </w:r>
          </w:p>
        </w:tc>
        <w:tc>
          <w:tcPr>
            <w:tcW w:w="827" w:type="dxa"/>
            <w:gridSpan w:val="2"/>
            <w:tcBorders>
              <w:left w:val="single" w:sz="4" w:space="0" w:color="000000"/>
              <w:right w:val="single" w:sz="4" w:space="0" w:color="000000"/>
            </w:tcBorders>
            <w:shd w:val="clear" w:color="auto" w:fill="FFFFFF"/>
          </w:tcPr>
          <w:p w14:paraId="786FF2F2"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48,5</w:t>
            </w:r>
          </w:p>
        </w:tc>
        <w:tc>
          <w:tcPr>
            <w:tcW w:w="823" w:type="dxa"/>
            <w:gridSpan w:val="2"/>
            <w:tcBorders>
              <w:left w:val="single" w:sz="4" w:space="0" w:color="000000"/>
              <w:right w:val="single" w:sz="4" w:space="0" w:color="000000"/>
            </w:tcBorders>
            <w:shd w:val="clear" w:color="auto" w:fill="FFFFFF"/>
          </w:tcPr>
          <w:p w14:paraId="79C81F6D"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19,7</w:t>
            </w:r>
          </w:p>
        </w:tc>
        <w:tc>
          <w:tcPr>
            <w:tcW w:w="853" w:type="dxa"/>
            <w:tcBorders>
              <w:left w:val="single" w:sz="4" w:space="0" w:color="000000"/>
              <w:right w:val="single" w:sz="8" w:space="0" w:color="000000"/>
            </w:tcBorders>
            <w:shd w:val="clear" w:color="auto" w:fill="FFFFFF"/>
          </w:tcPr>
          <w:p w14:paraId="0D6A9FFF"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33,7</w:t>
            </w:r>
          </w:p>
        </w:tc>
      </w:tr>
      <w:tr w:rsidR="00E2476B" w14:paraId="2FEBA40C" w14:textId="77777777" w:rsidTr="0018419C">
        <w:trPr>
          <w:jc w:val="center"/>
        </w:trPr>
        <w:tc>
          <w:tcPr>
            <w:tcW w:w="928" w:type="dxa"/>
            <w:tcBorders>
              <w:left w:val="single" w:sz="8" w:space="0" w:color="000000"/>
              <w:right w:val="single" w:sz="4" w:space="0" w:color="000000"/>
            </w:tcBorders>
            <w:shd w:val="clear" w:color="auto" w:fill="FFFFFF"/>
          </w:tcPr>
          <w:p w14:paraId="6DB37434"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 1 000€ à</w:t>
            </w:r>
          </w:p>
          <w:p w14:paraId="187DDCF7"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2 000€</w:t>
            </w:r>
          </w:p>
        </w:tc>
        <w:tc>
          <w:tcPr>
            <w:tcW w:w="935" w:type="dxa"/>
            <w:gridSpan w:val="2"/>
            <w:tcBorders>
              <w:left w:val="single" w:sz="4" w:space="0" w:color="000000"/>
              <w:right w:val="single" w:sz="4" w:space="0" w:color="000000"/>
            </w:tcBorders>
            <w:shd w:val="clear" w:color="auto" w:fill="FFFFFF"/>
          </w:tcPr>
          <w:p w14:paraId="2F929CC4"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40,3</w:t>
            </w:r>
            <w:r>
              <w:rPr>
                <w:rFonts w:ascii="Times New Roman" w:eastAsia="Arial" w:hAnsi="Times New Roman" w:cs="Times New Roman"/>
                <w:color w:val="000000"/>
                <w:sz w:val="14"/>
                <w:szCs w:val="14"/>
              </w:rPr>
              <w:br/>
              <w:t>[29-53]</w:t>
            </w:r>
          </w:p>
        </w:tc>
        <w:tc>
          <w:tcPr>
            <w:tcW w:w="948" w:type="dxa"/>
            <w:gridSpan w:val="2"/>
            <w:tcBorders>
              <w:left w:val="single" w:sz="4" w:space="0" w:color="000000"/>
              <w:right w:val="single" w:sz="4" w:space="0" w:color="000000"/>
            </w:tcBorders>
            <w:shd w:val="clear" w:color="auto" w:fill="FFFFFF"/>
          </w:tcPr>
          <w:p w14:paraId="2694C50D"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35,2</w:t>
            </w:r>
            <w:r>
              <w:rPr>
                <w:rFonts w:ascii="Times New Roman" w:eastAsia="Arial" w:hAnsi="Times New Roman" w:cs="Times New Roman"/>
                <w:color w:val="000000"/>
                <w:sz w:val="14"/>
                <w:szCs w:val="14"/>
              </w:rPr>
              <w:br/>
              <w:t>[26-46]</w:t>
            </w:r>
          </w:p>
        </w:tc>
        <w:tc>
          <w:tcPr>
            <w:tcW w:w="943" w:type="dxa"/>
            <w:gridSpan w:val="2"/>
            <w:tcBorders>
              <w:left w:val="single" w:sz="4" w:space="0" w:color="000000"/>
              <w:right w:val="single" w:sz="4" w:space="0" w:color="000000"/>
            </w:tcBorders>
            <w:shd w:val="clear" w:color="auto" w:fill="FFFFFF"/>
          </w:tcPr>
          <w:p w14:paraId="34583FE4"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41,7</w:t>
            </w:r>
            <w:r>
              <w:rPr>
                <w:rFonts w:ascii="Times New Roman" w:eastAsia="Arial" w:hAnsi="Times New Roman" w:cs="Times New Roman"/>
                <w:color w:val="000000"/>
                <w:sz w:val="14"/>
                <w:szCs w:val="14"/>
              </w:rPr>
              <w:br/>
              <w:t>[41-43]</w:t>
            </w:r>
          </w:p>
        </w:tc>
        <w:tc>
          <w:tcPr>
            <w:tcW w:w="945" w:type="dxa"/>
            <w:gridSpan w:val="2"/>
            <w:tcBorders>
              <w:left w:val="single" w:sz="4" w:space="0" w:color="000000"/>
              <w:right w:val="single" w:sz="4" w:space="0" w:color="000000"/>
            </w:tcBorders>
            <w:shd w:val="clear" w:color="auto" w:fill="FFFFFF"/>
          </w:tcPr>
          <w:p w14:paraId="3897E233"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40,8</w:t>
            </w:r>
            <w:r>
              <w:rPr>
                <w:rFonts w:ascii="Times New Roman" w:eastAsia="Arial" w:hAnsi="Times New Roman" w:cs="Times New Roman"/>
                <w:color w:val="000000"/>
                <w:sz w:val="14"/>
                <w:szCs w:val="14"/>
              </w:rPr>
              <w:br/>
              <w:t>(32%, 50%)</w:t>
            </w:r>
          </w:p>
        </w:tc>
        <w:tc>
          <w:tcPr>
            <w:tcW w:w="948" w:type="dxa"/>
            <w:gridSpan w:val="2"/>
            <w:tcBorders>
              <w:left w:val="single" w:sz="4" w:space="0" w:color="000000"/>
              <w:right w:val="single" w:sz="4" w:space="0" w:color="000000"/>
            </w:tcBorders>
            <w:shd w:val="clear" w:color="auto" w:fill="FFFFFF"/>
          </w:tcPr>
          <w:p w14:paraId="35CD863C"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37,5</w:t>
            </w:r>
            <w:r>
              <w:rPr>
                <w:rFonts w:ascii="Times New Roman" w:eastAsia="Arial" w:hAnsi="Times New Roman" w:cs="Times New Roman"/>
                <w:color w:val="000000"/>
                <w:sz w:val="14"/>
                <w:szCs w:val="14"/>
              </w:rPr>
              <w:br/>
              <w:t>[24-54]</w:t>
            </w:r>
          </w:p>
        </w:tc>
        <w:tc>
          <w:tcPr>
            <w:tcW w:w="944" w:type="dxa"/>
            <w:gridSpan w:val="2"/>
            <w:tcBorders>
              <w:left w:val="single" w:sz="4" w:space="0" w:color="000000"/>
              <w:right w:val="single" w:sz="4" w:space="0" w:color="000000"/>
            </w:tcBorders>
            <w:shd w:val="clear" w:color="auto" w:fill="FFFFFF"/>
          </w:tcPr>
          <w:p w14:paraId="28A37F1E"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43,5</w:t>
            </w:r>
            <w:r>
              <w:rPr>
                <w:rFonts w:ascii="Times New Roman" w:eastAsia="Arial" w:hAnsi="Times New Roman" w:cs="Times New Roman"/>
                <w:color w:val="000000"/>
                <w:sz w:val="14"/>
                <w:szCs w:val="14"/>
              </w:rPr>
              <w:br/>
              <w:t>[42-45]</w:t>
            </w:r>
          </w:p>
        </w:tc>
        <w:tc>
          <w:tcPr>
            <w:tcW w:w="829" w:type="dxa"/>
            <w:gridSpan w:val="2"/>
            <w:tcBorders>
              <w:left w:val="single" w:sz="4" w:space="0" w:color="000000"/>
              <w:right w:val="single" w:sz="4" w:space="0" w:color="000000"/>
            </w:tcBorders>
            <w:shd w:val="clear" w:color="auto" w:fill="FFFFFF"/>
          </w:tcPr>
          <w:p w14:paraId="23507B24"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39,1</w:t>
            </w:r>
          </w:p>
        </w:tc>
        <w:tc>
          <w:tcPr>
            <w:tcW w:w="827" w:type="dxa"/>
            <w:gridSpan w:val="2"/>
            <w:tcBorders>
              <w:left w:val="single" w:sz="4" w:space="0" w:color="000000"/>
              <w:right w:val="single" w:sz="4" w:space="0" w:color="000000"/>
            </w:tcBorders>
            <w:shd w:val="clear" w:color="auto" w:fill="FFFFFF"/>
          </w:tcPr>
          <w:p w14:paraId="6190D45D"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29,1</w:t>
            </w:r>
          </w:p>
        </w:tc>
        <w:tc>
          <w:tcPr>
            <w:tcW w:w="823" w:type="dxa"/>
            <w:gridSpan w:val="2"/>
            <w:tcBorders>
              <w:left w:val="single" w:sz="4" w:space="0" w:color="000000"/>
              <w:right w:val="single" w:sz="4" w:space="0" w:color="000000"/>
            </w:tcBorders>
            <w:shd w:val="clear" w:color="auto" w:fill="FFFFFF"/>
          </w:tcPr>
          <w:p w14:paraId="0C2FEE26"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28,7</w:t>
            </w:r>
          </w:p>
        </w:tc>
        <w:tc>
          <w:tcPr>
            <w:tcW w:w="853" w:type="dxa"/>
            <w:tcBorders>
              <w:left w:val="single" w:sz="4" w:space="0" w:color="000000"/>
              <w:right w:val="single" w:sz="8" w:space="0" w:color="000000"/>
            </w:tcBorders>
            <w:shd w:val="clear" w:color="auto" w:fill="FFFFFF"/>
          </w:tcPr>
          <w:p w14:paraId="25CFCCAC"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p>
        </w:tc>
      </w:tr>
      <w:tr w:rsidR="00E2476B" w14:paraId="6C8CC307" w14:textId="77777777" w:rsidTr="0018419C">
        <w:trPr>
          <w:jc w:val="center"/>
        </w:trPr>
        <w:tc>
          <w:tcPr>
            <w:tcW w:w="928" w:type="dxa"/>
            <w:tcBorders>
              <w:left w:val="single" w:sz="8" w:space="0" w:color="000000"/>
              <w:right w:val="single" w:sz="4" w:space="0" w:color="000000"/>
            </w:tcBorders>
            <w:shd w:val="clear" w:color="auto" w:fill="FFFFFF"/>
          </w:tcPr>
          <w:p w14:paraId="7E0137B9"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2 000€ et plus</w:t>
            </w:r>
          </w:p>
        </w:tc>
        <w:tc>
          <w:tcPr>
            <w:tcW w:w="935" w:type="dxa"/>
            <w:gridSpan w:val="2"/>
            <w:tcBorders>
              <w:left w:val="single" w:sz="4" w:space="0" w:color="000000"/>
              <w:right w:val="single" w:sz="4" w:space="0" w:color="000000"/>
            </w:tcBorders>
            <w:shd w:val="clear" w:color="auto" w:fill="FFFFFF"/>
          </w:tcPr>
          <w:p w14:paraId="0FC3AC78"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[15-35]</w:t>
            </w:r>
          </w:p>
        </w:tc>
        <w:tc>
          <w:tcPr>
            <w:tcW w:w="948" w:type="dxa"/>
            <w:gridSpan w:val="2"/>
            <w:tcBorders>
              <w:left w:val="single" w:sz="4" w:space="0" w:color="000000"/>
              <w:right w:val="single" w:sz="4" w:space="0" w:color="000000"/>
            </w:tcBorders>
            <w:shd w:val="clear" w:color="auto" w:fill="FFFFFF"/>
          </w:tcPr>
          <w:p w14:paraId="60BC3F99"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10,3</w:t>
            </w:r>
            <w:r>
              <w:rPr>
                <w:rFonts w:ascii="Times New Roman" w:eastAsia="Arial" w:hAnsi="Times New Roman" w:cs="Times New Roman"/>
                <w:color w:val="000000"/>
                <w:sz w:val="14"/>
                <w:szCs w:val="14"/>
              </w:rPr>
              <w:br/>
              <w:t>[6,4-16]</w:t>
            </w:r>
          </w:p>
        </w:tc>
        <w:tc>
          <w:tcPr>
            <w:tcW w:w="943" w:type="dxa"/>
            <w:gridSpan w:val="2"/>
            <w:tcBorders>
              <w:left w:val="single" w:sz="4" w:space="0" w:color="000000"/>
              <w:right w:val="single" w:sz="4" w:space="0" w:color="000000"/>
            </w:tcBorders>
            <w:shd w:val="clear" w:color="auto" w:fill="FFFFFF"/>
          </w:tcPr>
          <w:p w14:paraId="30E0BFC7"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15,0</w:t>
            </w:r>
            <w:r>
              <w:rPr>
                <w:rFonts w:ascii="Times New Roman" w:eastAsia="Arial" w:hAnsi="Times New Roman" w:cs="Times New Roman"/>
                <w:color w:val="000000"/>
                <w:sz w:val="14"/>
                <w:szCs w:val="14"/>
              </w:rPr>
              <w:br/>
              <w:t>[14-16]</w:t>
            </w:r>
          </w:p>
        </w:tc>
        <w:tc>
          <w:tcPr>
            <w:tcW w:w="945" w:type="dxa"/>
            <w:gridSpan w:val="2"/>
            <w:tcBorders>
              <w:left w:val="single" w:sz="4" w:space="0" w:color="000000"/>
              <w:right w:val="single" w:sz="4" w:space="0" w:color="000000"/>
            </w:tcBorders>
            <w:shd w:val="clear" w:color="auto" w:fill="FFFFFF"/>
          </w:tcPr>
          <w:p w14:paraId="3929FE0D"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35,8</w:t>
            </w:r>
            <w:r>
              <w:rPr>
                <w:rFonts w:ascii="Times New Roman" w:eastAsia="Arial" w:hAnsi="Times New Roman" w:cs="Times New Roman"/>
                <w:color w:val="000000"/>
                <w:sz w:val="14"/>
                <w:szCs w:val="14"/>
              </w:rPr>
              <w:br/>
              <w:t>[28-45]</w:t>
            </w:r>
          </w:p>
        </w:tc>
        <w:tc>
          <w:tcPr>
            <w:tcW w:w="948" w:type="dxa"/>
            <w:gridSpan w:val="2"/>
            <w:tcBorders>
              <w:left w:val="single" w:sz="4" w:space="0" w:color="000000"/>
              <w:right w:val="single" w:sz="4" w:space="0" w:color="000000"/>
            </w:tcBorders>
            <w:shd w:val="clear" w:color="auto" w:fill="FFFFFF"/>
          </w:tcPr>
          <w:p w14:paraId="1B03FA83"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26,0</w:t>
            </w:r>
            <w:r>
              <w:rPr>
                <w:rFonts w:ascii="Times New Roman" w:eastAsia="Arial" w:hAnsi="Times New Roman" w:cs="Times New Roman"/>
                <w:color w:val="000000"/>
                <w:sz w:val="14"/>
                <w:szCs w:val="14"/>
              </w:rPr>
              <w:br/>
              <w:t>[17-37]</w:t>
            </w:r>
          </w:p>
        </w:tc>
        <w:tc>
          <w:tcPr>
            <w:tcW w:w="944" w:type="dxa"/>
            <w:gridSpan w:val="2"/>
            <w:tcBorders>
              <w:left w:val="single" w:sz="4" w:space="0" w:color="000000"/>
              <w:right w:val="single" w:sz="4" w:space="0" w:color="000000"/>
            </w:tcBorders>
            <w:shd w:val="clear" w:color="auto" w:fill="FFFFFF"/>
          </w:tcPr>
          <w:p w14:paraId="02AE3981"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28,8</w:t>
            </w:r>
            <w:r>
              <w:rPr>
                <w:rFonts w:ascii="Times New Roman" w:eastAsia="Arial" w:hAnsi="Times New Roman" w:cs="Times New Roman"/>
                <w:color w:val="000000"/>
                <w:sz w:val="14"/>
                <w:szCs w:val="14"/>
              </w:rPr>
              <w:br/>
              <w:t>[28-30]</w:t>
            </w:r>
          </w:p>
        </w:tc>
        <w:tc>
          <w:tcPr>
            <w:tcW w:w="829" w:type="dxa"/>
            <w:gridSpan w:val="2"/>
            <w:tcBorders>
              <w:left w:val="single" w:sz="4" w:space="0" w:color="000000"/>
              <w:right w:val="single" w:sz="4" w:space="0" w:color="000000"/>
            </w:tcBorders>
            <w:shd w:val="clear" w:color="auto" w:fill="FFFFFF"/>
          </w:tcPr>
          <w:p w14:paraId="70E0A908"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30,2</w:t>
            </w:r>
          </w:p>
        </w:tc>
        <w:tc>
          <w:tcPr>
            <w:tcW w:w="827" w:type="dxa"/>
            <w:gridSpan w:val="2"/>
            <w:tcBorders>
              <w:left w:val="single" w:sz="4" w:space="0" w:color="000000"/>
              <w:right w:val="single" w:sz="4" w:space="0" w:color="000000"/>
            </w:tcBorders>
            <w:shd w:val="clear" w:color="auto" w:fill="FFFFFF"/>
          </w:tcPr>
          <w:p w14:paraId="75C18753"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19,4</w:t>
            </w:r>
          </w:p>
        </w:tc>
        <w:tc>
          <w:tcPr>
            <w:tcW w:w="823" w:type="dxa"/>
            <w:gridSpan w:val="2"/>
            <w:tcBorders>
              <w:left w:val="single" w:sz="4" w:space="0" w:color="000000"/>
              <w:right w:val="single" w:sz="4" w:space="0" w:color="000000"/>
            </w:tcBorders>
            <w:shd w:val="clear" w:color="auto" w:fill="FFFFFF"/>
          </w:tcPr>
          <w:p w14:paraId="1C716FD1"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49,3</w:t>
            </w:r>
          </w:p>
        </w:tc>
        <w:tc>
          <w:tcPr>
            <w:tcW w:w="853" w:type="dxa"/>
            <w:tcBorders>
              <w:left w:val="single" w:sz="4" w:space="0" w:color="000000"/>
              <w:right w:val="single" w:sz="8" w:space="0" w:color="000000"/>
            </w:tcBorders>
            <w:shd w:val="clear" w:color="auto" w:fill="FFFFFF"/>
          </w:tcPr>
          <w:p w14:paraId="46DB77B9"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p>
        </w:tc>
      </w:tr>
      <w:tr w:rsidR="00E2476B" w14:paraId="3F57348C" w14:textId="77777777" w:rsidTr="0018419C">
        <w:trPr>
          <w:jc w:val="center"/>
        </w:trPr>
        <w:tc>
          <w:tcPr>
            <w:tcW w:w="928" w:type="dxa"/>
            <w:tcBorders>
              <w:left w:val="single" w:sz="8" w:space="0" w:color="000000"/>
              <w:right w:val="single" w:sz="4" w:space="0" w:color="000000"/>
            </w:tcBorders>
            <w:shd w:val="clear" w:color="auto" w:fill="FFFFFF"/>
          </w:tcPr>
          <w:p w14:paraId="6F22E70A"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29066272"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br/>
              <w:t>[1,2-11]</w:t>
            </w:r>
          </w:p>
        </w:tc>
        <w:tc>
          <w:tcPr>
            <w:tcW w:w="948" w:type="dxa"/>
            <w:gridSpan w:val="2"/>
            <w:tcBorders>
              <w:left w:val="single" w:sz="4" w:space="0" w:color="000000"/>
              <w:right w:val="single" w:sz="4" w:space="0" w:color="000000"/>
            </w:tcBorders>
            <w:shd w:val="clear" w:color="auto" w:fill="FFFFFF"/>
          </w:tcPr>
          <w:p w14:paraId="74FB73F8"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6,1</w:t>
            </w:r>
            <w:r>
              <w:rPr>
                <w:rFonts w:ascii="Times New Roman" w:eastAsia="Arial" w:hAnsi="Times New Roman" w:cs="Times New Roman"/>
                <w:color w:val="000000"/>
                <w:sz w:val="14"/>
                <w:szCs w:val="14"/>
              </w:rPr>
              <w:br/>
              <w:t>[1,8-18]</w:t>
            </w:r>
          </w:p>
        </w:tc>
        <w:tc>
          <w:tcPr>
            <w:tcW w:w="943" w:type="dxa"/>
            <w:gridSpan w:val="2"/>
            <w:tcBorders>
              <w:left w:val="single" w:sz="4" w:space="0" w:color="000000"/>
              <w:right w:val="single" w:sz="4" w:space="0" w:color="000000"/>
            </w:tcBorders>
            <w:shd w:val="clear" w:color="auto" w:fill="FFFFFF"/>
          </w:tcPr>
          <w:p w14:paraId="6D9CF903"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12,3</w:t>
            </w:r>
            <w:r>
              <w:rPr>
                <w:rFonts w:ascii="Times New Roman" w:eastAsia="Arial" w:hAnsi="Times New Roman" w:cs="Times New Roman"/>
                <w:color w:val="000000"/>
                <w:sz w:val="14"/>
                <w:szCs w:val="14"/>
              </w:rPr>
              <w:br/>
              <w:t>[12-13]</w:t>
            </w:r>
          </w:p>
        </w:tc>
        <w:tc>
          <w:tcPr>
            <w:tcW w:w="945" w:type="dxa"/>
            <w:gridSpan w:val="2"/>
            <w:tcBorders>
              <w:left w:val="single" w:sz="4" w:space="0" w:color="000000"/>
              <w:right w:val="single" w:sz="4" w:space="0" w:color="000000"/>
            </w:tcBorders>
            <w:shd w:val="clear" w:color="auto" w:fill="FFFFFF"/>
          </w:tcPr>
          <w:p w14:paraId="3A09D51C"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w:t>
            </w:r>
            <w:r>
              <w:rPr>
                <w:rFonts w:ascii="Times New Roman" w:eastAsia="Arial" w:hAnsi="Times New Roman" w:cs="Times New Roman"/>
                <w:color w:val="000000"/>
                <w:sz w:val="14"/>
                <w:szCs w:val="14"/>
              </w:rPr>
              <w:br/>
              <w:t>[2,2-11]</w:t>
            </w:r>
          </w:p>
        </w:tc>
        <w:tc>
          <w:tcPr>
            <w:tcW w:w="948" w:type="dxa"/>
            <w:gridSpan w:val="2"/>
            <w:tcBorders>
              <w:left w:val="single" w:sz="4" w:space="0" w:color="000000"/>
              <w:right w:val="single" w:sz="4" w:space="0" w:color="000000"/>
            </w:tcBorders>
            <w:shd w:val="clear" w:color="auto" w:fill="FFFFFF"/>
          </w:tcPr>
          <w:p w14:paraId="2641781A"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6,9</w:t>
            </w:r>
            <w:r>
              <w:rPr>
                <w:rFonts w:ascii="Times New Roman" w:eastAsia="Arial" w:hAnsi="Times New Roman" w:cs="Times New Roman"/>
                <w:color w:val="000000"/>
                <w:sz w:val="14"/>
                <w:szCs w:val="14"/>
              </w:rPr>
              <w:br/>
              <w:t>[1,7-24]</w:t>
            </w:r>
          </w:p>
        </w:tc>
        <w:tc>
          <w:tcPr>
            <w:tcW w:w="944" w:type="dxa"/>
            <w:gridSpan w:val="2"/>
            <w:tcBorders>
              <w:left w:val="single" w:sz="4" w:space="0" w:color="000000"/>
              <w:right w:val="single" w:sz="4" w:space="0" w:color="000000"/>
            </w:tcBorders>
            <w:shd w:val="clear" w:color="auto" w:fill="FFFFFF"/>
          </w:tcPr>
          <w:p w14:paraId="38A94A9F"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10,4</w:t>
            </w:r>
            <w:r>
              <w:rPr>
                <w:rFonts w:ascii="Times New Roman" w:eastAsia="Arial" w:hAnsi="Times New Roman" w:cs="Times New Roman"/>
                <w:color w:val="000000"/>
                <w:sz w:val="14"/>
                <w:szCs w:val="14"/>
              </w:rPr>
              <w:br/>
              <w:t>[9,7-11]</w:t>
            </w:r>
          </w:p>
        </w:tc>
        <w:tc>
          <w:tcPr>
            <w:tcW w:w="829" w:type="dxa"/>
            <w:gridSpan w:val="2"/>
            <w:tcBorders>
              <w:left w:val="single" w:sz="4" w:space="0" w:color="000000"/>
              <w:right w:val="single" w:sz="4" w:space="0" w:color="000000"/>
            </w:tcBorders>
            <w:shd w:val="clear" w:color="auto" w:fill="FFFFFF"/>
          </w:tcPr>
          <w:p w14:paraId="51A0930C"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w:t>
            </w:r>
          </w:p>
        </w:tc>
        <w:tc>
          <w:tcPr>
            <w:tcW w:w="827" w:type="dxa"/>
            <w:gridSpan w:val="2"/>
            <w:tcBorders>
              <w:left w:val="single" w:sz="4" w:space="0" w:color="000000"/>
              <w:right w:val="single" w:sz="4" w:space="0" w:color="000000"/>
            </w:tcBorders>
            <w:shd w:val="clear" w:color="auto" w:fill="FFFFFF"/>
          </w:tcPr>
          <w:p w14:paraId="183612AC"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w:t>
            </w:r>
          </w:p>
        </w:tc>
        <w:tc>
          <w:tcPr>
            <w:tcW w:w="823" w:type="dxa"/>
            <w:gridSpan w:val="2"/>
            <w:tcBorders>
              <w:left w:val="single" w:sz="4" w:space="0" w:color="000000"/>
              <w:right w:val="single" w:sz="4" w:space="0" w:color="000000"/>
            </w:tcBorders>
            <w:shd w:val="clear" w:color="auto" w:fill="FFFFFF"/>
          </w:tcPr>
          <w:p w14:paraId="6D7705C2"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w:t>
            </w:r>
          </w:p>
        </w:tc>
        <w:tc>
          <w:tcPr>
            <w:tcW w:w="853" w:type="dxa"/>
            <w:tcBorders>
              <w:left w:val="single" w:sz="4" w:space="0" w:color="000000"/>
              <w:right w:val="single" w:sz="8" w:space="0" w:color="000000"/>
            </w:tcBorders>
            <w:shd w:val="clear" w:color="auto" w:fill="FFFFFF"/>
          </w:tcPr>
          <w:p w14:paraId="0A24C2F0" w14:textId="77777777" w:rsidR="00E2476B" w:rsidRDefault="00E2476B" w:rsidP="0018419C">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w:t>
            </w:r>
          </w:p>
        </w:tc>
      </w:tr>
      <w:tr w:rsidR="00E2476B" w14:paraId="1AA0DD98" w14:textId="77777777" w:rsidTr="0018419C">
        <w:trPr>
          <w:jc w:val="center"/>
        </w:trPr>
        <w:tc>
          <w:tcPr>
            <w:tcW w:w="928" w:type="dxa"/>
            <w:tcBorders>
              <w:left w:val="single" w:sz="8" w:space="0" w:color="000000"/>
              <w:right w:val="single" w:sz="4" w:space="0" w:color="000000"/>
            </w:tcBorders>
            <w:shd w:val="clear" w:color="auto" w:fill="FFFFFF"/>
          </w:tcPr>
          <w:p w14:paraId="0F87C404"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6677892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12D62DE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0,13</w:t>
            </w:r>
          </w:p>
        </w:tc>
        <w:tc>
          <w:tcPr>
            <w:tcW w:w="1656" w:type="dxa"/>
            <w:gridSpan w:val="4"/>
            <w:tcBorders>
              <w:left w:val="single" w:sz="4" w:space="0" w:color="000000"/>
              <w:right w:val="single" w:sz="4" w:space="0" w:color="000000"/>
            </w:tcBorders>
            <w:shd w:val="clear" w:color="auto" w:fill="FFFFFF"/>
            <w:tcMar>
              <w:left w:w="108" w:type="dxa"/>
              <w:right w:w="108" w:type="dxa"/>
            </w:tcMar>
          </w:tcPr>
          <w:p w14:paraId="3DABFDB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0A31268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4CD0907A" w14:textId="77777777" w:rsidTr="0018419C">
        <w:trPr>
          <w:jc w:val="center"/>
        </w:trPr>
        <w:tc>
          <w:tcPr>
            <w:tcW w:w="9923" w:type="dxa"/>
            <w:gridSpan w:val="20"/>
            <w:tcBorders>
              <w:left w:val="single" w:sz="8" w:space="0" w:color="000000"/>
              <w:right w:val="single" w:sz="8" w:space="0" w:color="000000"/>
            </w:tcBorders>
            <w:shd w:val="clear" w:color="auto" w:fill="FFFFFF"/>
          </w:tcPr>
          <w:p w14:paraId="2861D90D"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Situation financière</w:t>
            </w:r>
          </w:p>
        </w:tc>
      </w:tr>
      <w:tr w:rsidR="00E2476B" w14:paraId="3D84703E" w14:textId="77777777" w:rsidTr="0018419C">
        <w:trPr>
          <w:jc w:val="center"/>
        </w:trPr>
        <w:tc>
          <w:tcPr>
            <w:tcW w:w="928" w:type="dxa"/>
            <w:tcBorders>
              <w:left w:val="single" w:sz="8" w:space="0" w:color="000000"/>
              <w:right w:val="single" w:sz="4" w:space="0" w:color="000000"/>
            </w:tcBorders>
            <w:shd w:val="clear" w:color="auto" w:fill="FFFFFF"/>
          </w:tcPr>
          <w:p w14:paraId="78438078"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A l'aise/Ca va</w:t>
            </w:r>
          </w:p>
        </w:tc>
        <w:tc>
          <w:tcPr>
            <w:tcW w:w="935" w:type="dxa"/>
            <w:gridSpan w:val="2"/>
            <w:tcBorders>
              <w:left w:val="single" w:sz="4" w:space="0" w:color="000000"/>
              <w:right w:val="single" w:sz="4" w:space="0" w:color="000000"/>
            </w:tcBorders>
            <w:shd w:val="clear" w:color="auto" w:fill="FFFFFF"/>
          </w:tcPr>
          <w:p w14:paraId="50A467D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46,3</w:t>
            </w:r>
            <w:r>
              <w:rPr>
                <w:rFonts w:ascii="Times New Roman" w:eastAsia="Arial" w:hAnsi="Times New Roman" w:cs="Times New Roman"/>
                <w:color w:val="000000"/>
                <w:sz w:val="14"/>
                <w:szCs w:val="14"/>
              </w:rPr>
              <w:br/>
              <w:t>[34-59]</w:t>
            </w:r>
          </w:p>
        </w:tc>
        <w:tc>
          <w:tcPr>
            <w:tcW w:w="948" w:type="dxa"/>
            <w:gridSpan w:val="2"/>
            <w:tcBorders>
              <w:left w:val="single" w:sz="4" w:space="0" w:color="000000"/>
              <w:right w:val="single" w:sz="4" w:space="0" w:color="000000"/>
            </w:tcBorders>
            <w:shd w:val="clear" w:color="auto" w:fill="FFFFFF"/>
          </w:tcPr>
          <w:p w14:paraId="4E31754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47,9</w:t>
            </w:r>
            <w:r>
              <w:rPr>
                <w:rFonts w:ascii="Times New Roman" w:eastAsia="Arial" w:hAnsi="Times New Roman" w:cs="Times New Roman"/>
                <w:color w:val="000000"/>
                <w:sz w:val="14"/>
                <w:szCs w:val="14"/>
              </w:rPr>
              <w:br/>
              <w:t>[37-59]</w:t>
            </w:r>
          </w:p>
        </w:tc>
        <w:tc>
          <w:tcPr>
            <w:tcW w:w="943" w:type="dxa"/>
            <w:gridSpan w:val="2"/>
            <w:tcBorders>
              <w:left w:val="single" w:sz="4" w:space="0" w:color="000000"/>
              <w:right w:val="single" w:sz="4" w:space="0" w:color="000000"/>
            </w:tcBorders>
            <w:shd w:val="clear" w:color="auto" w:fill="FFFFFF"/>
          </w:tcPr>
          <w:p w14:paraId="5A6C350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49,9</w:t>
            </w:r>
            <w:r>
              <w:rPr>
                <w:rFonts w:ascii="Times New Roman" w:eastAsia="Arial" w:hAnsi="Times New Roman" w:cs="Times New Roman"/>
                <w:color w:val="000000"/>
                <w:sz w:val="14"/>
                <w:szCs w:val="14"/>
              </w:rPr>
              <w:br/>
              <w:t>[49-51]</w:t>
            </w:r>
          </w:p>
        </w:tc>
        <w:tc>
          <w:tcPr>
            <w:tcW w:w="945" w:type="dxa"/>
            <w:gridSpan w:val="2"/>
            <w:tcBorders>
              <w:left w:val="single" w:sz="4" w:space="0" w:color="000000"/>
              <w:right w:val="single" w:sz="4" w:space="0" w:color="000000"/>
            </w:tcBorders>
            <w:shd w:val="clear" w:color="auto" w:fill="FFFFFF"/>
          </w:tcPr>
          <w:p w14:paraId="043A1A8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63,3</w:t>
            </w:r>
            <w:r>
              <w:rPr>
                <w:rFonts w:ascii="Times New Roman" w:eastAsia="Arial" w:hAnsi="Times New Roman" w:cs="Times New Roman"/>
                <w:color w:val="000000"/>
                <w:sz w:val="14"/>
                <w:szCs w:val="14"/>
              </w:rPr>
              <w:br/>
              <w:t>[54-71]</w:t>
            </w:r>
          </w:p>
        </w:tc>
        <w:tc>
          <w:tcPr>
            <w:tcW w:w="948" w:type="dxa"/>
            <w:gridSpan w:val="2"/>
            <w:tcBorders>
              <w:left w:val="single" w:sz="4" w:space="0" w:color="000000"/>
              <w:right w:val="single" w:sz="4" w:space="0" w:color="000000"/>
            </w:tcBorders>
            <w:shd w:val="clear" w:color="auto" w:fill="FFFFFF"/>
          </w:tcPr>
          <w:p w14:paraId="4418FC4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50,7</w:t>
            </w:r>
            <w:r>
              <w:rPr>
                <w:rFonts w:ascii="Times New Roman" w:eastAsia="Arial" w:hAnsi="Times New Roman" w:cs="Times New Roman"/>
                <w:color w:val="000000"/>
                <w:sz w:val="14"/>
                <w:szCs w:val="14"/>
              </w:rPr>
              <w:br/>
              <w:t>[37-65]</w:t>
            </w:r>
          </w:p>
        </w:tc>
        <w:tc>
          <w:tcPr>
            <w:tcW w:w="944" w:type="dxa"/>
            <w:gridSpan w:val="2"/>
            <w:tcBorders>
              <w:left w:val="single" w:sz="4" w:space="0" w:color="000000"/>
              <w:right w:val="single" w:sz="4" w:space="0" w:color="000000"/>
            </w:tcBorders>
            <w:shd w:val="clear" w:color="auto" w:fill="FFFFFF"/>
          </w:tcPr>
          <w:p w14:paraId="0D93B32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52,7</w:t>
            </w:r>
            <w:r>
              <w:rPr>
                <w:rFonts w:ascii="Times New Roman" w:eastAsia="Arial" w:hAnsi="Times New Roman" w:cs="Times New Roman"/>
                <w:color w:val="000000"/>
                <w:sz w:val="14"/>
                <w:szCs w:val="14"/>
              </w:rPr>
              <w:br/>
              <w:t>[51-54]</w:t>
            </w:r>
          </w:p>
        </w:tc>
        <w:tc>
          <w:tcPr>
            <w:tcW w:w="829" w:type="dxa"/>
            <w:gridSpan w:val="2"/>
            <w:tcBorders>
              <w:left w:val="single" w:sz="4" w:space="0" w:color="000000"/>
              <w:right w:val="single" w:sz="4" w:space="0" w:color="000000"/>
            </w:tcBorders>
            <w:shd w:val="clear" w:color="auto" w:fill="FFFFFF"/>
          </w:tcPr>
          <w:p w14:paraId="764B78F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63,0</w:t>
            </w:r>
          </w:p>
        </w:tc>
        <w:tc>
          <w:tcPr>
            <w:tcW w:w="827" w:type="dxa"/>
            <w:gridSpan w:val="2"/>
            <w:tcBorders>
              <w:left w:val="single" w:sz="4" w:space="0" w:color="000000"/>
              <w:right w:val="single" w:sz="4" w:space="0" w:color="000000"/>
            </w:tcBorders>
            <w:shd w:val="clear" w:color="auto" w:fill="FFFFFF"/>
          </w:tcPr>
          <w:p w14:paraId="486D5BC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55,2</w:t>
            </w:r>
          </w:p>
        </w:tc>
        <w:tc>
          <w:tcPr>
            <w:tcW w:w="823" w:type="dxa"/>
            <w:gridSpan w:val="2"/>
            <w:tcBorders>
              <w:left w:val="single" w:sz="4" w:space="0" w:color="000000"/>
              <w:right w:val="single" w:sz="4" w:space="0" w:color="000000"/>
            </w:tcBorders>
            <w:shd w:val="clear" w:color="auto" w:fill="FFFFFF"/>
          </w:tcPr>
          <w:p w14:paraId="2665A68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65,9</w:t>
            </w:r>
          </w:p>
        </w:tc>
        <w:tc>
          <w:tcPr>
            <w:tcW w:w="853" w:type="dxa"/>
            <w:tcBorders>
              <w:left w:val="single" w:sz="4" w:space="0" w:color="000000"/>
              <w:right w:val="single" w:sz="8" w:space="0" w:color="000000"/>
            </w:tcBorders>
            <w:shd w:val="clear" w:color="auto" w:fill="FFFFFF"/>
          </w:tcPr>
          <w:p w14:paraId="24B1367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58,1</w:t>
            </w:r>
          </w:p>
        </w:tc>
      </w:tr>
      <w:tr w:rsidR="00E2476B" w14:paraId="76B7BABB" w14:textId="77777777" w:rsidTr="0018419C">
        <w:trPr>
          <w:jc w:val="center"/>
        </w:trPr>
        <w:tc>
          <w:tcPr>
            <w:tcW w:w="928" w:type="dxa"/>
            <w:tcBorders>
              <w:left w:val="single" w:sz="8" w:space="0" w:color="000000"/>
              <w:right w:val="single" w:sz="4" w:space="0" w:color="000000"/>
            </w:tcBorders>
            <w:shd w:val="clear" w:color="auto" w:fill="FFFFFF"/>
          </w:tcPr>
          <w:p w14:paraId="1CD2C6A7"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C'est juste</w:t>
            </w:r>
          </w:p>
        </w:tc>
        <w:tc>
          <w:tcPr>
            <w:tcW w:w="935" w:type="dxa"/>
            <w:gridSpan w:val="2"/>
            <w:tcBorders>
              <w:left w:val="single" w:sz="4" w:space="0" w:color="000000"/>
              <w:right w:val="single" w:sz="4" w:space="0" w:color="000000"/>
            </w:tcBorders>
            <w:shd w:val="clear" w:color="auto" w:fill="FFFFFF"/>
          </w:tcPr>
          <w:p w14:paraId="5D1BBD1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r>
              <w:rPr>
                <w:rFonts w:ascii="Times New Roman" w:eastAsia="Arial" w:hAnsi="Times New Roman" w:cs="Times New Roman"/>
                <w:color w:val="000000"/>
                <w:sz w:val="14"/>
                <w:szCs w:val="14"/>
              </w:rPr>
              <w:br/>
              <w:t>[14-34]</w:t>
            </w:r>
          </w:p>
        </w:tc>
        <w:tc>
          <w:tcPr>
            <w:tcW w:w="948" w:type="dxa"/>
            <w:gridSpan w:val="2"/>
            <w:tcBorders>
              <w:left w:val="single" w:sz="4" w:space="0" w:color="000000"/>
              <w:right w:val="single" w:sz="4" w:space="0" w:color="000000"/>
            </w:tcBorders>
            <w:shd w:val="clear" w:color="auto" w:fill="FFFFFF"/>
          </w:tcPr>
          <w:p w14:paraId="0C3340E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26,0</w:t>
            </w:r>
            <w:r>
              <w:rPr>
                <w:rFonts w:ascii="Times New Roman" w:eastAsia="Arial" w:hAnsi="Times New Roman" w:cs="Times New Roman"/>
                <w:color w:val="000000"/>
                <w:sz w:val="14"/>
                <w:szCs w:val="14"/>
              </w:rPr>
              <w:br/>
              <w:t>[17-37]</w:t>
            </w:r>
          </w:p>
        </w:tc>
        <w:tc>
          <w:tcPr>
            <w:tcW w:w="943" w:type="dxa"/>
            <w:gridSpan w:val="2"/>
            <w:tcBorders>
              <w:left w:val="single" w:sz="4" w:space="0" w:color="000000"/>
              <w:right w:val="single" w:sz="4" w:space="0" w:color="000000"/>
            </w:tcBorders>
            <w:shd w:val="clear" w:color="auto" w:fill="FFFFFF"/>
          </w:tcPr>
          <w:p w14:paraId="254DB45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r>
              <w:rPr>
                <w:rFonts w:ascii="Times New Roman" w:eastAsia="Arial" w:hAnsi="Times New Roman" w:cs="Times New Roman"/>
                <w:color w:val="000000"/>
                <w:sz w:val="14"/>
                <w:szCs w:val="14"/>
              </w:rPr>
              <w:br/>
              <w:t>[28-30]</w:t>
            </w:r>
          </w:p>
        </w:tc>
        <w:tc>
          <w:tcPr>
            <w:tcW w:w="945" w:type="dxa"/>
            <w:gridSpan w:val="2"/>
            <w:tcBorders>
              <w:left w:val="single" w:sz="4" w:space="0" w:color="000000"/>
              <w:right w:val="single" w:sz="4" w:space="0" w:color="000000"/>
            </w:tcBorders>
            <w:shd w:val="clear" w:color="auto" w:fill="FFFFFF"/>
          </w:tcPr>
          <w:p w14:paraId="310B251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23,0</w:t>
            </w:r>
            <w:r>
              <w:rPr>
                <w:rFonts w:ascii="Times New Roman" w:eastAsia="Arial" w:hAnsi="Times New Roman" w:cs="Times New Roman"/>
                <w:color w:val="000000"/>
                <w:sz w:val="14"/>
                <w:szCs w:val="14"/>
              </w:rPr>
              <w:br/>
              <w:t>[17-31]</w:t>
            </w:r>
          </w:p>
        </w:tc>
        <w:tc>
          <w:tcPr>
            <w:tcW w:w="948" w:type="dxa"/>
            <w:gridSpan w:val="2"/>
            <w:tcBorders>
              <w:left w:val="single" w:sz="4" w:space="0" w:color="000000"/>
              <w:right w:val="single" w:sz="4" w:space="0" w:color="000000"/>
            </w:tcBorders>
            <w:shd w:val="clear" w:color="auto" w:fill="FFFFFF"/>
          </w:tcPr>
          <w:p w14:paraId="139B073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29,5</w:t>
            </w:r>
            <w:r>
              <w:rPr>
                <w:rFonts w:ascii="Times New Roman" w:eastAsia="Arial" w:hAnsi="Times New Roman" w:cs="Times New Roman"/>
                <w:color w:val="000000"/>
                <w:sz w:val="14"/>
                <w:szCs w:val="14"/>
              </w:rPr>
              <w:br/>
              <w:t>[17-46]</w:t>
            </w:r>
          </w:p>
        </w:tc>
        <w:tc>
          <w:tcPr>
            <w:tcW w:w="944" w:type="dxa"/>
            <w:gridSpan w:val="2"/>
            <w:tcBorders>
              <w:left w:val="single" w:sz="4" w:space="0" w:color="000000"/>
              <w:right w:val="single" w:sz="4" w:space="0" w:color="000000"/>
            </w:tcBorders>
            <w:shd w:val="clear" w:color="auto" w:fill="FFFFFF"/>
          </w:tcPr>
          <w:p w14:paraId="3D70F91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29,5</w:t>
            </w:r>
            <w:r>
              <w:rPr>
                <w:rFonts w:ascii="Times New Roman" w:eastAsia="Arial" w:hAnsi="Times New Roman" w:cs="Times New Roman"/>
                <w:color w:val="000000"/>
                <w:sz w:val="14"/>
                <w:szCs w:val="14"/>
              </w:rPr>
              <w:br/>
              <w:t>[28-31]</w:t>
            </w:r>
          </w:p>
        </w:tc>
        <w:tc>
          <w:tcPr>
            <w:tcW w:w="829" w:type="dxa"/>
            <w:gridSpan w:val="2"/>
            <w:tcBorders>
              <w:left w:val="single" w:sz="4" w:space="0" w:color="000000"/>
              <w:right w:val="single" w:sz="4" w:space="0" w:color="000000"/>
            </w:tcBorders>
            <w:shd w:val="clear" w:color="auto" w:fill="FFFFFF"/>
          </w:tcPr>
          <w:p w14:paraId="320FAF1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23,7</w:t>
            </w:r>
          </w:p>
        </w:tc>
        <w:tc>
          <w:tcPr>
            <w:tcW w:w="827" w:type="dxa"/>
            <w:gridSpan w:val="2"/>
            <w:tcBorders>
              <w:left w:val="single" w:sz="4" w:space="0" w:color="000000"/>
              <w:right w:val="single" w:sz="4" w:space="0" w:color="000000"/>
            </w:tcBorders>
            <w:shd w:val="clear" w:color="auto" w:fill="FFFFFF"/>
          </w:tcPr>
          <w:p w14:paraId="1EBD85E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26,1</w:t>
            </w:r>
          </w:p>
        </w:tc>
        <w:tc>
          <w:tcPr>
            <w:tcW w:w="823" w:type="dxa"/>
            <w:gridSpan w:val="2"/>
            <w:tcBorders>
              <w:left w:val="single" w:sz="4" w:space="0" w:color="000000"/>
              <w:right w:val="single" w:sz="4" w:space="0" w:color="000000"/>
            </w:tcBorders>
            <w:shd w:val="clear" w:color="auto" w:fill="FFFFFF"/>
          </w:tcPr>
          <w:p w14:paraId="67C7131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20,3</w:t>
            </w:r>
          </w:p>
        </w:tc>
        <w:tc>
          <w:tcPr>
            <w:tcW w:w="853" w:type="dxa"/>
            <w:tcBorders>
              <w:left w:val="single" w:sz="4" w:space="0" w:color="000000"/>
              <w:right w:val="single" w:sz="8" w:space="0" w:color="000000"/>
            </w:tcBorders>
            <w:shd w:val="clear" w:color="auto" w:fill="FFFFFF"/>
          </w:tcPr>
          <w:p w14:paraId="5B340BD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24,4</w:t>
            </w:r>
          </w:p>
        </w:tc>
      </w:tr>
      <w:tr w:rsidR="00E2476B" w14:paraId="6F76BD02" w14:textId="77777777" w:rsidTr="0018419C">
        <w:trPr>
          <w:trHeight w:val="58"/>
          <w:jc w:val="center"/>
        </w:trPr>
        <w:tc>
          <w:tcPr>
            <w:tcW w:w="928" w:type="dxa"/>
            <w:tcBorders>
              <w:left w:val="single" w:sz="8" w:space="0" w:color="000000"/>
              <w:right w:val="single" w:sz="4" w:space="0" w:color="000000"/>
            </w:tcBorders>
            <w:shd w:val="clear" w:color="auto" w:fill="FFFFFF"/>
          </w:tcPr>
          <w:p w14:paraId="0183808A"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Difficile/</w:t>
            </w:r>
          </w:p>
          <w:p w14:paraId="2CE6D120"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Dettes</w:t>
            </w:r>
          </w:p>
        </w:tc>
        <w:tc>
          <w:tcPr>
            <w:tcW w:w="935" w:type="dxa"/>
            <w:gridSpan w:val="2"/>
            <w:tcBorders>
              <w:left w:val="single" w:sz="4" w:space="0" w:color="000000"/>
              <w:right w:val="single" w:sz="4" w:space="0" w:color="000000"/>
            </w:tcBorders>
            <w:shd w:val="clear" w:color="auto" w:fill="FFFFFF"/>
          </w:tcPr>
          <w:p w14:paraId="2DF18BC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31,2</w:t>
            </w:r>
            <w:r>
              <w:rPr>
                <w:rFonts w:ascii="Times New Roman" w:eastAsia="Arial" w:hAnsi="Times New Roman" w:cs="Times New Roman"/>
                <w:color w:val="000000"/>
                <w:sz w:val="14"/>
                <w:szCs w:val="14"/>
              </w:rPr>
              <w:br/>
              <w:t>[21-44]</w:t>
            </w:r>
          </w:p>
        </w:tc>
        <w:tc>
          <w:tcPr>
            <w:tcW w:w="948" w:type="dxa"/>
            <w:gridSpan w:val="2"/>
            <w:tcBorders>
              <w:left w:val="single" w:sz="4" w:space="0" w:color="000000"/>
              <w:right w:val="single" w:sz="4" w:space="0" w:color="000000"/>
            </w:tcBorders>
            <w:shd w:val="clear" w:color="auto" w:fill="FFFFFF"/>
          </w:tcPr>
          <w:p w14:paraId="268CE7E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22,0</w:t>
            </w:r>
            <w:r>
              <w:rPr>
                <w:rFonts w:ascii="Times New Roman" w:eastAsia="Arial" w:hAnsi="Times New Roman" w:cs="Times New Roman"/>
                <w:color w:val="000000"/>
                <w:sz w:val="14"/>
                <w:szCs w:val="14"/>
              </w:rPr>
              <w:br/>
              <w:t>[15-31]</w:t>
            </w:r>
          </w:p>
        </w:tc>
        <w:tc>
          <w:tcPr>
            <w:tcW w:w="943" w:type="dxa"/>
            <w:gridSpan w:val="2"/>
            <w:tcBorders>
              <w:left w:val="single" w:sz="4" w:space="0" w:color="000000"/>
              <w:right w:val="single" w:sz="4" w:space="0" w:color="000000"/>
            </w:tcBorders>
            <w:shd w:val="clear" w:color="auto" w:fill="FFFFFF"/>
          </w:tcPr>
          <w:p w14:paraId="06A9D33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20,3</w:t>
            </w:r>
            <w:r>
              <w:rPr>
                <w:rFonts w:ascii="Times New Roman" w:eastAsia="Arial" w:hAnsi="Times New Roman" w:cs="Times New Roman"/>
                <w:color w:val="000000"/>
                <w:sz w:val="14"/>
                <w:szCs w:val="14"/>
              </w:rPr>
              <w:br/>
              <w:t>[19-21]</w:t>
            </w:r>
          </w:p>
        </w:tc>
        <w:tc>
          <w:tcPr>
            <w:tcW w:w="945" w:type="dxa"/>
            <w:gridSpan w:val="2"/>
            <w:tcBorders>
              <w:left w:val="single" w:sz="4" w:space="0" w:color="000000"/>
              <w:right w:val="single" w:sz="4" w:space="0" w:color="000000"/>
            </w:tcBorders>
            <w:shd w:val="clear" w:color="auto" w:fill="FFFFFF"/>
          </w:tcPr>
          <w:p w14:paraId="3C17AC1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13,8</w:t>
            </w:r>
            <w:r>
              <w:rPr>
                <w:rFonts w:ascii="Times New Roman" w:eastAsia="Arial" w:hAnsi="Times New Roman" w:cs="Times New Roman"/>
                <w:color w:val="000000"/>
                <w:sz w:val="14"/>
                <w:szCs w:val="14"/>
              </w:rPr>
              <w:br/>
              <w:t>[8,6-21]</w:t>
            </w:r>
          </w:p>
        </w:tc>
        <w:tc>
          <w:tcPr>
            <w:tcW w:w="948" w:type="dxa"/>
            <w:gridSpan w:val="2"/>
            <w:tcBorders>
              <w:left w:val="single" w:sz="4" w:space="0" w:color="000000"/>
              <w:right w:val="single" w:sz="4" w:space="0" w:color="000000"/>
            </w:tcBorders>
            <w:shd w:val="clear" w:color="auto" w:fill="FFFFFF"/>
          </w:tcPr>
          <w:p w14:paraId="7331FA2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19,4</w:t>
            </w:r>
            <w:r>
              <w:rPr>
                <w:rFonts w:ascii="Times New Roman" w:eastAsia="Arial" w:hAnsi="Times New Roman" w:cs="Times New Roman"/>
                <w:color w:val="000000"/>
                <w:sz w:val="14"/>
                <w:szCs w:val="14"/>
              </w:rPr>
              <w:br/>
              <w:t>[11-32]</w:t>
            </w:r>
          </w:p>
        </w:tc>
        <w:tc>
          <w:tcPr>
            <w:tcW w:w="944" w:type="dxa"/>
            <w:gridSpan w:val="2"/>
            <w:tcBorders>
              <w:left w:val="single" w:sz="4" w:space="0" w:color="000000"/>
              <w:right w:val="single" w:sz="4" w:space="0" w:color="000000"/>
            </w:tcBorders>
            <w:shd w:val="clear" w:color="auto" w:fill="FFFFFF"/>
          </w:tcPr>
          <w:p w14:paraId="5F55D19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r>
              <w:rPr>
                <w:rFonts w:ascii="Times New Roman" w:eastAsia="Arial" w:hAnsi="Times New Roman" w:cs="Times New Roman"/>
                <w:color w:val="000000"/>
                <w:sz w:val="14"/>
                <w:szCs w:val="14"/>
              </w:rPr>
              <w:br/>
              <w:t>[16-18]</w:t>
            </w:r>
          </w:p>
        </w:tc>
        <w:tc>
          <w:tcPr>
            <w:tcW w:w="829" w:type="dxa"/>
            <w:gridSpan w:val="2"/>
            <w:tcBorders>
              <w:left w:val="single" w:sz="4" w:space="0" w:color="000000"/>
              <w:right w:val="single" w:sz="4" w:space="0" w:color="000000"/>
            </w:tcBorders>
            <w:shd w:val="clear" w:color="auto" w:fill="FFFFFF"/>
          </w:tcPr>
          <w:p w14:paraId="7A56E67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12,5</w:t>
            </w:r>
          </w:p>
        </w:tc>
        <w:tc>
          <w:tcPr>
            <w:tcW w:w="827" w:type="dxa"/>
            <w:gridSpan w:val="2"/>
            <w:tcBorders>
              <w:left w:val="single" w:sz="4" w:space="0" w:color="000000"/>
              <w:right w:val="single" w:sz="4" w:space="0" w:color="000000"/>
            </w:tcBorders>
            <w:shd w:val="clear" w:color="auto" w:fill="FFFFFF"/>
          </w:tcPr>
          <w:p w14:paraId="72D48E8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17,6</w:t>
            </w:r>
          </w:p>
        </w:tc>
        <w:tc>
          <w:tcPr>
            <w:tcW w:w="823" w:type="dxa"/>
            <w:gridSpan w:val="2"/>
            <w:tcBorders>
              <w:left w:val="single" w:sz="4" w:space="0" w:color="000000"/>
              <w:right w:val="single" w:sz="4" w:space="0" w:color="000000"/>
            </w:tcBorders>
            <w:shd w:val="clear" w:color="auto" w:fill="FFFFFF"/>
          </w:tcPr>
          <w:p w14:paraId="5F6C40C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12,9</w:t>
            </w:r>
          </w:p>
        </w:tc>
        <w:tc>
          <w:tcPr>
            <w:tcW w:w="853" w:type="dxa"/>
            <w:tcBorders>
              <w:left w:val="single" w:sz="4" w:space="0" w:color="000000"/>
              <w:right w:val="single" w:sz="8" w:space="0" w:color="000000"/>
            </w:tcBorders>
            <w:shd w:val="clear" w:color="auto" w:fill="FFFFFF"/>
          </w:tcPr>
          <w:p w14:paraId="56FE28F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16,2</w:t>
            </w:r>
          </w:p>
        </w:tc>
      </w:tr>
      <w:tr w:rsidR="00E2476B" w14:paraId="14F614FC" w14:textId="77777777" w:rsidTr="0018419C">
        <w:trPr>
          <w:jc w:val="center"/>
        </w:trPr>
        <w:tc>
          <w:tcPr>
            <w:tcW w:w="928" w:type="dxa"/>
            <w:tcBorders>
              <w:left w:val="single" w:sz="8" w:space="0" w:color="000000"/>
              <w:right w:val="single" w:sz="4" w:space="0" w:color="000000"/>
            </w:tcBorders>
            <w:shd w:val="clear" w:color="auto" w:fill="FFFFFF"/>
          </w:tcPr>
          <w:p w14:paraId="393DECCA"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17B1CCF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48" w:type="dxa"/>
            <w:gridSpan w:val="2"/>
            <w:tcBorders>
              <w:left w:val="single" w:sz="4" w:space="0" w:color="000000"/>
              <w:right w:val="single" w:sz="4" w:space="0" w:color="000000"/>
            </w:tcBorders>
            <w:shd w:val="clear" w:color="auto" w:fill="FFFFFF"/>
          </w:tcPr>
          <w:p w14:paraId="1B11C3F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w:t>
            </w:r>
            <w:r>
              <w:rPr>
                <w:rFonts w:ascii="Times New Roman" w:eastAsia="Arial" w:hAnsi="Times New Roman" w:cs="Times New Roman"/>
                <w:color w:val="000000"/>
                <w:sz w:val="14"/>
                <w:szCs w:val="14"/>
              </w:rPr>
              <w:br/>
              <w:t>[0,74-19]</w:t>
            </w:r>
          </w:p>
        </w:tc>
        <w:tc>
          <w:tcPr>
            <w:tcW w:w="943" w:type="dxa"/>
            <w:gridSpan w:val="2"/>
            <w:tcBorders>
              <w:left w:val="single" w:sz="4" w:space="0" w:color="000000"/>
              <w:right w:val="single" w:sz="4" w:space="0" w:color="000000"/>
            </w:tcBorders>
            <w:shd w:val="clear" w:color="auto" w:fill="FFFFFF"/>
          </w:tcPr>
          <w:p w14:paraId="13972A6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r>
              <w:rPr>
                <w:rFonts w:ascii="Times New Roman" w:eastAsia="Arial" w:hAnsi="Times New Roman" w:cs="Times New Roman"/>
                <w:color w:val="000000"/>
                <w:sz w:val="14"/>
                <w:szCs w:val="14"/>
              </w:rPr>
              <w:br/>
              <w:t>[0,47-0,80]</w:t>
            </w:r>
          </w:p>
        </w:tc>
        <w:tc>
          <w:tcPr>
            <w:tcW w:w="945" w:type="dxa"/>
            <w:gridSpan w:val="2"/>
            <w:tcBorders>
              <w:left w:val="single" w:sz="4" w:space="0" w:color="000000"/>
              <w:right w:val="single" w:sz="4" w:space="0" w:color="000000"/>
            </w:tcBorders>
            <w:shd w:val="clear" w:color="auto" w:fill="FFFFFF"/>
          </w:tcPr>
          <w:p w14:paraId="2942853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48" w:type="dxa"/>
            <w:gridSpan w:val="2"/>
            <w:tcBorders>
              <w:left w:val="single" w:sz="4" w:space="0" w:color="000000"/>
              <w:right w:val="single" w:sz="4" w:space="0" w:color="000000"/>
            </w:tcBorders>
            <w:shd w:val="clear" w:color="auto" w:fill="FFFFFF"/>
          </w:tcPr>
          <w:p w14:paraId="77FC5F1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[0,05-2,5]</w:t>
            </w:r>
          </w:p>
        </w:tc>
        <w:tc>
          <w:tcPr>
            <w:tcW w:w="944" w:type="dxa"/>
            <w:gridSpan w:val="2"/>
            <w:tcBorders>
              <w:left w:val="single" w:sz="4" w:space="0" w:color="000000"/>
              <w:right w:val="single" w:sz="4" w:space="0" w:color="000000"/>
            </w:tcBorders>
            <w:shd w:val="clear" w:color="auto" w:fill="FFFFFF"/>
          </w:tcPr>
          <w:p w14:paraId="27DA1C8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r>
              <w:rPr>
                <w:rFonts w:ascii="Times New Roman" w:eastAsia="Arial" w:hAnsi="Times New Roman" w:cs="Times New Roman"/>
                <w:color w:val="000000"/>
                <w:sz w:val="14"/>
                <w:szCs w:val="14"/>
              </w:rPr>
              <w:br/>
              <w:t>[0,82-1,4]</w:t>
            </w:r>
          </w:p>
        </w:tc>
        <w:tc>
          <w:tcPr>
            <w:tcW w:w="829" w:type="dxa"/>
            <w:gridSpan w:val="2"/>
            <w:tcBorders>
              <w:left w:val="single" w:sz="4" w:space="0" w:color="000000"/>
              <w:right w:val="single" w:sz="4" w:space="0" w:color="000000"/>
            </w:tcBorders>
            <w:shd w:val="clear" w:color="auto" w:fill="FFFFFF"/>
          </w:tcPr>
          <w:p w14:paraId="7586237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27" w:type="dxa"/>
            <w:gridSpan w:val="2"/>
            <w:tcBorders>
              <w:left w:val="single" w:sz="4" w:space="0" w:color="000000"/>
              <w:right w:val="single" w:sz="4" w:space="0" w:color="000000"/>
            </w:tcBorders>
            <w:shd w:val="clear" w:color="auto" w:fill="FFFFFF"/>
          </w:tcPr>
          <w:p w14:paraId="360B68B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823" w:type="dxa"/>
            <w:gridSpan w:val="2"/>
            <w:tcBorders>
              <w:left w:val="single" w:sz="4" w:space="0" w:color="000000"/>
              <w:right w:val="single" w:sz="4" w:space="0" w:color="000000"/>
            </w:tcBorders>
            <w:shd w:val="clear" w:color="auto" w:fill="FFFFFF"/>
          </w:tcPr>
          <w:p w14:paraId="6EBC2DD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53" w:type="dxa"/>
            <w:tcBorders>
              <w:left w:val="single" w:sz="4" w:space="0" w:color="000000"/>
              <w:right w:val="single" w:sz="8" w:space="0" w:color="000000"/>
            </w:tcBorders>
            <w:shd w:val="clear" w:color="auto" w:fill="FFFFFF"/>
          </w:tcPr>
          <w:p w14:paraId="443734E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E2476B" w14:paraId="5680278C" w14:textId="77777777" w:rsidTr="0018419C">
        <w:trPr>
          <w:jc w:val="center"/>
        </w:trPr>
        <w:tc>
          <w:tcPr>
            <w:tcW w:w="928" w:type="dxa"/>
            <w:tcBorders>
              <w:left w:val="single" w:sz="8" w:space="0" w:color="000000"/>
              <w:right w:val="single" w:sz="4" w:space="0" w:color="000000"/>
            </w:tcBorders>
            <w:shd w:val="clear" w:color="auto" w:fill="FFFFFF"/>
          </w:tcPr>
          <w:p w14:paraId="3F8FB375"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06E453E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0,010</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00740BA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p>
        </w:tc>
        <w:tc>
          <w:tcPr>
            <w:tcW w:w="1656" w:type="dxa"/>
            <w:gridSpan w:val="4"/>
            <w:tcBorders>
              <w:left w:val="single" w:sz="4" w:space="0" w:color="000000"/>
              <w:right w:val="single" w:sz="4" w:space="0" w:color="000000"/>
            </w:tcBorders>
            <w:shd w:val="clear" w:color="auto" w:fill="FFFFFF"/>
            <w:tcMar>
              <w:left w:w="108" w:type="dxa"/>
              <w:right w:w="108" w:type="dxa"/>
            </w:tcMar>
          </w:tcPr>
          <w:p w14:paraId="7EEEEE3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2F36705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0,036</w:t>
            </w:r>
          </w:p>
        </w:tc>
      </w:tr>
      <w:tr w:rsidR="00E2476B" w14:paraId="1D9DD8D4" w14:textId="77777777" w:rsidTr="0018419C">
        <w:trPr>
          <w:jc w:val="center"/>
        </w:trPr>
        <w:tc>
          <w:tcPr>
            <w:tcW w:w="9923" w:type="dxa"/>
            <w:gridSpan w:val="20"/>
            <w:tcBorders>
              <w:left w:val="single" w:sz="8" w:space="0" w:color="000000"/>
              <w:right w:val="single" w:sz="8" w:space="0" w:color="000000"/>
            </w:tcBorders>
            <w:shd w:val="clear" w:color="auto" w:fill="FFFFFF"/>
          </w:tcPr>
          <w:p w14:paraId="0D7A0852"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Taille d'agglomération</w:t>
            </w:r>
          </w:p>
        </w:tc>
      </w:tr>
      <w:tr w:rsidR="00E2476B" w14:paraId="4F623294" w14:textId="77777777" w:rsidTr="0018419C">
        <w:trPr>
          <w:jc w:val="center"/>
        </w:trPr>
        <w:tc>
          <w:tcPr>
            <w:tcW w:w="928" w:type="dxa"/>
            <w:tcBorders>
              <w:left w:val="single" w:sz="8" w:space="0" w:color="000000"/>
              <w:right w:val="single" w:sz="4" w:space="0" w:color="000000"/>
            </w:tcBorders>
            <w:shd w:val="clear" w:color="auto" w:fill="FFFFFF"/>
          </w:tcPr>
          <w:p w14:paraId="4B9408D8"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Moins de </w:t>
            </w:r>
          </w:p>
          <w:p w14:paraId="0924196B"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20 000 hab.</w:t>
            </w:r>
          </w:p>
        </w:tc>
        <w:tc>
          <w:tcPr>
            <w:tcW w:w="935" w:type="dxa"/>
            <w:gridSpan w:val="2"/>
            <w:tcBorders>
              <w:left w:val="single" w:sz="4" w:space="0" w:color="000000"/>
              <w:right w:val="single" w:sz="4" w:space="0" w:color="000000"/>
            </w:tcBorders>
            <w:shd w:val="clear" w:color="auto" w:fill="FFFFFF"/>
          </w:tcPr>
          <w:p w14:paraId="48EFD44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34,4</w:t>
            </w:r>
            <w:r>
              <w:rPr>
                <w:rFonts w:ascii="Times New Roman" w:eastAsia="Arial" w:hAnsi="Times New Roman" w:cs="Times New Roman"/>
                <w:color w:val="000000"/>
                <w:sz w:val="14"/>
                <w:szCs w:val="14"/>
              </w:rPr>
              <w:br/>
              <w:t>[24-47]</w:t>
            </w:r>
          </w:p>
        </w:tc>
        <w:tc>
          <w:tcPr>
            <w:tcW w:w="948" w:type="dxa"/>
            <w:gridSpan w:val="2"/>
            <w:tcBorders>
              <w:left w:val="single" w:sz="4" w:space="0" w:color="000000"/>
              <w:right w:val="single" w:sz="4" w:space="0" w:color="000000"/>
            </w:tcBorders>
            <w:shd w:val="clear" w:color="auto" w:fill="FFFFFF"/>
          </w:tcPr>
          <w:p w14:paraId="33AF2FF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36,5</w:t>
            </w:r>
            <w:r>
              <w:rPr>
                <w:rFonts w:ascii="Times New Roman" w:eastAsia="Arial" w:hAnsi="Times New Roman" w:cs="Times New Roman"/>
                <w:color w:val="000000"/>
                <w:sz w:val="14"/>
                <w:szCs w:val="14"/>
              </w:rPr>
              <w:br/>
              <w:t>[27-47]</w:t>
            </w:r>
          </w:p>
        </w:tc>
        <w:tc>
          <w:tcPr>
            <w:tcW w:w="943" w:type="dxa"/>
            <w:gridSpan w:val="2"/>
            <w:tcBorders>
              <w:left w:val="single" w:sz="4" w:space="0" w:color="000000"/>
              <w:right w:val="single" w:sz="4" w:space="0" w:color="000000"/>
            </w:tcBorders>
            <w:shd w:val="clear" w:color="auto" w:fill="FFFFFF"/>
          </w:tcPr>
          <w:p w14:paraId="62CFC27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51,2</w:t>
            </w:r>
            <w:r>
              <w:rPr>
                <w:rFonts w:ascii="Times New Roman" w:eastAsia="Arial" w:hAnsi="Times New Roman" w:cs="Times New Roman"/>
                <w:color w:val="000000"/>
                <w:sz w:val="14"/>
                <w:szCs w:val="14"/>
              </w:rPr>
              <w:br/>
              <w:t>[50-52]</w:t>
            </w:r>
          </w:p>
        </w:tc>
        <w:tc>
          <w:tcPr>
            <w:tcW w:w="945" w:type="dxa"/>
            <w:gridSpan w:val="2"/>
            <w:tcBorders>
              <w:left w:val="single" w:sz="4" w:space="0" w:color="000000"/>
              <w:right w:val="single" w:sz="4" w:space="0" w:color="000000"/>
            </w:tcBorders>
            <w:shd w:val="clear" w:color="auto" w:fill="FFFFFF"/>
          </w:tcPr>
          <w:p w14:paraId="5765123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r>
              <w:rPr>
                <w:rFonts w:ascii="Times New Roman" w:eastAsia="Arial" w:hAnsi="Times New Roman" w:cs="Times New Roman"/>
                <w:color w:val="000000"/>
                <w:sz w:val="14"/>
                <w:szCs w:val="14"/>
              </w:rPr>
              <w:br/>
              <w:t>[22-38]</w:t>
            </w:r>
          </w:p>
        </w:tc>
        <w:tc>
          <w:tcPr>
            <w:tcW w:w="948" w:type="dxa"/>
            <w:gridSpan w:val="2"/>
            <w:tcBorders>
              <w:left w:val="single" w:sz="4" w:space="0" w:color="000000"/>
              <w:right w:val="single" w:sz="4" w:space="0" w:color="000000"/>
            </w:tcBorders>
            <w:shd w:val="clear" w:color="auto" w:fill="FFFFFF"/>
          </w:tcPr>
          <w:p w14:paraId="5B79D6B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42,7</w:t>
            </w:r>
            <w:r>
              <w:rPr>
                <w:rFonts w:ascii="Times New Roman" w:eastAsia="Arial" w:hAnsi="Times New Roman" w:cs="Times New Roman"/>
                <w:color w:val="000000"/>
                <w:sz w:val="14"/>
                <w:szCs w:val="14"/>
              </w:rPr>
              <w:br/>
              <w:t>[29-57]</w:t>
            </w:r>
          </w:p>
        </w:tc>
        <w:tc>
          <w:tcPr>
            <w:tcW w:w="944" w:type="dxa"/>
            <w:gridSpan w:val="2"/>
            <w:tcBorders>
              <w:left w:val="single" w:sz="4" w:space="0" w:color="000000"/>
              <w:right w:val="single" w:sz="4" w:space="0" w:color="000000"/>
            </w:tcBorders>
            <w:shd w:val="clear" w:color="auto" w:fill="FFFFFF"/>
          </w:tcPr>
          <w:p w14:paraId="6C3051B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54,1</w:t>
            </w:r>
            <w:r>
              <w:rPr>
                <w:rFonts w:ascii="Times New Roman" w:eastAsia="Arial" w:hAnsi="Times New Roman" w:cs="Times New Roman"/>
                <w:color w:val="000000"/>
                <w:sz w:val="14"/>
                <w:szCs w:val="14"/>
              </w:rPr>
              <w:br/>
              <w:t>[53-55]</w:t>
            </w:r>
          </w:p>
        </w:tc>
        <w:tc>
          <w:tcPr>
            <w:tcW w:w="829" w:type="dxa"/>
            <w:gridSpan w:val="2"/>
            <w:tcBorders>
              <w:left w:val="single" w:sz="4" w:space="0" w:color="000000"/>
              <w:right w:val="single" w:sz="4" w:space="0" w:color="000000"/>
            </w:tcBorders>
            <w:shd w:val="clear" w:color="auto" w:fill="FFFFFF"/>
          </w:tcPr>
          <w:p w14:paraId="14BD0FF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22,9</w:t>
            </w:r>
          </w:p>
        </w:tc>
        <w:tc>
          <w:tcPr>
            <w:tcW w:w="827" w:type="dxa"/>
            <w:gridSpan w:val="2"/>
            <w:tcBorders>
              <w:left w:val="single" w:sz="4" w:space="0" w:color="000000"/>
              <w:right w:val="single" w:sz="4" w:space="0" w:color="000000"/>
            </w:tcBorders>
            <w:shd w:val="clear" w:color="auto" w:fill="FFFFFF"/>
          </w:tcPr>
          <w:p w14:paraId="341A28B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15,6</w:t>
            </w:r>
          </w:p>
        </w:tc>
        <w:tc>
          <w:tcPr>
            <w:tcW w:w="823" w:type="dxa"/>
            <w:gridSpan w:val="2"/>
            <w:tcBorders>
              <w:left w:val="single" w:sz="4" w:space="0" w:color="000000"/>
              <w:right w:val="single" w:sz="4" w:space="0" w:color="000000"/>
            </w:tcBorders>
            <w:shd w:val="clear" w:color="auto" w:fill="FFFFFF"/>
          </w:tcPr>
          <w:p w14:paraId="6A98878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18,1</w:t>
            </w:r>
          </w:p>
        </w:tc>
        <w:tc>
          <w:tcPr>
            <w:tcW w:w="853" w:type="dxa"/>
            <w:tcBorders>
              <w:left w:val="single" w:sz="4" w:space="0" w:color="000000"/>
              <w:right w:val="single" w:sz="8" w:space="0" w:color="000000"/>
            </w:tcBorders>
            <w:shd w:val="clear" w:color="auto" w:fill="FFFFFF"/>
          </w:tcPr>
          <w:p w14:paraId="78938BA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25,7</w:t>
            </w:r>
          </w:p>
        </w:tc>
      </w:tr>
      <w:tr w:rsidR="00E2476B" w14:paraId="7A78F91F" w14:textId="77777777" w:rsidTr="0018419C">
        <w:trPr>
          <w:jc w:val="center"/>
        </w:trPr>
        <w:tc>
          <w:tcPr>
            <w:tcW w:w="928" w:type="dxa"/>
            <w:tcBorders>
              <w:left w:val="single" w:sz="8" w:space="0" w:color="000000"/>
              <w:right w:val="single" w:sz="4" w:space="0" w:color="000000"/>
            </w:tcBorders>
            <w:shd w:val="clear" w:color="auto" w:fill="FFFFFF"/>
          </w:tcPr>
          <w:p w14:paraId="053B4397"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 20 000 à 200 000 hab.</w:t>
            </w:r>
          </w:p>
        </w:tc>
        <w:tc>
          <w:tcPr>
            <w:tcW w:w="935" w:type="dxa"/>
            <w:gridSpan w:val="2"/>
            <w:tcBorders>
              <w:left w:val="single" w:sz="4" w:space="0" w:color="000000"/>
              <w:right w:val="single" w:sz="4" w:space="0" w:color="000000"/>
            </w:tcBorders>
            <w:shd w:val="clear" w:color="auto" w:fill="FFFFFF"/>
          </w:tcPr>
          <w:p w14:paraId="4D9CB9F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r>
              <w:rPr>
                <w:rFonts w:ascii="Times New Roman" w:eastAsia="Arial" w:hAnsi="Times New Roman" w:cs="Times New Roman"/>
                <w:color w:val="000000"/>
                <w:sz w:val="14"/>
                <w:szCs w:val="14"/>
              </w:rPr>
              <w:br/>
              <w:t>[20-45]</w:t>
            </w:r>
          </w:p>
        </w:tc>
        <w:tc>
          <w:tcPr>
            <w:tcW w:w="948" w:type="dxa"/>
            <w:gridSpan w:val="2"/>
            <w:tcBorders>
              <w:left w:val="single" w:sz="4" w:space="0" w:color="000000"/>
              <w:right w:val="single" w:sz="4" w:space="0" w:color="000000"/>
            </w:tcBorders>
            <w:shd w:val="clear" w:color="auto" w:fill="FFFFFF"/>
          </w:tcPr>
          <w:p w14:paraId="1096345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20,5</w:t>
            </w:r>
            <w:r>
              <w:rPr>
                <w:rFonts w:ascii="Times New Roman" w:eastAsia="Arial" w:hAnsi="Times New Roman" w:cs="Times New Roman"/>
                <w:color w:val="000000"/>
                <w:sz w:val="14"/>
                <w:szCs w:val="14"/>
              </w:rPr>
              <w:br/>
              <w:t>[13-31]</w:t>
            </w:r>
          </w:p>
        </w:tc>
        <w:tc>
          <w:tcPr>
            <w:tcW w:w="943" w:type="dxa"/>
            <w:gridSpan w:val="2"/>
            <w:tcBorders>
              <w:left w:val="single" w:sz="4" w:space="0" w:color="000000"/>
              <w:right w:val="single" w:sz="4" w:space="0" w:color="000000"/>
            </w:tcBorders>
            <w:shd w:val="clear" w:color="auto" w:fill="FFFFFF"/>
          </w:tcPr>
          <w:p w14:paraId="6D627C4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18,8</w:t>
            </w:r>
            <w:r>
              <w:rPr>
                <w:rFonts w:ascii="Times New Roman" w:eastAsia="Arial" w:hAnsi="Times New Roman" w:cs="Times New Roman"/>
                <w:color w:val="000000"/>
                <w:sz w:val="14"/>
                <w:szCs w:val="14"/>
              </w:rPr>
              <w:br/>
              <w:t>[18-20]</w:t>
            </w:r>
          </w:p>
        </w:tc>
        <w:tc>
          <w:tcPr>
            <w:tcW w:w="945" w:type="dxa"/>
            <w:gridSpan w:val="2"/>
            <w:tcBorders>
              <w:left w:val="single" w:sz="4" w:space="0" w:color="000000"/>
              <w:right w:val="single" w:sz="4" w:space="0" w:color="000000"/>
            </w:tcBorders>
            <w:shd w:val="clear" w:color="auto" w:fill="FFFFFF"/>
          </w:tcPr>
          <w:p w14:paraId="764713C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18,9</w:t>
            </w:r>
            <w:r>
              <w:rPr>
                <w:rFonts w:ascii="Times New Roman" w:eastAsia="Arial" w:hAnsi="Times New Roman" w:cs="Times New Roman"/>
                <w:color w:val="000000"/>
                <w:sz w:val="14"/>
                <w:szCs w:val="14"/>
              </w:rPr>
              <w:br/>
              <w:t>[13-26]</w:t>
            </w:r>
          </w:p>
        </w:tc>
        <w:tc>
          <w:tcPr>
            <w:tcW w:w="948" w:type="dxa"/>
            <w:gridSpan w:val="2"/>
            <w:tcBorders>
              <w:left w:val="single" w:sz="4" w:space="0" w:color="000000"/>
              <w:right w:val="single" w:sz="4" w:space="0" w:color="000000"/>
            </w:tcBorders>
            <w:shd w:val="clear" w:color="auto" w:fill="FFFFFF"/>
          </w:tcPr>
          <w:p w14:paraId="1FCF6F2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28,3</w:t>
            </w:r>
            <w:r>
              <w:rPr>
                <w:rFonts w:ascii="Times New Roman" w:eastAsia="Arial" w:hAnsi="Times New Roman" w:cs="Times New Roman"/>
                <w:color w:val="000000"/>
                <w:sz w:val="14"/>
                <w:szCs w:val="14"/>
              </w:rPr>
              <w:br/>
              <w:t>[17-44]</w:t>
            </w:r>
          </w:p>
        </w:tc>
        <w:tc>
          <w:tcPr>
            <w:tcW w:w="944" w:type="dxa"/>
            <w:gridSpan w:val="2"/>
            <w:tcBorders>
              <w:left w:val="single" w:sz="4" w:space="0" w:color="000000"/>
              <w:right w:val="single" w:sz="4" w:space="0" w:color="000000"/>
            </w:tcBorders>
            <w:shd w:val="clear" w:color="auto" w:fill="FFFFFF"/>
          </w:tcPr>
          <w:p w14:paraId="73E6D56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20,5</w:t>
            </w:r>
            <w:r>
              <w:rPr>
                <w:rFonts w:ascii="Times New Roman" w:eastAsia="Arial" w:hAnsi="Times New Roman" w:cs="Times New Roman"/>
                <w:color w:val="000000"/>
                <w:sz w:val="14"/>
                <w:szCs w:val="14"/>
              </w:rPr>
              <w:br/>
              <w:t>[20-21]</w:t>
            </w:r>
          </w:p>
        </w:tc>
        <w:tc>
          <w:tcPr>
            <w:tcW w:w="829" w:type="dxa"/>
            <w:gridSpan w:val="2"/>
            <w:tcBorders>
              <w:left w:val="single" w:sz="4" w:space="0" w:color="000000"/>
              <w:right w:val="single" w:sz="4" w:space="0" w:color="000000"/>
            </w:tcBorders>
            <w:shd w:val="clear" w:color="auto" w:fill="FFFFFF"/>
          </w:tcPr>
          <w:p w14:paraId="79957B6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20,8</w:t>
            </w:r>
          </w:p>
        </w:tc>
        <w:tc>
          <w:tcPr>
            <w:tcW w:w="827" w:type="dxa"/>
            <w:gridSpan w:val="2"/>
            <w:tcBorders>
              <w:left w:val="single" w:sz="4" w:space="0" w:color="000000"/>
              <w:right w:val="single" w:sz="4" w:space="0" w:color="000000"/>
            </w:tcBorders>
            <w:shd w:val="clear" w:color="auto" w:fill="FFFFFF"/>
          </w:tcPr>
          <w:p w14:paraId="76ACE8A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21,3</w:t>
            </w:r>
          </w:p>
        </w:tc>
        <w:tc>
          <w:tcPr>
            <w:tcW w:w="823" w:type="dxa"/>
            <w:gridSpan w:val="2"/>
            <w:tcBorders>
              <w:left w:val="single" w:sz="4" w:space="0" w:color="000000"/>
              <w:right w:val="single" w:sz="4" w:space="0" w:color="000000"/>
            </w:tcBorders>
            <w:shd w:val="clear" w:color="auto" w:fill="FFFFFF"/>
          </w:tcPr>
          <w:p w14:paraId="62652ED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16,9</w:t>
            </w:r>
          </w:p>
        </w:tc>
        <w:tc>
          <w:tcPr>
            <w:tcW w:w="853" w:type="dxa"/>
            <w:tcBorders>
              <w:left w:val="single" w:sz="4" w:space="0" w:color="000000"/>
              <w:right w:val="single" w:sz="8" w:space="0" w:color="000000"/>
            </w:tcBorders>
            <w:shd w:val="clear" w:color="auto" w:fill="FFFFFF"/>
          </w:tcPr>
          <w:p w14:paraId="5EC303E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18,4</w:t>
            </w:r>
          </w:p>
        </w:tc>
      </w:tr>
      <w:tr w:rsidR="00E2476B" w14:paraId="596226CE" w14:textId="77777777" w:rsidTr="0018419C">
        <w:trPr>
          <w:jc w:val="center"/>
        </w:trPr>
        <w:tc>
          <w:tcPr>
            <w:tcW w:w="928" w:type="dxa"/>
            <w:tcBorders>
              <w:left w:val="single" w:sz="8" w:space="0" w:color="000000"/>
              <w:right w:val="single" w:sz="4" w:space="0" w:color="000000"/>
            </w:tcBorders>
            <w:shd w:val="clear" w:color="auto" w:fill="FFFFFF"/>
          </w:tcPr>
          <w:p w14:paraId="0DFA1C6A"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200 000 hab. et plus</w:t>
            </w:r>
          </w:p>
        </w:tc>
        <w:tc>
          <w:tcPr>
            <w:tcW w:w="935" w:type="dxa"/>
            <w:gridSpan w:val="2"/>
            <w:tcBorders>
              <w:left w:val="single" w:sz="4" w:space="0" w:color="000000"/>
              <w:right w:val="single" w:sz="4" w:space="0" w:color="000000"/>
            </w:tcBorders>
            <w:shd w:val="clear" w:color="auto" w:fill="FFFFFF"/>
          </w:tcPr>
          <w:p w14:paraId="4F20D59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25,0</w:t>
            </w:r>
            <w:r>
              <w:rPr>
                <w:rFonts w:ascii="Times New Roman" w:eastAsia="Arial" w:hAnsi="Times New Roman" w:cs="Times New Roman"/>
                <w:color w:val="000000"/>
                <w:sz w:val="14"/>
                <w:szCs w:val="14"/>
              </w:rPr>
              <w:br/>
              <w:t>[16-37]</w:t>
            </w:r>
          </w:p>
        </w:tc>
        <w:tc>
          <w:tcPr>
            <w:tcW w:w="948" w:type="dxa"/>
            <w:gridSpan w:val="2"/>
            <w:tcBorders>
              <w:left w:val="single" w:sz="4" w:space="0" w:color="000000"/>
              <w:right w:val="single" w:sz="4" w:space="0" w:color="000000"/>
            </w:tcBorders>
            <w:shd w:val="clear" w:color="auto" w:fill="FFFFFF"/>
          </w:tcPr>
          <w:p w14:paraId="39AFD05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30,1</w:t>
            </w:r>
            <w:r>
              <w:rPr>
                <w:rFonts w:ascii="Times New Roman" w:eastAsia="Arial" w:hAnsi="Times New Roman" w:cs="Times New Roman"/>
                <w:color w:val="000000"/>
                <w:sz w:val="14"/>
                <w:szCs w:val="14"/>
              </w:rPr>
              <w:br/>
              <w:t>[21-41]</w:t>
            </w:r>
          </w:p>
        </w:tc>
        <w:tc>
          <w:tcPr>
            <w:tcW w:w="943" w:type="dxa"/>
            <w:gridSpan w:val="2"/>
            <w:tcBorders>
              <w:left w:val="single" w:sz="4" w:space="0" w:color="000000"/>
              <w:right w:val="single" w:sz="4" w:space="0" w:color="000000"/>
            </w:tcBorders>
            <w:shd w:val="clear" w:color="auto" w:fill="FFFFFF"/>
          </w:tcPr>
          <w:p w14:paraId="28D8471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w:t>
            </w:r>
            <w:r>
              <w:rPr>
                <w:rFonts w:ascii="Times New Roman" w:eastAsia="Arial" w:hAnsi="Times New Roman" w:cs="Times New Roman"/>
                <w:color w:val="000000"/>
                <w:sz w:val="14"/>
                <w:szCs w:val="14"/>
              </w:rPr>
              <w:br/>
              <w:t>[19-21]</w:t>
            </w:r>
          </w:p>
        </w:tc>
        <w:tc>
          <w:tcPr>
            <w:tcW w:w="945" w:type="dxa"/>
            <w:gridSpan w:val="2"/>
            <w:tcBorders>
              <w:left w:val="single" w:sz="4" w:space="0" w:color="000000"/>
              <w:right w:val="single" w:sz="4" w:space="0" w:color="000000"/>
            </w:tcBorders>
            <w:shd w:val="clear" w:color="auto" w:fill="FFFFFF"/>
          </w:tcPr>
          <w:p w14:paraId="0C2BFAA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44,3</w:t>
            </w:r>
            <w:r>
              <w:rPr>
                <w:rFonts w:ascii="Times New Roman" w:eastAsia="Arial" w:hAnsi="Times New Roman" w:cs="Times New Roman"/>
                <w:color w:val="000000"/>
                <w:sz w:val="14"/>
                <w:szCs w:val="14"/>
              </w:rPr>
              <w:br/>
              <w:t>[36-53]</w:t>
            </w:r>
          </w:p>
        </w:tc>
        <w:tc>
          <w:tcPr>
            <w:tcW w:w="948" w:type="dxa"/>
            <w:gridSpan w:val="2"/>
            <w:tcBorders>
              <w:left w:val="single" w:sz="4" w:space="0" w:color="000000"/>
              <w:right w:val="single" w:sz="4" w:space="0" w:color="000000"/>
            </w:tcBorders>
            <w:shd w:val="clear" w:color="auto" w:fill="FFFFFF"/>
          </w:tcPr>
          <w:p w14:paraId="0E3B7C1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20,6</w:t>
            </w:r>
            <w:r>
              <w:rPr>
                <w:rFonts w:ascii="Times New Roman" w:eastAsia="Arial" w:hAnsi="Times New Roman" w:cs="Times New Roman"/>
                <w:color w:val="000000"/>
                <w:sz w:val="14"/>
                <w:szCs w:val="14"/>
              </w:rPr>
              <w:br/>
              <w:t>[13-31]</w:t>
            </w:r>
          </w:p>
        </w:tc>
        <w:tc>
          <w:tcPr>
            <w:tcW w:w="944" w:type="dxa"/>
            <w:gridSpan w:val="2"/>
            <w:tcBorders>
              <w:left w:val="single" w:sz="4" w:space="0" w:color="000000"/>
              <w:right w:val="single" w:sz="4" w:space="0" w:color="000000"/>
            </w:tcBorders>
            <w:shd w:val="clear" w:color="auto" w:fill="FFFFFF"/>
          </w:tcPr>
          <w:p w14:paraId="1B1514C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19,6</w:t>
            </w:r>
            <w:r>
              <w:rPr>
                <w:rFonts w:ascii="Times New Roman" w:eastAsia="Arial" w:hAnsi="Times New Roman" w:cs="Times New Roman"/>
                <w:color w:val="000000"/>
                <w:sz w:val="14"/>
                <w:szCs w:val="14"/>
              </w:rPr>
              <w:br/>
              <w:t>[19-21]</w:t>
            </w:r>
          </w:p>
        </w:tc>
        <w:tc>
          <w:tcPr>
            <w:tcW w:w="829" w:type="dxa"/>
            <w:gridSpan w:val="2"/>
            <w:tcBorders>
              <w:left w:val="single" w:sz="4" w:space="0" w:color="000000"/>
              <w:right w:val="single" w:sz="4" w:space="0" w:color="000000"/>
            </w:tcBorders>
            <w:shd w:val="clear" w:color="auto" w:fill="FFFFFF"/>
          </w:tcPr>
          <w:p w14:paraId="12CB625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54,8</w:t>
            </w:r>
          </w:p>
        </w:tc>
        <w:tc>
          <w:tcPr>
            <w:tcW w:w="827" w:type="dxa"/>
            <w:gridSpan w:val="2"/>
            <w:tcBorders>
              <w:left w:val="single" w:sz="4" w:space="0" w:color="000000"/>
              <w:right w:val="single" w:sz="4" w:space="0" w:color="000000"/>
            </w:tcBorders>
            <w:shd w:val="clear" w:color="auto" w:fill="FFFFFF"/>
          </w:tcPr>
          <w:p w14:paraId="1F87D4E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60,4</w:t>
            </w:r>
          </w:p>
        </w:tc>
        <w:tc>
          <w:tcPr>
            <w:tcW w:w="823" w:type="dxa"/>
            <w:gridSpan w:val="2"/>
            <w:tcBorders>
              <w:left w:val="single" w:sz="4" w:space="0" w:color="000000"/>
              <w:right w:val="single" w:sz="4" w:space="0" w:color="000000"/>
            </w:tcBorders>
            <w:shd w:val="clear" w:color="auto" w:fill="FFFFFF"/>
          </w:tcPr>
          <w:p w14:paraId="390092F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64,6</w:t>
            </w:r>
          </w:p>
        </w:tc>
        <w:tc>
          <w:tcPr>
            <w:tcW w:w="853" w:type="dxa"/>
            <w:tcBorders>
              <w:left w:val="single" w:sz="4" w:space="0" w:color="000000"/>
              <w:right w:val="single" w:sz="8" w:space="0" w:color="000000"/>
            </w:tcBorders>
            <w:shd w:val="clear" w:color="auto" w:fill="FFFFFF"/>
          </w:tcPr>
          <w:p w14:paraId="6611F14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55,9</w:t>
            </w:r>
          </w:p>
        </w:tc>
      </w:tr>
      <w:tr w:rsidR="00E2476B" w14:paraId="6D697417" w14:textId="77777777" w:rsidTr="0018419C">
        <w:trPr>
          <w:jc w:val="center"/>
        </w:trPr>
        <w:tc>
          <w:tcPr>
            <w:tcW w:w="928" w:type="dxa"/>
            <w:tcBorders>
              <w:left w:val="single" w:sz="8" w:space="0" w:color="000000"/>
              <w:right w:val="single" w:sz="4" w:space="0" w:color="000000"/>
            </w:tcBorders>
            <w:shd w:val="clear" w:color="auto" w:fill="FFFFFF"/>
          </w:tcPr>
          <w:p w14:paraId="257789E6"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75F206F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9,7</w:t>
            </w:r>
            <w:r>
              <w:rPr>
                <w:rFonts w:ascii="Times New Roman" w:eastAsia="Arial" w:hAnsi="Times New Roman" w:cs="Times New Roman"/>
                <w:color w:val="000000"/>
                <w:sz w:val="14"/>
                <w:szCs w:val="14"/>
              </w:rPr>
              <w:br/>
              <w:t>[4,4-20]</w:t>
            </w:r>
          </w:p>
        </w:tc>
        <w:tc>
          <w:tcPr>
            <w:tcW w:w="948" w:type="dxa"/>
            <w:gridSpan w:val="2"/>
            <w:tcBorders>
              <w:left w:val="single" w:sz="4" w:space="0" w:color="000000"/>
              <w:right w:val="single" w:sz="4" w:space="0" w:color="000000"/>
            </w:tcBorders>
            <w:shd w:val="clear" w:color="auto" w:fill="FFFFFF"/>
          </w:tcPr>
          <w:p w14:paraId="6101CD0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12,9</w:t>
            </w:r>
            <w:r>
              <w:rPr>
                <w:rFonts w:ascii="Times New Roman" w:eastAsia="Arial" w:hAnsi="Times New Roman" w:cs="Times New Roman"/>
                <w:color w:val="000000"/>
                <w:sz w:val="14"/>
                <w:szCs w:val="14"/>
              </w:rPr>
              <w:br/>
              <w:t>[7,0-22]</w:t>
            </w:r>
          </w:p>
        </w:tc>
        <w:tc>
          <w:tcPr>
            <w:tcW w:w="943" w:type="dxa"/>
            <w:gridSpan w:val="2"/>
            <w:tcBorders>
              <w:left w:val="single" w:sz="4" w:space="0" w:color="000000"/>
              <w:right w:val="single" w:sz="4" w:space="0" w:color="000000"/>
            </w:tcBorders>
            <w:shd w:val="clear" w:color="auto" w:fill="FFFFFF"/>
          </w:tcPr>
          <w:p w14:paraId="1D227DB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9,8</w:t>
            </w:r>
            <w:r>
              <w:rPr>
                <w:rFonts w:ascii="Times New Roman" w:eastAsia="Arial" w:hAnsi="Times New Roman" w:cs="Times New Roman"/>
                <w:color w:val="000000"/>
                <w:sz w:val="14"/>
                <w:szCs w:val="14"/>
              </w:rPr>
              <w:br/>
              <w:t>[9,1-10]</w:t>
            </w:r>
          </w:p>
        </w:tc>
        <w:tc>
          <w:tcPr>
            <w:tcW w:w="945" w:type="dxa"/>
            <w:gridSpan w:val="2"/>
            <w:tcBorders>
              <w:left w:val="single" w:sz="4" w:space="0" w:color="000000"/>
              <w:right w:val="single" w:sz="4" w:space="0" w:color="000000"/>
            </w:tcBorders>
            <w:shd w:val="clear" w:color="auto" w:fill="FFFFFF"/>
          </w:tcPr>
          <w:p w14:paraId="4F3D09C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7,6</w:t>
            </w:r>
            <w:r>
              <w:rPr>
                <w:rFonts w:ascii="Times New Roman" w:eastAsia="Arial" w:hAnsi="Times New Roman" w:cs="Times New Roman"/>
                <w:color w:val="000000"/>
                <w:sz w:val="14"/>
                <w:szCs w:val="14"/>
              </w:rPr>
              <w:br/>
              <w:t>[4,0-14]</w:t>
            </w:r>
          </w:p>
        </w:tc>
        <w:tc>
          <w:tcPr>
            <w:tcW w:w="948" w:type="dxa"/>
            <w:gridSpan w:val="2"/>
            <w:tcBorders>
              <w:left w:val="single" w:sz="4" w:space="0" w:color="000000"/>
              <w:right w:val="single" w:sz="4" w:space="0" w:color="000000"/>
            </w:tcBorders>
            <w:shd w:val="clear" w:color="auto" w:fill="FFFFFF"/>
          </w:tcPr>
          <w:p w14:paraId="73ADEC2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8,3</w:t>
            </w:r>
            <w:r>
              <w:rPr>
                <w:rFonts w:ascii="Times New Roman" w:eastAsia="Arial" w:hAnsi="Times New Roman" w:cs="Times New Roman"/>
                <w:color w:val="000000"/>
                <w:sz w:val="14"/>
                <w:szCs w:val="14"/>
              </w:rPr>
              <w:br/>
              <w:t>[2,6-24]</w:t>
            </w:r>
          </w:p>
        </w:tc>
        <w:tc>
          <w:tcPr>
            <w:tcW w:w="944" w:type="dxa"/>
            <w:gridSpan w:val="2"/>
            <w:tcBorders>
              <w:left w:val="single" w:sz="4" w:space="0" w:color="000000"/>
              <w:right w:val="single" w:sz="4" w:space="0" w:color="000000"/>
            </w:tcBorders>
            <w:shd w:val="clear" w:color="auto" w:fill="FFFFFF"/>
          </w:tcPr>
          <w:p w14:paraId="724905C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w:t>
            </w:r>
            <w:r>
              <w:rPr>
                <w:rFonts w:ascii="Times New Roman" w:eastAsia="Arial" w:hAnsi="Times New Roman" w:cs="Times New Roman"/>
                <w:color w:val="000000"/>
                <w:sz w:val="14"/>
                <w:szCs w:val="14"/>
              </w:rPr>
              <w:br/>
              <w:t>[5,2-6,4]</w:t>
            </w:r>
          </w:p>
        </w:tc>
        <w:tc>
          <w:tcPr>
            <w:tcW w:w="829" w:type="dxa"/>
            <w:gridSpan w:val="2"/>
            <w:tcBorders>
              <w:left w:val="single" w:sz="4" w:space="0" w:color="000000"/>
              <w:right w:val="single" w:sz="4" w:space="0" w:color="000000"/>
            </w:tcBorders>
            <w:shd w:val="clear" w:color="auto" w:fill="FFFFFF"/>
          </w:tcPr>
          <w:p w14:paraId="766FA84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w:t>
            </w:r>
          </w:p>
        </w:tc>
        <w:tc>
          <w:tcPr>
            <w:tcW w:w="827" w:type="dxa"/>
            <w:gridSpan w:val="2"/>
            <w:tcBorders>
              <w:left w:val="single" w:sz="4" w:space="0" w:color="000000"/>
              <w:right w:val="single" w:sz="4" w:space="0" w:color="000000"/>
            </w:tcBorders>
            <w:shd w:val="clear" w:color="auto" w:fill="FFFFFF"/>
          </w:tcPr>
          <w:p w14:paraId="3498089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w:t>
            </w:r>
          </w:p>
        </w:tc>
        <w:tc>
          <w:tcPr>
            <w:tcW w:w="823" w:type="dxa"/>
            <w:gridSpan w:val="2"/>
            <w:tcBorders>
              <w:left w:val="single" w:sz="4" w:space="0" w:color="000000"/>
              <w:right w:val="single" w:sz="4" w:space="0" w:color="000000"/>
            </w:tcBorders>
            <w:shd w:val="clear" w:color="auto" w:fill="FFFFFF"/>
          </w:tcPr>
          <w:p w14:paraId="478F078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p>
        </w:tc>
        <w:tc>
          <w:tcPr>
            <w:tcW w:w="853" w:type="dxa"/>
            <w:tcBorders>
              <w:left w:val="single" w:sz="4" w:space="0" w:color="000000"/>
              <w:right w:val="single" w:sz="8" w:space="0" w:color="000000"/>
            </w:tcBorders>
            <w:shd w:val="clear" w:color="auto" w:fill="FFFFFF"/>
          </w:tcPr>
          <w:p w14:paraId="5520FBD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r>
      <w:tr w:rsidR="00E2476B" w14:paraId="6D4E57CF" w14:textId="77777777" w:rsidTr="0018419C">
        <w:trPr>
          <w:jc w:val="center"/>
        </w:trPr>
        <w:tc>
          <w:tcPr>
            <w:tcW w:w="928" w:type="dxa"/>
            <w:tcBorders>
              <w:left w:val="single" w:sz="8" w:space="0" w:color="000000"/>
              <w:right w:val="single" w:sz="4" w:space="0" w:color="000000"/>
            </w:tcBorders>
            <w:shd w:val="clear" w:color="auto" w:fill="FFFFFF"/>
          </w:tcPr>
          <w:p w14:paraId="0197772B"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lastRenderedPageBreak/>
              <w:t>P-valeur</w:t>
            </w:r>
          </w:p>
        </w:tc>
        <w:tc>
          <w:tcPr>
            <w:tcW w:w="2826" w:type="dxa"/>
            <w:gridSpan w:val="6"/>
            <w:tcBorders>
              <w:left w:val="single" w:sz="4" w:space="0" w:color="000000"/>
              <w:right w:val="single" w:sz="4" w:space="0" w:color="000000"/>
            </w:tcBorders>
            <w:shd w:val="clear" w:color="auto" w:fill="FFFFFF"/>
          </w:tcPr>
          <w:p w14:paraId="2AC353C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0,012</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227305F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56" w:type="dxa"/>
            <w:gridSpan w:val="4"/>
            <w:tcBorders>
              <w:left w:val="single" w:sz="4" w:space="0" w:color="000000"/>
              <w:right w:val="single" w:sz="4" w:space="0" w:color="000000"/>
            </w:tcBorders>
            <w:shd w:val="clear" w:color="auto" w:fill="FFFFFF"/>
            <w:tcMar>
              <w:left w:w="108" w:type="dxa"/>
              <w:right w:w="108" w:type="dxa"/>
            </w:tcMar>
          </w:tcPr>
          <w:p w14:paraId="31B8AAF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14827EF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0,006</w:t>
            </w:r>
          </w:p>
        </w:tc>
      </w:tr>
      <w:tr w:rsidR="00E2476B" w14:paraId="101EC48A" w14:textId="77777777" w:rsidTr="0018419C">
        <w:trPr>
          <w:jc w:val="center"/>
        </w:trPr>
        <w:tc>
          <w:tcPr>
            <w:tcW w:w="9923" w:type="dxa"/>
            <w:gridSpan w:val="20"/>
            <w:tcBorders>
              <w:left w:val="single" w:sz="8" w:space="0" w:color="000000"/>
              <w:right w:val="single" w:sz="8" w:space="0" w:color="000000"/>
            </w:tcBorders>
            <w:shd w:val="clear" w:color="auto" w:fill="FFFFFF"/>
          </w:tcPr>
          <w:p w14:paraId="718B829D"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En couple au moment de l'enquête</w:t>
            </w:r>
          </w:p>
        </w:tc>
      </w:tr>
      <w:tr w:rsidR="00E2476B" w14:paraId="5297B35D" w14:textId="77777777" w:rsidTr="0018419C">
        <w:trPr>
          <w:jc w:val="center"/>
        </w:trPr>
        <w:tc>
          <w:tcPr>
            <w:tcW w:w="928" w:type="dxa"/>
            <w:tcBorders>
              <w:left w:val="single" w:sz="8" w:space="0" w:color="000000"/>
              <w:right w:val="single" w:sz="4" w:space="0" w:color="000000"/>
            </w:tcBorders>
            <w:shd w:val="clear" w:color="auto" w:fill="FFFFFF"/>
          </w:tcPr>
          <w:p w14:paraId="07668D38"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044461D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55,3</w:t>
            </w:r>
            <w:r>
              <w:rPr>
                <w:rFonts w:ascii="Times New Roman" w:eastAsia="Arial" w:hAnsi="Times New Roman" w:cs="Times New Roman"/>
                <w:color w:val="000000"/>
                <w:sz w:val="14"/>
                <w:szCs w:val="14"/>
              </w:rPr>
              <w:br/>
              <w:t>[42-68]</w:t>
            </w:r>
          </w:p>
        </w:tc>
        <w:tc>
          <w:tcPr>
            <w:tcW w:w="929" w:type="dxa"/>
            <w:gridSpan w:val="2"/>
            <w:tcBorders>
              <w:left w:val="single" w:sz="4" w:space="0" w:color="000000"/>
              <w:right w:val="single" w:sz="4" w:space="0" w:color="000000"/>
            </w:tcBorders>
            <w:shd w:val="clear" w:color="auto" w:fill="FFFFFF"/>
          </w:tcPr>
          <w:p w14:paraId="4E69DC9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57,9</w:t>
            </w:r>
            <w:r>
              <w:rPr>
                <w:rFonts w:ascii="Times New Roman" w:eastAsia="Arial" w:hAnsi="Times New Roman" w:cs="Times New Roman"/>
                <w:color w:val="000000"/>
                <w:sz w:val="14"/>
                <w:szCs w:val="14"/>
              </w:rPr>
              <w:br/>
              <w:t>[47-68]</w:t>
            </w:r>
          </w:p>
        </w:tc>
        <w:tc>
          <w:tcPr>
            <w:tcW w:w="931" w:type="dxa"/>
            <w:gridSpan w:val="2"/>
            <w:tcBorders>
              <w:left w:val="single" w:sz="4" w:space="0" w:color="000000"/>
              <w:right w:val="single" w:sz="4" w:space="0" w:color="000000"/>
            </w:tcBorders>
            <w:shd w:val="clear" w:color="auto" w:fill="FFFFFF"/>
          </w:tcPr>
          <w:p w14:paraId="4E40F0F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71,6</w:t>
            </w:r>
            <w:r>
              <w:rPr>
                <w:rFonts w:ascii="Times New Roman" w:eastAsia="Arial" w:hAnsi="Times New Roman" w:cs="Times New Roman"/>
                <w:color w:val="000000"/>
                <w:sz w:val="14"/>
                <w:szCs w:val="14"/>
              </w:rPr>
              <w:br/>
              <w:t>[71-73]</w:t>
            </w:r>
          </w:p>
        </w:tc>
        <w:tc>
          <w:tcPr>
            <w:tcW w:w="926" w:type="dxa"/>
            <w:gridSpan w:val="2"/>
            <w:tcBorders>
              <w:left w:val="single" w:sz="4" w:space="0" w:color="000000"/>
              <w:right w:val="single" w:sz="4" w:space="0" w:color="000000"/>
            </w:tcBorders>
            <w:shd w:val="clear" w:color="auto" w:fill="FFFFFF"/>
          </w:tcPr>
          <w:p w14:paraId="2C67FDB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54,4</w:t>
            </w:r>
            <w:r>
              <w:rPr>
                <w:rFonts w:ascii="Times New Roman" w:eastAsia="Arial" w:hAnsi="Times New Roman" w:cs="Times New Roman"/>
                <w:color w:val="000000"/>
                <w:sz w:val="14"/>
                <w:szCs w:val="14"/>
              </w:rPr>
              <w:br/>
              <w:t>[45-63]</w:t>
            </w:r>
          </w:p>
        </w:tc>
        <w:tc>
          <w:tcPr>
            <w:tcW w:w="925" w:type="dxa"/>
            <w:gridSpan w:val="2"/>
            <w:tcBorders>
              <w:left w:val="single" w:sz="4" w:space="0" w:color="000000"/>
              <w:right w:val="single" w:sz="4" w:space="0" w:color="000000"/>
            </w:tcBorders>
            <w:shd w:val="clear" w:color="auto" w:fill="FFFFFF"/>
          </w:tcPr>
          <w:p w14:paraId="2C7DC0E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29,4</w:t>
            </w:r>
            <w:r>
              <w:rPr>
                <w:rFonts w:ascii="Times New Roman" w:eastAsia="Arial" w:hAnsi="Times New Roman" w:cs="Times New Roman"/>
                <w:color w:val="000000"/>
                <w:sz w:val="14"/>
                <w:szCs w:val="14"/>
              </w:rPr>
              <w:br/>
              <w:t>[19-43]</w:t>
            </w:r>
          </w:p>
        </w:tc>
        <w:tc>
          <w:tcPr>
            <w:tcW w:w="929" w:type="dxa"/>
            <w:gridSpan w:val="2"/>
            <w:tcBorders>
              <w:left w:val="single" w:sz="4" w:space="0" w:color="000000"/>
              <w:right w:val="single" w:sz="4" w:space="0" w:color="000000"/>
            </w:tcBorders>
            <w:shd w:val="clear" w:color="auto" w:fill="FFFFFF"/>
          </w:tcPr>
          <w:p w14:paraId="6F5E532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73,7</w:t>
            </w:r>
            <w:r>
              <w:rPr>
                <w:rFonts w:ascii="Times New Roman" w:eastAsia="Arial" w:hAnsi="Times New Roman" w:cs="Times New Roman"/>
                <w:color w:val="000000"/>
                <w:sz w:val="14"/>
                <w:szCs w:val="14"/>
              </w:rPr>
              <w:br/>
              <w:t>[73-75]</w:t>
            </w:r>
          </w:p>
        </w:tc>
        <w:tc>
          <w:tcPr>
            <w:tcW w:w="856" w:type="dxa"/>
            <w:gridSpan w:val="2"/>
            <w:tcBorders>
              <w:left w:val="single" w:sz="4" w:space="0" w:color="000000"/>
              <w:right w:val="single" w:sz="4" w:space="0" w:color="000000"/>
            </w:tcBorders>
            <w:shd w:val="clear" w:color="auto" w:fill="FFFFFF"/>
          </w:tcPr>
          <w:p w14:paraId="10A9EFD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69,9</w:t>
            </w:r>
          </w:p>
        </w:tc>
        <w:tc>
          <w:tcPr>
            <w:tcW w:w="860" w:type="dxa"/>
            <w:gridSpan w:val="2"/>
            <w:tcBorders>
              <w:left w:val="single" w:sz="4" w:space="0" w:color="000000"/>
              <w:right w:val="single" w:sz="4" w:space="0" w:color="000000"/>
            </w:tcBorders>
            <w:shd w:val="clear" w:color="auto" w:fill="FFFFFF"/>
          </w:tcPr>
          <w:p w14:paraId="6261F22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61,2</w:t>
            </w:r>
          </w:p>
        </w:tc>
        <w:tc>
          <w:tcPr>
            <w:tcW w:w="854" w:type="dxa"/>
            <w:gridSpan w:val="2"/>
            <w:tcBorders>
              <w:left w:val="single" w:sz="4" w:space="0" w:color="000000"/>
              <w:right w:val="single" w:sz="4" w:space="0" w:color="000000"/>
            </w:tcBorders>
            <w:shd w:val="clear" w:color="auto" w:fill="FFFFFF"/>
          </w:tcPr>
          <w:p w14:paraId="62948C9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57,3</w:t>
            </w:r>
          </w:p>
        </w:tc>
        <w:tc>
          <w:tcPr>
            <w:tcW w:w="860" w:type="dxa"/>
            <w:gridSpan w:val="2"/>
            <w:tcBorders>
              <w:left w:val="single" w:sz="4" w:space="0" w:color="000000"/>
              <w:right w:val="single" w:sz="8" w:space="0" w:color="000000"/>
            </w:tcBorders>
            <w:shd w:val="clear" w:color="auto" w:fill="FFFFFF"/>
          </w:tcPr>
          <w:p w14:paraId="77E2CB2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52,4</w:t>
            </w:r>
          </w:p>
        </w:tc>
      </w:tr>
      <w:tr w:rsidR="00E2476B" w14:paraId="0E6EBF5D" w14:textId="77777777" w:rsidTr="0018419C">
        <w:trPr>
          <w:jc w:val="center"/>
        </w:trPr>
        <w:tc>
          <w:tcPr>
            <w:tcW w:w="928" w:type="dxa"/>
            <w:tcBorders>
              <w:left w:val="single" w:sz="8" w:space="0" w:color="000000"/>
              <w:right w:val="single" w:sz="4" w:space="0" w:color="000000"/>
            </w:tcBorders>
            <w:shd w:val="clear" w:color="auto" w:fill="FFFFFF"/>
          </w:tcPr>
          <w:p w14:paraId="20C8D2B9"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5348D82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44,1</w:t>
            </w:r>
            <w:r>
              <w:rPr>
                <w:rFonts w:ascii="Times New Roman" w:eastAsia="Arial" w:hAnsi="Times New Roman" w:cs="Times New Roman"/>
                <w:color w:val="000000"/>
                <w:sz w:val="14"/>
                <w:szCs w:val="14"/>
              </w:rPr>
              <w:br/>
              <w:t>[32-57]</w:t>
            </w:r>
          </w:p>
        </w:tc>
        <w:tc>
          <w:tcPr>
            <w:tcW w:w="929" w:type="dxa"/>
            <w:gridSpan w:val="2"/>
            <w:tcBorders>
              <w:left w:val="single" w:sz="4" w:space="0" w:color="000000"/>
              <w:right w:val="single" w:sz="4" w:space="0" w:color="000000"/>
            </w:tcBorders>
            <w:shd w:val="clear" w:color="auto" w:fill="FFFFFF"/>
          </w:tcPr>
          <w:p w14:paraId="2C9A0F7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41,8</w:t>
            </w:r>
            <w:r>
              <w:rPr>
                <w:rFonts w:ascii="Times New Roman" w:eastAsia="Arial" w:hAnsi="Times New Roman" w:cs="Times New Roman"/>
                <w:color w:val="000000"/>
                <w:sz w:val="14"/>
                <w:szCs w:val="14"/>
              </w:rPr>
              <w:br/>
              <w:t>[32-52]</w:t>
            </w:r>
          </w:p>
        </w:tc>
        <w:tc>
          <w:tcPr>
            <w:tcW w:w="931" w:type="dxa"/>
            <w:gridSpan w:val="2"/>
            <w:tcBorders>
              <w:left w:val="single" w:sz="4" w:space="0" w:color="000000"/>
              <w:right w:val="single" w:sz="4" w:space="0" w:color="000000"/>
            </w:tcBorders>
            <w:shd w:val="clear" w:color="auto" w:fill="FFFFFF"/>
          </w:tcPr>
          <w:p w14:paraId="2D4F146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27,5</w:t>
            </w:r>
            <w:r>
              <w:rPr>
                <w:rFonts w:ascii="Times New Roman" w:eastAsia="Arial" w:hAnsi="Times New Roman" w:cs="Times New Roman"/>
                <w:color w:val="000000"/>
                <w:sz w:val="14"/>
                <w:szCs w:val="14"/>
              </w:rPr>
              <w:br/>
              <w:t>[27-28]</w:t>
            </w:r>
          </w:p>
        </w:tc>
        <w:tc>
          <w:tcPr>
            <w:tcW w:w="926" w:type="dxa"/>
            <w:gridSpan w:val="2"/>
            <w:tcBorders>
              <w:left w:val="single" w:sz="4" w:space="0" w:color="000000"/>
              <w:right w:val="single" w:sz="4" w:space="0" w:color="000000"/>
            </w:tcBorders>
            <w:shd w:val="clear" w:color="auto" w:fill="FFFFFF"/>
          </w:tcPr>
          <w:p w14:paraId="4DCE8FA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45,3</w:t>
            </w:r>
            <w:r>
              <w:rPr>
                <w:rFonts w:ascii="Times New Roman" w:eastAsia="Arial" w:hAnsi="Times New Roman" w:cs="Times New Roman"/>
                <w:color w:val="000000"/>
                <w:sz w:val="14"/>
                <w:szCs w:val="14"/>
              </w:rPr>
              <w:br/>
              <w:t>[37-54]</w:t>
            </w:r>
          </w:p>
        </w:tc>
        <w:tc>
          <w:tcPr>
            <w:tcW w:w="925" w:type="dxa"/>
            <w:gridSpan w:val="2"/>
            <w:tcBorders>
              <w:left w:val="single" w:sz="4" w:space="0" w:color="000000"/>
              <w:right w:val="single" w:sz="4" w:space="0" w:color="000000"/>
            </w:tcBorders>
            <w:shd w:val="clear" w:color="auto" w:fill="FFFFFF"/>
          </w:tcPr>
          <w:p w14:paraId="0869EA8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70,1</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62566C3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25,4</w:t>
            </w:r>
            <w:r>
              <w:rPr>
                <w:rFonts w:ascii="Times New Roman" w:eastAsia="Arial" w:hAnsi="Times New Roman" w:cs="Times New Roman"/>
                <w:color w:val="000000"/>
                <w:sz w:val="14"/>
                <w:szCs w:val="14"/>
              </w:rPr>
              <w:br/>
              <w:t>[24-26]</w:t>
            </w:r>
          </w:p>
        </w:tc>
        <w:tc>
          <w:tcPr>
            <w:tcW w:w="856" w:type="dxa"/>
            <w:gridSpan w:val="2"/>
            <w:tcBorders>
              <w:left w:val="single" w:sz="4" w:space="0" w:color="000000"/>
              <w:right w:val="single" w:sz="4" w:space="0" w:color="000000"/>
            </w:tcBorders>
            <w:shd w:val="clear" w:color="auto" w:fill="FFFFFF"/>
          </w:tcPr>
          <w:p w14:paraId="2881946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27,9</w:t>
            </w:r>
          </w:p>
        </w:tc>
        <w:tc>
          <w:tcPr>
            <w:tcW w:w="860" w:type="dxa"/>
            <w:gridSpan w:val="2"/>
            <w:tcBorders>
              <w:left w:val="single" w:sz="4" w:space="0" w:color="000000"/>
              <w:right w:val="single" w:sz="4" w:space="0" w:color="000000"/>
            </w:tcBorders>
            <w:shd w:val="clear" w:color="auto" w:fill="FFFFFF"/>
          </w:tcPr>
          <w:p w14:paraId="0E261B6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36,4</w:t>
            </w:r>
          </w:p>
        </w:tc>
        <w:tc>
          <w:tcPr>
            <w:tcW w:w="854" w:type="dxa"/>
            <w:gridSpan w:val="2"/>
            <w:tcBorders>
              <w:left w:val="single" w:sz="4" w:space="0" w:color="000000"/>
              <w:right w:val="single" w:sz="4" w:space="0" w:color="000000"/>
            </w:tcBorders>
            <w:shd w:val="clear" w:color="auto" w:fill="FFFFFF"/>
          </w:tcPr>
          <w:p w14:paraId="66F5901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41,4</w:t>
            </w:r>
          </w:p>
        </w:tc>
        <w:tc>
          <w:tcPr>
            <w:tcW w:w="860" w:type="dxa"/>
            <w:gridSpan w:val="2"/>
            <w:tcBorders>
              <w:left w:val="single" w:sz="4" w:space="0" w:color="000000"/>
              <w:right w:val="single" w:sz="8" w:space="0" w:color="000000"/>
            </w:tcBorders>
            <w:shd w:val="clear" w:color="auto" w:fill="FFFFFF"/>
          </w:tcPr>
          <w:p w14:paraId="75A678A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46,3</w:t>
            </w:r>
          </w:p>
        </w:tc>
      </w:tr>
      <w:tr w:rsidR="00E2476B" w14:paraId="6D9FB606" w14:textId="77777777" w:rsidTr="0018419C">
        <w:trPr>
          <w:jc w:val="center"/>
        </w:trPr>
        <w:tc>
          <w:tcPr>
            <w:tcW w:w="928" w:type="dxa"/>
            <w:tcBorders>
              <w:left w:val="single" w:sz="8" w:space="0" w:color="000000"/>
              <w:right w:val="single" w:sz="4" w:space="0" w:color="000000"/>
            </w:tcBorders>
            <w:shd w:val="clear" w:color="auto" w:fill="FFFFFF"/>
          </w:tcPr>
          <w:p w14:paraId="49B00476"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5" w:type="dxa"/>
            <w:tcBorders>
              <w:left w:val="single" w:sz="4" w:space="0" w:color="000000"/>
              <w:right w:val="single" w:sz="4" w:space="0" w:color="000000"/>
            </w:tcBorders>
            <w:shd w:val="clear" w:color="auto" w:fill="FFFFFF"/>
          </w:tcPr>
          <w:p w14:paraId="00A80D1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r>
              <w:rPr>
                <w:rFonts w:ascii="Times New Roman" w:eastAsia="Arial" w:hAnsi="Times New Roman" w:cs="Times New Roman"/>
                <w:color w:val="000000"/>
                <w:sz w:val="14"/>
                <w:szCs w:val="14"/>
              </w:rPr>
              <w:br/>
              <w:t>[0,08-3,8]</w:t>
            </w:r>
          </w:p>
        </w:tc>
        <w:tc>
          <w:tcPr>
            <w:tcW w:w="929" w:type="dxa"/>
            <w:gridSpan w:val="2"/>
            <w:tcBorders>
              <w:left w:val="single" w:sz="4" w:space="0" w:color="000000"/>
              <w:right w:val="single" w:sz="4" w:space="0" w:color="000000"/>
            </w:tcBorders>
            <w:shd w:val="clear" w:color="auto" w:fill="FFFFFF"/>
          </w:tcPr>
          <w:p w14:paraId="4A0C011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r>
              <w:rPr>
                <w:rFonts w:ascii="Times New Roman" w:eastAsia="Arial" w:hAnsi="Times New Roman" w:cs="Times New Roman"/>
                <w:color w:val="000000"/>
                <w:sz w:val="14"/>
                <w:szCs w:val="14"/>
              </w:rPr>
              <w:br/>
              <w:t>[0,04-2,0]</w:t>
            </w:r>
          </w:p>
        </w:tc>
        <w:tc>
          <w:tcPr>
            <w:tcW w:w="931" w:type="dxa"/>
            <w:gridSpan w:val="2"/>
            <w:tcBorders>
              <w:left w:val="single" w:sz="4" w:space="0" w:color="000000"/>
              <w:right w:val="single" w:sz="4" w:space="0" w:color="000000"/>
            </w:tcBorders>
            <w:shd w:val="clear" w:color="auto" w:fill="FFFFFF"/>
          </w:tcPr>
          <w:p w14:paraId="49932E0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w:t>
            </w:r>
            <w:r>
              <w:rPr>
                <w:rFonts w:ascii="Times New Roman" w:eastAsia="Arial" w:hAnsi="Times New Roman" w:cs="Times New Roman"/>
                <w:color w:val="000000"/>
                <w:sz w:val="14"/>
                <w:szCs w:val="14"/>
              </w:rPr>
              <w:br/>
              <w:t>[0,75-1,2]</w:t>
            </w:r>
          </w:p>
        </w:tc>
        <w:tc>
          <w:tcPr>
            <w:tcW w:w="926" w:type="dxa"/>
            <w:gridSpan w:val="2"/>
            <w:tcBorders>
              <w:left w:val="single" w:sz="4" w:space="0" w:color="000000"/>
              <w:right w:val="single" w:sz="4" w:space="0" w:color="000000"/>
            </w:tcBorders>
            <w:shd w:val="clear" w:color="auto" w:fill="FFFFFF"/>
          </w:tcPr>
          <w:p w14:paraId="2E5A3B0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[0,09-1,7]</w:t>
            </w:r>
          </w:p>
        </w:tc>
        <w:tc>
          <w:tcPr>
            <w:tcW w:w="925" w:type="dxa"/>
            <w:gridSpan w:val="2"/>
            <w:tcBorders>
              <w:left w:val="single" w:sz="4" w:space="0" w:color="000000"/>
              <w:right w:val="single" w:sz="4" w:space="0" w:color="000000"/>
            </w:tcBorders>
            <w:shd w:val="clear" w:color="auto" w:fill="FFFFFF"/>
          </w:tcPr>
          <w:p w14:paraId="56967B7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r>
              <w:rPr>
                <w:rFonts w:ascii="Times New Roman" w:eastAsia="Arial" w:hAnsi="Times New Roman" w:cs="Times New Roman"/>
                <w:color w:val="000000"/>
                <w:sz w:val="14"/>
                <w:szCs w:val="14"/>
              </w:rPr>
              <w:br/>
              <w:t>[0,06-3,3]</w:t>
            </w:r>
          </w:p>
        </w:tc>
        <w:tc>
          <w:tcPr>
            <w:tcW w:w="929" w:type="dxa"/>
            <w:gridSpan w:val="2"/>
            <w:tcBorders>
              <w:left w:val="single" w:sz="4" w:space="0" w:color="000000"/>
              <w:right w:val="single" w:sz="4" w:space="0" w:color="000000"/>
            </w:tcBorders>
            <w:shd w:val="clear" w:color="auto" w:fill="FFFFFF"/>
          </w:tcPr>
          <w:p w14:paraId="660C5A5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r>
              <w:rPr>
                <w:rFonts w:ascii="Times New Roman" w:eastAsia="Arial" w:hAnsi="Times New Roman" w:cs="Times New Roman"/>
                <w:color w:val="000000"/>
                <w:sz w:val="14"/>
                <w:szCs w:val="14"/>
              </w:rPr>
              <w:br/>
              <w:t>[0,64-1,1]</w:t>
            </w:r>
          </w:p>
        </w:tc>
        <w:tc>
          <w:tcPr>
            <w:tcW w:w="856" w:type="dxa"/>
            <w:gridSpan w:val="2"/>
            <w:tcBorders>
              <w:left w:val="single" w:sz="4" w:space="0" w:color="000000"/>
              <w:right w:val="single" w:sz="4" w:space="0" w:color="000000"/>
            </w:tcBorders>
            <w:shd w:val="clear" w:color="auto" w:fill="FFFFFF"/>
          </w:tcPr>
          <w:p w14:paraId="02F316C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w:t>
            </w:r>
          </w:p>
        </w:tc>
        <w:tc>
          <w:tcPr>
            <w:tcW w:w="860" w:type="dxa"/>
            <w:gridSpan w:val="2"/>
            <w:tcBorders>
              <w:left w:val="single" w:sz="4" w:space="0" w:color="000000"/>
              <w:right w:val="single" w:sz="4" w:space="0" w:color="000000"/>
            </w:tcBorders>
            <w:shd w:val="clear" w:color="auto" w:fill="FFFFFF"/>
          </w:tcPr>
          <w:p w14:paraId="42BD68D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w:t>
            </w:r>
          </w:p>
        </w:tc>
        <w:tc>
          <w:tcPr>
            <w:tcW w:w="854" w:type="dxa"/>
            <w:gridSpan w:val="2"/>
            <w:tcBorders>
              <w:left w:val="single" w:sz="4" w:space="0" w:color="000000"/>
              <w:right w:val="single" w:sz="4" w:space="0" w:color="000000"/>
            </w:tcBorders>
            <w:shd w:val="clear" w:color="auto" w:fill="FFFFFF"/>
          </w:tcPr>
          <w:p w14:paraId="776CFCA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w:t>
            </w:r>
          </w:p>
        </w:tc>
        <w:tc>
          <w:tcPr>
            <w:tcW w:w="860" w:type="dxa"/>
            <w:gridSpan w:val="2"/>
            <w:tcBorders>
              <w:left w:val="single" w:sz="4" w:space="0" w:color="000000"/>
              <w:right w:val="single" w:sz="8" w:space="0" w:color="000000"/>
            </w:tcBorders>
            <w:shd w:val="clear" w:color="auto" w:fill="FFFFFF"/>
          </w:tcPr>
          <w:p w14:paraId="2B260BC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E2476B" w14:paraId="5AC3E49D" w14:textId="77777777" w:rsidTr="0018419C">
        <w:trPr>
          <w:jc w:val="center"/>
        </w:trPr>
        <w:tc>
          <w:tcPr>
            <w:tcW w:w="928" w:type="dxa"/>
            <w:tcBorders>
              <w:left w:val="single" w:sz="8" w:space="0" w:color="000000"/>
              <w:right w:val="single" w:sz="4" w:space="0" w:color="000000"/>
            </w:tcBorders>
            <w:shd w:val="clear" w:color="auto" w:fill="FFFFFF"/>
          </w:tcPr>
          <w:p w14:paraId="2316FC5E"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785" w:type="dxa"/>
            <w:gridSpan w:val="5"/>
            <w:tcBorders>
              <w:left w:val="single" w:sz="4" w:space="0" w:color="000000"/>
              <w:right w:val="single" w:sz="4" w:space="0" w:color="000000"/>
            </w:tcBorders>
            <w:shd w:val="clear" w:color="auto" w:fill="FFFFFF"/>
          </w:tcPr>
          <w:p w14:paraId="43DC631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0" w:type="dxa"/>
            <w:gridSpan w:val="6"/>
            <w:tcBorders>
              <w:left w:val="single" w:sz="4" w:space="0" w:color="000000"/>
              <w:right w:val="single" w:sz="4" w:space="0" w:color="000000"/>
            </w:tcBorders>
            <w:shd w:val="clear" w:color="auto" w:fill="FFFFFF"/>
            <w:tcMar>
              <w:left w:w="108" w:type="dxa"/>
              <w:right w:w="108" w:type="dxa"/>
            </w:tcMar>
          </w:tcPr>
          <w:p w14:paraId="78D3158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6" w:type="dxa"/>
            <w:gridSpan w:val="4"/>
            <w:tcBorders>
              <w:left w:val="single" w:sz="4" w:space="0" w:color="000000"/>
              <w:right w:val="single" w:sz="4" w:space="0" w:color="000000"/>
            </w:tcBorders>
            <w:shd w:val="clear" w:color="auto" w:fill="FFFFFF"/>
            <w:tcMar>
              <w:left w:w="108" w:type="dxa"/>
              <w:right w:w="108" w:type="dxa"/>
            </w:tcMar>
          </w:tcPr>
          <w:p w14:paraId="54ED5BD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30E84C4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r>
      <w:tr w:rsidR="00E2476B" w14:paraId="5BECD0E0" w14:textId="77777777" w:rsidTr="0018419C">
        <w:trPr>
          <w:jc w:val="center"/>
        </w:trPr>
        <w:tc>
          <w:tcPr>
            <w:tcW w:w="9923" w:type="dxa"/>
            <w:gridSpan w:val="20"/>
            <w:tcBorders>
              <w:left w:val="single" w:sz="8" w:space="0" w:color="000000"/>
              <w:right w:val="single" w:sz="8" w:space="0" w:color="000000"/>
            </w:tcBorders>
            <w:shd w:val="clear" w:color="auto" w:fill="FFFFFF"/>
          </w:tcPr>
          <w:p w14:paraId="28262F2E"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En couple au cours des 12 derniers mois (&gt; 4 mois)</w:t>
            </w:r>
          </w:p>
        </w:tc>
      </w:tr>
      <w:tr w:rsidR="00E2476B" w14:paraId="4FFDC549" w14:textId="77777777" w:rsidTr="0018419C">
        <w:trPr>
          <w:jc w:val="center"/>
        </w:trPr>
        <w:tc>
          <w:tcPr>
            <w:tcW w:w="928" w:type="dxa"/>
            <w:tcBorders>
              <w:left w:val="single" w:sz="8" w:space="0" w:color="000000"/>
              <w:right w:val="single" w:sz="4" w:space="0" w:color="000000"/>
            </w:tcBorders>
            <w:shd w:val="clear" w:color="auto" w:fill="FFFFFF"/>
          </w:tcPr>
          <w:p w14:paraId="2716010F"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1233749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63,3</w:t>
            </w:r>
            <w:r>
              <w:rPr>
                <w:rFonts w:ascii="Times New Roman" w:eastAsia="Arial" w:hAnsi="Times New Roman" w:cs="Times New Roman"/>
                <w:color w:val="000000"/>
                <w:sz w:val="14"/>
                <w:szCs w:val="14"/>
              </w:rPr>
              <w:br/>
              <w:t>[50-75]</w:t>
            </w:r>
          </w:p>
        </w:tc>
        <w:tc>
          <w:tcPr>
            <w:tcW w:w="929" w:type="dxa"/>
            <w:gridSpan w:val="2"/>
            <w:tcBorders>
              <w:left w:val="single" w:sz="4" w:space="0" w:color="000000"/>
              <w:right w:val="single" w:sz="4" w:space="0" w:color="000000"/>
            </w:tcBorders>
            <w:shd w:val="clear" w:color="auto" w:fill="FFFFFF"/>
          </w:tcPr>
          <w:p w14:paraId="5B0BA98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63,1</w:t>
            </w:r>
            <w:r>
              <w:rPr>
                <w:rFonts w:ascii="Times New Roman" w:eastAsia="Arial" w:hAnsi="Times New Roman" w:cs="Times New Roman"/>
                <w:color w:val="000000"/>
                <w:sz w:val="14"/>
                <w:szCs w:val="14"/>
              </w:rPr>
              <w:br/>
              <w:t>[53-72]</w:t>
            </w:r>
          </w:p>
        </w:tc>
        <w:tc>
          <w:tcPr>
            <w:tcW w:w="931" w:type="dxa"/>
            <w:gridSpan w:val="2"/>
            <w:tcBorders>
              <w:left w:val="single" w:sz="4" w:space="0" w:color="000000"/>
              <w:right w:val="single" w:sz="4" w:space="0" w:color="000000"/>
            </w:tcBorders>
            <w:shd w:val="clear" w:color="auto" w:fill="FFFFFF"/>
          </w:tcPr>
          <w:p w14:paraId="69738B7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73,2</w:t>
            </w:r>
            <w:r>
              <w:rPr>
                <w:rFonts w:ascii="Times New Roman" w:eastAsia="Arial" w:hAnsi="Times New Roman" w:cs="Times New Roman"/>
                <w:color w:val="000000"/>
                <w:sz w:val="14"/>
                <w:szCs w:val="14"/>
              </w:rPr>
              <w:br/>
              <w:t>[72-74]</w:t>
            </w:r>
          </w:p>
        </w:tc>
        <w:tc>
          <w:tcPr>
            <w:tcW w:w="926" w:type="dxa"/>
            <w:gridSpan w:val="2"/>
            <w:tcBorders>
              <w:left w:val="single" w:sz="4" w:space="0" w:color="000000"/>
              <w:right w:val="single" w:sz="4" w:space="0" w:color="000000"/>
            </w:tcBorders>
            <w:shd w:val="clear" w:color="auto" w:fill="FFFFFF"/>
          </w:tcPr>
          <w:p w14:paraId="10BB266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58,7</w:t>
            </w:r>
            <w:r>
              <w:rPr>
                <w:rFonts w:ascii="Times New Roman" w:eastAsia="Arial" w:hAnsi="Times New Roman" w:cs="Times New Roman"/>
                <w:color w:val="000000"/>
                <w:sz w:val="14"/>
                <w:szCs w:val="14"/>
              </w:rPr>
              <w:br/>
              <w:t>[50-67]</w:t>
            </w:r>
          </w:p>
        </w:tc>
        <w:tc>
          <w:tcPr>
            <w:tcW w:w="925" w:type="dxa"/>
            <w:gridSpan w:val="2"/>
            <w:tcBorders>
              <w:left w:val="single" w:sz="4" w:space="0" w:color="000000"/>
              <w:right w:val="single" w:sz="4" w:space="0" w:color="000000"/>
            </w:tcBorders>
            <w:shd w:val="clear" w:color="auto" w:fill="FFFFFF"/>
          </w:tcPr>
          <w:p w14:paraId="76BC4D9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29,4</w:t>
            </w:r>
            <w:r>
              <w:rPr>
                <w:rFonts w:ascii="Times New Roman" w:eastAsia="Arial" w:hAnsi="Times New Roman" w:cs="Times New Roman"/>
                <w:color w:val="000000"/>
                <w:sz w:val="14"/>
                <w:szCs w:val="14"/>
              </w:rPr>
              <w:br/>
              <w:t>[19-43]</w:t>
            </w:r>
          </w:p>
        </w:tc>
        <w:tc>
          <w:tcPr>
            <w:tcW w:w="929" w:type="dxa"/>
            <w:gridSpan w:val="2"/>
            <w:tcBorders>
              <w:left w:val="single" w:sz="4" w:space="0" w:color="000000"/>
              <w:right w:val="single" w:sz="4" w:space="0" w:color="000000"/>
            </w:tcBorders>
            <w:shd w:val="clear" w:color="auto" w:fill="FFFFFF"/>
          </w:tcPr>
          <w:p w14:paraId="30FACCA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75,8</w:t>
            </w:r>
            <w:r>
              <w:rPr>
                <w:rFonts w:ascii="Times New Roman" w:eastAsia="Arial" w:hAnsi="Times New Roman" w:cs="Times New Roman"/>
                <w:color w:val="000000"/>
                <w:sz w:val="14"/>
                <w:szCs w:val="14"/>
              </w:rPr>
              <w:br/>
              <w:t>[75-77]</w:t>
            </w:r>
          </w:p>
        </w:tc>
        <w:tc>
          <w:tcPr>
            <w:tcW w:w="856" w:type="dxa"/>
            <w:gridSpan w:val="2"/>
            <w:tcBorders>
              <w:left w:val="single" w:sz="4" w:space="0" w:color="000000"/>
              <w:right w:val="single" w:sz="4" w:space="0" w:color="000000"/>
            </w:tcBorders>
            <w:shd w:val="clear" w:color="auto" w:fill="FFFFFF"/>
          </w:tcPr>
          <w:p w14:paraId="208A71F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74,2</w:t>
            </w:r>
          </w:p>
        </w:tc>
        <w:tc>
          <w:tcPr>
            <w:tcW w:w="860" w:type="dxa"/>
            <w:gridSpan w:val="2"/>
            <w:tcBorders>
              <w:left w:val="single" w:sz="4" w:space="0" w:color="000000"/>
              <w:right w:val="single" w:sz="4" w:space="0" w:color="000000"/>
            </w:tcBorders>
            <w:shd w:val="clear" w:color="auto" w:fill="FFFFFF"/>
          </w:tcPr>
          <w:p w14:paraId="7A440E1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68,0</w:t>
            </w:r>
          </w:p>
        </w:tc>
        <w:tc>
          <w:tcPr>
            <w:tcW w:w="854" w:type="dxa"/>
            <w:gridSpan w:val="2"/>
            <w:tcBorders>
              <w:left w:val="single" w:sz="4" w:space="0" w:color="000000"/>
              <w:right w:val="single" w:sz="4" w:space="0" w:color="000000"/>
            </w:tcBorders>
            <w:shd w:val="clear" w:color="auto" w:fill="FFFFFF"/>
          </w:tcPr>
          <w:p w14:paraId="1FDE5D8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59,9</w:t>
            </w:r>
          </w:p>
        </w:tc>
        <w:tc>
          <w:tcPr>
            <w:tcW w:w="860" w:type="dxa"/>
            <w:gridSpan w:val="2"/>
            <w:tcBorders>
              <w:left w:val="single" w:sz="4" w:space="0" w:color="000000"/>
              <w:right w:val="single" w:sz="8" w:space="0" w:color="000000"/>
            </w:tcBorders>
            <w:shd w:val="clear" w:color="auto" w:fill="FFFFFF"/>
          </w:tcPr>
          <w:p w14:paraId="30B5F82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54,6</w:t>
            </w:r>
          </w:p>
        </w:tc>
      </w:tr>
      <w:tr w:rsidR="00E2476B" w14:paraId="7BE4DADA" w14:textId="77777777" w:rsidTr="0018419C">
        <w:trPr>
          <w:jc w:val="center"/>
        </w:trPr>
        <w:tc>
          <w:tcPr>
            <w:tcW w:w="928" w:type="dxa"/>
            <w:tcBorders>
              <w:left w:val="single" w:sz="8" w:space="0" w:color="000000"/>
              <w:right w:val="single" w:sz="4" w:space="0" w:color="000000"/>
            </w:tcBorders>
            <w:shd w:val="clear" w:color="auto" w:fill="FFFFFF"/>
          </w:tcPr>
          <w:p w14:paraId="5586688C"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2065935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36,7</w:t>
            </w:r>
            <w:r>
              <w:rPr>
                <w:rFonts w:ascii="Times New Roman" w:eastAsia="Arial" w:hAnsi="Times New Roman" w:cs="Times New Roman"/>
                <w:color w:val="000000"/>
                <w:sz w:val="14"/>
                <w:szCs w:val="14"/>
              </w:rPr>
              <w:br/>
              <w:t>[25-50]</w:t>
            </w:r>
          </w:p>
        </w:tc>
        <w:tc>
          <w:tcPr>
            <w:tcW w:w="929" w:type="dxa"/>
            <w:gridSpan w:val="2"/>
            <w:tcBorders>
              <w:left w:val="single" w:sz="4" w:space="0" w:color="000000"/>
              <w:right w:val="single" w:sz="4" w:space="0" w:color="000000"/>
            </w:tcBorders>
            <w:shd w:val="clear" w:color="auto" w:fill="FFFFFF"/>
          </w:tcPr>
          <w:p w14:paraId="73D200D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36,9</w:t>
            </w:r>
            <w:r>
              <w:rPr>
                <w:rFonts w:ascii="Times New Roman" w:eastAsia="Arial" w:hAnsi="Times New Roman" w:cs="Times New Roman"/>
                <w:color w:val="000000"/>
                <w:sz w:val="14"/>
                <w:szCs w:val="14"/>
              </w:rPr>
              <w:br/>
              <w:t>[28-47]</w:t>
            </w:r>
          </w:p>
        </w:tc>
        <w:tc>
          <w:tcPr>
            <w:tcW w:w="931" w:type="dxa"/>
            <w:gridSpan w:val="2"/>
            <w:tcBorders>
              <w:left w:val="single" w:sz="4" w:space="0" w:color="000000"/>
              <w:right w:val="single" w:sz="4" w:space="0" w:color="000000"/>
            </w:tcBorders>
            <w:shd w:val="clear" w:color="auto" w:fill="FFFFFF"/>
          </w:tcPr>
          <w:p w14:paraId="5A78081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[26-28]</w:t>
            </w:r>
          </w:p>
        </w:tc>
        <w:tc>
          <w:tcPr>
            <w:tcW w:w="926" w:type="dxa"/>
            <w:gridSpan w:val="2"/>
            <w:tcBorders>
              <w:left w:val="single" w:sz="4" w:space="0" w:color="000000"/>
              <w:right w:val="single" w:sz="4" w:space="0" w:color="000000"/>
            </w:tcBorders>
            <w:shd w:val="clear" w:color="auto" w:fill="FFFFFF"/>
          </w:tcPr>
          <w:p w14:paraId="49DAF9C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41,3</w:t>
            </w:r>
            <w:r>
              <w:rPr>
                <w:rFonts w:ascii="Times New Roman" w:eastAsia="Arial" w:hAnsi="Times New Roman" w:cs="Times New Roman"/>
                <w:color w:val="000000"/>
                <w:sz w:val="14"/>
                <w:szCs w:val="14"/>
              </w:rPr>
              <w:br/>
              <w:t>[33-50]</w:t>
            </w:r>
          </w:p>
        </w:tc>
        <w:tc>
          <w:tcPr>
            <w:tcW w:w="925" w:type="dxa"/>
            <w:gridSpan w:val="2"/>
            <w:tcBorders>
              <w:left w:val="single" w:sz="4" w:space="0" w:color="000000"/>
              <w:right w:val="single" w:sz="4" w:space="0" w:color="000000"/>
            </w:tcBorders>
            <w:shd w:val="clear" w:color="auto" w:fill="FFFFFF"/>
          </w:tcPr>
          <w:p w14:paraId="70AC18B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70,6</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153CCF6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r>
              <w:rPr>
                <w:rFonts w:ascii="Times New Roman" w:eastAsia="Arial" w:hAnsi="Times New Roman" w:cs="Times New Roman"/>
                <w:color w:val="000000"/>
                <w:sz w:val="14"/>
                <w:szCs w:val="14"/>
              </w:rPr>
              <w:br/>
              <w:t>[23-25]</w:t>
            </w:r>
          </w:p>
        </w:tc>
        <w:tc>
          <w:tcPr>
            <w:tcW w:w="856" w:type="dxa"/>
            <w:gridSpan w:val="2"/>
            <w:tcBorders>
              <w:left w:val="single" w:sz="4" w:space="0" w:color="000000"/>
              <w:right w:val="single" w:sz="4" w:space="0" w:color="000000"/>
            </w:tcBorders>
            <w:shd w:val="clear" w:color="auto" w:fill="FFFFFF"/>
          </w:tcPr>
          <w:p w14:paraId="58EDF27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25,8</w:t>
            </w:r>
          </w:p>
        </w:tc>
        <w:tc>
          <w:tcPr>
            <w:tcW w:w="860" w:type="dxa"/>
            <w:gridSpan w:val="2"/>
            <w:tcBorders>
              <w:left w:val="single" w:sz="4" w:space="0" w:color="000000"/>
              <w:right w:val="single" w:sz="4" w:space="0" w:color="000000"/>
            </w:tcBorders>
            <w:shd w:val="clear" w:color="auto" w:fill="FFFFFF"/>
          </w:tcPr>
          <w:p w14:paraId="3B7CB59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32,0</w:t>
            </w:r>
          </w:p>
        </w:tc>
        <w:tc>
          <w:tcPr>
            <w:tcW w:w="854" w:type="dxa"/>
            <w:gridSpan w:val="2"/>
            <w:tcBorders>
              <w:left w:val="single" w:sz="4" w:space="0" w:color="000000"/>
              <w:right w:val="single" w:sz="4" w:space="0" w:color="000000"/>
            </w:tcBorders>
            <w:shd w:val="clear" w:color="auto" w:fill="FFFFFF"/>
          </w:tcPr>
          <w:p w14:paraId="3A4E8E2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40,1</w:t>
            </w:r>
          </w:p>
        </w:tc>
        <w:tc>
          <w:tcPr>
            <w:tcW w:w="860" w:type="dxa"/>
            <w:gridSpan w:val="2"/>
            <w:tcBorders>
              <w:left w:val="single" w:sz="4" w:space="0" w:color="000000"/>
              <w:right w:val="single" w:sz="8" w:space="0" w:color="000000"/>
            </w:tcBorders>
            <w:shd w:val="clear" w:color="auto" w:fill="FFFFFF"/>
          </w:tcPr>
          <w:p w14:paraId="72B098D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45,4</w:t>
            </w:r>
          </w:p>
        </w:tc>
      </w:tr>
      <w:tr w:rsidR="00E2476B" w14:paraId="29B7A5E0" w14:textId="77777777" w:rsidTr="0018419C">
        <w:trPr>
          <w:jc w:val="center"/>
        </w:trPr>
        <w:tc>
          <w:tcPr>
            <w:tcW w:w="928" w:type="dxa"/>
            <w:tcBorders>
              <w:left w:val="single" w:sz="8" w:space="0" w:color="000000"/>
              <w:right w:val="single" w:sz="4" w:space="0" w:color="000000"/>
            </w:tcBorders>
            <w:shd w:val="clear" w:color="auto" w:fill="FFFFFF"/>
          </w:tcPr>
          <w:p w14:paraId="15ACE08C"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785" w:type="dxa"/>
            <w:gridSpan w:val="5"/>
            <w:tcBorders>
              <w:left w:val="single" w:sz="4" w:space="0" w:color="000000"/>
              <w:right w:val="single" w:sz="4" w:space="0" w:color="000000"/>
            </w:tcBorders>
            <w:shd w:val="clear" w:color="auto" w:fill="FFFFFF"/>
          </w:tcPr>
          <w:p w14:paraId="242F1E5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0,032</w:t>
            </w:r>
          </w:p>
        </w:tc>
        <w:tc>
          <w:tcPr>
            <w:tcW w:w="2780" w:type="dxa"/>
            <w:gridSpan w:val="6"/>
            <w:tcBorders>
              <w:left w:val="single" w:sz="4" w:space="0" w:color="000000"/>
              <w:right w:val="single" w:sz="4" w:space="0" w:color="000000"/>
            </w:tcBorders>
            <w:shd w:val="clear" w:color="auto" w:fill="FFFFFF"/>
            <w:tcMar>
              <w:left w:w="108" w:type="dxa"/>
              <w:right w:w="108" w:type="dxa"/>
            </w:tcMar>
          </w:tcPr>
          <w:p w14:paraId="3EACEF3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6" w:type="dxa"/>
            <w:gridSpan w:val="4"/>
            <w:tcBorders>
              <w:left w:val="single" w:sz="4" w:space="0" w:color="000000"/>
              <w:right w:val="single" w:sz="4" w:space="0" w:color="000000"/>
            </w:tcBorders>
            <w:shd w:val="clear" w:color="auto" w:fill="FFFFFF"/>
            <w:tcMar>
              <w:left w:w="108" w:type="dxa"/>
              <w:right w:w="108" w:type="dxa"/>
            </w:tcMar>
          </w:tcPr>
          <w:p w14:paraId="0B62D10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0,002</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68F8BEA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0,071</w:t>
            </w:r>
          </w:p>
        </w:tc>
      </w:tr>
      <w:tr w:rsidR="00E2476B" w14:paraId="4E17EFB3" w14:textId="77777777" w:rsidTr="0018419C">
        <w:trPr>
          <w:jc w:val="center"/>
        </w:trPr>
        <w:tc>
          <w:tcPr>
            <w:tcW w:w="9923" w:type="dxa"/>
            <w:gridSpan w:val="20"/>
            <w:tcBorders>
              <w:left w:val="single" w:sz="8" w:space="0" w:color="000000"/>
              <w:right w:val="single" w:sz="8" w:space="0" w:color="000000"/>
            </w:tcBorders>
            <w:shd w:val="clear" w:color="auto" w:fill="FFFFFF"/>
          </w:tcPr>
          <w:p w14:paraId="0563509B"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A des enfants</w:t>
            </w:r>
          </w:p>
        </w:tc>
      </w:tr>
      <w:tr w:rsidR="00E2476B" w14:paraId="25D6B886" w14:textId="77777777" w:rsidTr="0018419C">
        <w:trPr>
          <w:jc w:val="center"/>
        </w:trPr>
        <w:tc>
          <w:tcPr>
            <w:tcW w:w="928" w:type="dxa"/>
            <w:tcBorders>
              <w:left w:val="single" w:sz="8" w:space="0" w:color="000000"/>
              <w:right w:val="single" w:sz="4" w:space="0" w:color="000000"/>
            </w:tcBorders>
            <w:shd w:val="clear" w:color="auto" w:fill="FFFFFF"/>
          </w:tcPr>
          <w:p w14:paraId="07537202"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2749713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20,7</w:t>
            </w:r>
            <w:r>
              <w:rPr>
                <w:rFonts w:ascii="Times New Roman" w:eastAsia="Arial" w:hAnsi="Times New Roman" w:cs="Times New Roman"/>
                <w:color w:val="000000"/>
                <w:sz w:val="14"/>
                <w:szCs w:val="14"/>
              </w:rPr>
              <w:br/>
              <w:t>[13-32]</w:t>
            </w:r>
          </w:p>
        </w:tc>
        <w:tc>
          <w:tcPr>
            <w:tcW w:w="929" w:type="dxa"/>
            <w:gridSpan w:val="2"/>
            <w:tcBorders>
              <w:left w:val="single" w:sz="4" w:space="0" w:color="000000"/>
              <w:right w:val="single" w:sz="4" w:space="0" w:color="000000"/>
            </w:tcBorders>
            <w:shd w:val="clear" w:color="auto" w:fill="FFFFFF"/>
          </w:tcPr>
          <w:p w14:paraId="478A526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45,9</w:t>
            </w:r>
            <w:r>
              <w:rPr>
                <w:rFonts w:ascii="Times New Roman" w:eastAsia="Arial" w:hAnsi="Times New Roman" w:cs="Times New Roman"/>
                <w:color w:val="000000"/>
                <w:sz w:val="14"/>
                <w:szCs w:val="14"/>
              </w:rPr>
              <w:br/>
              <w:t>[36-57]</w:t>
            </w:r>
          </w:p>
        </w:tc>
        <w:tc>
          <w:tcPr>
            <w:tcW w:w="931" w:type="dxa"/>
            <w:gridSpan w:val="2"/>
            <w:tcBorders>
              <w:left w:val="single" w:sz="4" w:space="0" w:color="000000"/>
              <w:right w:val="single" w:sz="4" w:space="0" w:color="000000"/>
            </w:tcBorders>
            <w:shd w:val="clear" w:color="auto" w:fill="FFFFFF"/>
          </w:tcPr>
          <w:p w14:paraId="2088356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73,7</w:t>
            </w:r>
            <w:r>
              <w:rPr>
                <w:rFonts w:ascii="Times New Roman" w:eastAsia="Arial" w:hAnsi="Times New Roman" w:cs="Times New Roman"/>
                <w:color w:val="000000"/>
                <w:sz w:val="14"/>
                <w:szCs w:val="14"/>
              </w:rPr>
              <w:br/>
              <w:t>[73-75]</w:t>
            </w:r>
          </w:p>
        </w:tc>
        <w:tc>
          <w:tcPr>
            <w:tcW w:w="926" w:type="dxa"/>
            <w:gridSpan w:val="2"/>
            <w:tcBorders>
              <w:left w:val="single" w:sz="4" w:space="0" w:color="000000"/>
              <w:right w:val="single" w:sz="4" w:space="0" w:color="000000"/>
            </w:tcBorders>
            <w:shd w:val="clear" w:color="auto" w:fill="FFFFFF"/>
          </w:tcPr>
          <w:p w14:paraId="247661A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6,2</w:t>
            </w:r>
            <w:r>
              <w:rPr>
                <w:rFonts w:ascii="Times New Roman" w:eastAsia="Arial" w:hAnsi="Times New Roman" w:cs="Times New Roman"/>
                <w:color w:val="000000"/>
                <w:sz w:val="14"/>
                <w:szCs w:val="14"/>
              </w:rPr>
              <w:br/>
              <w:t>[3,1-12]</w:t>
            </w:r>
          </w:p>
        </w:tc>
        <w:tc>
          <w:tcPr>
            <w:tcW w:w="925" w:type="dxa"/>
            <w:gridSpan w:val="2"/>
            <w:tcBorders>
              <w:left w:val="single" w:sz="4" w:space="0" w:color="000000"/>
              <w:right w:val="single" w:sz="4" w:space="0" w:color="000000"/>
            </w:tcBorders>
            <w:shd w:val="clear" w:color="auto" w:fill="FFFFFF"/>
          </w:tcPr>
          <w:p w14:paraId="6C8E03D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41,8</w:t>
            </w:r>
            <w:r>
              <w:rPr>
                <w:rFonts w:ascii="Times New Roman" w:eastAsia="Arial" w:hAnsi="Times New Roman" w:cs="Times New Roman"/>
                <w:color w:val="000000"/>
                <w:sz w:val="14"/>
                <w:szCs w:val="14"/>
              </w:rPr>
              <w:br/>
              <w:t>[28-56]</w:t>
            </w:r>
          </w:p>
        </w:tc>
        <w:tc>
          <w:tcPr>
            <w:tcW w:w="929" w:type="dxa"/>
            <w:gridSpan w:val="2"/>
            <w:tcBorders>
              <w:left w:val="single" w:sz="4" w:space="0" w:color="000000"/>
              <w:right w:val="single" w:sz="4" w:space="0" w:color="000000"/>
            </w:tcBorders>
            <w:shd w:val="clear" w:color="auto" w:fill="FFFFFF"/>
          </w:tcPr>
          <w:p w14:paraId="1F36085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66,0</w:t>
            </w:r>
            <w:r>
              <w:rPr>
                <w:rFonts w:ascii="Times New Roman" w:eastAsia="Arial" w:hAnsi="Times New Roman" w:cs="Times New Roman"/>
                <w:color w:val="000000"/>
                <w:sz w:val="14"/>
                <w:szCs w:val="14"/>
              </w:rPr>
              <w:br/>
              <w:t>[65-67]</w:t>
            </w:r>
          </w:p>
        </w:tc>
        <w:tc>
          <w:tcPr>
            <w:tcW w:w="856" w:type="dxa"/>
            <w:gridSpan w:val="2"/>
            <w:tcBorders>
              <w:left w:val="single" w:sz="4" w:space="0" w:color="000000"/>
              <w:right w:val="single" w:sz="4" w:space="0" w:color="000000"/>
            </w:tcBorders>
            <w:shd w:val="clear" w:color="auto" w:fill="FFFFFF"/>
          </w:tcPr>
          <w:p w14:paraId="76EB35D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15,5</w:t>
            </w:r>
          </w:p>
        </w:tc>
        <w:tc>
          <w:tcPr>
            <w:tcW w:w="860" w:type="dxa"/>
            <w:gridSpan w:val="2"/>
            <w:tcBorders>
              <w:left w:val="single" w:sz="4" w:space="0" w:color="000000"/>
              <w:right w:val="single" w:sz="4" w:space="0" w:color="000000"/>
            </w:tcBorders>
            <w:shd w:val="clear" w:color="auto" w:fill="FFFFFF"/>
          </w:tcPr>
          <w:p w14:paraId="387D6E7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12,1</w:t>
            </w:r>
          </w:p>
        </w:tc>
        <w:tc>
          <w:tcPr>
            <w:tcW w:w="854" w:type="dxa"/>
            <w:gridSpan w:val="2"/>
            <w:tcBorders>
              <w:left w:val="single" w:sz="4" w:space="0" w:color="000000"/>
              <w:right w:val="single" w:sz="4" w:space="0" w:color="000000"/>
            </w:tcBorders>
            <w:shd w:val="clear" w:color="auto" w:fill="FFFFFF"/>
          </w:tcPr>
          <w:p w14:paraId="3F02D04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8,6</w:t>
            </w:r>
          </w:p>
        </w:tc>
        <w:tc>
          <w:tcPr>
            <w:tcW w:w="860" w:type="dxa"/>
            <w:gridSpan w:val="2"/>
            <w:tcBorders>
              <w:left w:val="single" w:sz="4" w:space="0" w:color="000000"/>
              <w:right w:val="single" w:sz="8" w:space="0" w:color="000000"/>
            </w:tcBorders>
            <w:shd w:val="clear" w:color="auto" w:fill="FFFFFF"/>
          </w:tcPr>
          <w:p w14:paraId="69FCE47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p>
        </w:tc>
      </w:tr>
      <w:tr w:rsidR="00E2476B" w14:paraId="0A6CB7A0" w14:textId="77777777" w:rsidTr="0018419C">
        <w:trPr>
          <w:jc w:val="center"/>
        </w:trPr>
        <w:tc>
          <w:tcPr>
            <w:tcW w:w="928" w:type="dxa"/>
            <w:tcBorders>
              <w:left w:val="single" w:sz="8" w:space="0" w:color="000000"/>
              <w:right w:val="single" w:sz="4" w:space="0" w:color="000000"/>
            </w:tcBorders>
            <w:shd w:val="clear" w:color="auto" w:fill="FFFFFF"/>
          </w:tcPr>
          <w:p w14:paraId="3971C519"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5CA3107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79,3</w:t>
            </w:r>
            <w:r>
              <w:rPr>
                <w:rFonts w:ascii="Times New Roman" w:eastAsia="Arial" w:hAnsi="Times New Roman" w:cs="Times New Roman"/>
                <w:color w:val="000000"/>
                <w:sz w:val="14"/>
                <w:szCs w:val="14"/>
              </w:rPr>
              <w:br/>
              <w:t>[68-87]</w:t>
            </w:r>
          </w:p>
        </w:tc>
        <w:tc>
          <w:tcPr>
            <w:tcW w:w="929" w:type="dxa"/>
            <w:gridSpan w:val="2"/>
            <w:tcBorders>
              <w:left w:val="single" w:sz="4" w:space="0" w:color="000000"/>
              <w:right w:val="single" w:sz="4" w:space="0" w:color="000000"/>
            </w:tcBorders>
            <w:shd w:val="clear" w:color="auto" w:fill="FFFFFF"/>
          </w:tcPr>
          <w:p w14:paraId="76BAC06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54,1</w:t>
            </w:r>
            <w:r>
              <w:rPr>
                <w:rFonts w:ascii="Times New Roman" w:eastAsia="Arial" w:hAnsi="Times New Roman" w:cs="Times New Roman"/>
                <w:color w:val="000000"/>
                <w:sz w:val="14"/>
                <w:szCs w:val="14"/>
              </w:rPr>
              <w:br/>
              <w:t>[43-64]</w:t>
            </w:r>
          </w:p>
        </w:tc>
        <w:tc>
          <w:tcPr>
            <w:tcW w:w="931" w:type="dxa"/>
            <w:gridSpan w:val="2"/>
            <w:tcBorders>
              <w:left w:val="single" w:sz="4" w:space="0" w:color="000000"/>
              <w:right w:val="single" w:sz="4" w:space="0" w:color="000000"/>
            </w:tcBorders>
            <w:shd w:val="clear" w:color="auto" w:fill="FFFFFF"/>
          </w:tcPr>
          <w:p w14:paraId="7573105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26,3</w:t>
            </w:r>
            <w:r>
              <w:rPr>
                <w:rFonts w:ascii="Times New Roman" w:eastAsia="Arial" w:hAnsi="Times New Roman" w:cs="Times New Roman"/>
                <w:color w:val="000000"/>
                <w:sz w:val="14"/>
                <w:szCs w:val="14"/>
              </w:rPr>
              <w:br/>
              <w:t>[25-27]</w:t>
            </w:r>
          </w:p>
        </w:tc>
        <w:tc>
          <w:tcPr>
            <w:tcW w:w="926" w:type="dxa"/>
            <w:gridSpan w:val="2"/>
            <w:tcBorders>
              <w:left w:val="single" w:sz="4" w:space="0" w:color="000000"/>
              <w:right w:val="single" w:sz="4" w:space="0" w:color="000000"/>
            </w:tcBorders>
            <w:shd w:val="clear" w:color="auto" w:fill="FFFFFF"/>
          </w:tcPr>
          <w:p w14:paraId="5A46E85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93,8</w:t>
            </w:r>
            <w:r>
              <w:rPr>
                <w:rFonts w:ascii="Times New Roman" w:eastAsia="Arial" w:hAnsi="Times New Roman" w:cs="Times New Roman"/>
                <w:color w:val="000000"/>
                <w:sz w:val="14"/>
                <w:szCs w:val="14"/>
              </w:rPr>
              <w:br/>
              <w:t>[88-97]</w:t>
            </w:r>
          </w:p>
        </w:tc>
        <w:tc>
          <w:tcPr>
            <w:tcW w:w="925" w:type="dxa"/>
            <w:gridSpan w:val="2"/>
            <w:tcBorders>
              <w:left w:val="single" w:sz="4" w:space="0" w:color="000000"/>
              <w:right w:val="single" w:sz="4" w:space="0" w:color="000000"/>
            </w:tcBorders>
            <w:shd w:val="clear" w:color="auto" w:fill="FFFFFF"/>
          </w:tcPr>
          <w:p w14:paraId="6D4C52D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58,2</w:t>
            </w:r>
            <w:r>
              <w:rPr>
                <w:rFonts w:ascii="Times New Roman" w:eastAsia="Arial" w:hAnsi="Times New Roman" w:cs="Times New Roman"/>
                <w:color w:val="000000"/>
                <w:sz w:val="14"/>
                <w:szCs w:val="14"/>
              </w:rPr>
              <w:br/>
              <w:t>[44-72]</w:t>
            </w:r>
          </w:p>
        </w:tc>
        <w:tc>
          <w:tcPr>
            <w:tcW w:w="929" w:type="dxa"/>
            <w:gridSpan w:val="2"/>
            <w:tcBorders>
              <w:left w:val="single" w:sz="4" w:space="0" w:color="000000"/>
              <w:right w:val="single" w:sz="4" w:space="0" w:color="000000"/>
            </w:tcBorders>
            <w:shd w:val="clear" w:color="auto" w:fill="FFFFFF"/>
          </w:tcPr>
          <w:p w14:paraId="2413821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34,0</w:t>
            </w:r>
            <w:r>
              <w:rPr>
                <w:rFonts w:ascii="Times New Roman" w:eastAsia="Arial" w:hAnsi="Times New Roman" w:cs="Times New Roman"/>
                <w:color w:val="000000"/>
                <w:sz w:val="14"/>
                <w:szCs w:val="14"/>
              </w:rPr>
              <w:br/>
              <w:t>[33-35]</w:t>
            </w:r>
          </w:p>
        </w:tc>
        <w:tc>
          <w:tcPr>
            <w:tcW w:w="856" w:type="dxa"/>
            <w:gridSpan w:val="2"/>
            <w:tcBorders>
              <w:left w:val="single" w:sz="4" w:space="0" w:color="000000"/>
              <w:right w:val="single" w:sz="4" w:space="0" w:color="000000"/>
            </w:tcBorders>
            <w:shd w:val="clear" w:color="auto" w:fill="FFFFFF"/>
          </w:tcPr>
          <w:p w14:paraId="1B7165D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84,5</w:t>
            </w:r>
          </w:p>
        </w:tc>
        <w:tc>
          <w:tcPr>
            <w:tcW w:w="860" w:type="dxa"/>
            <w:gridSpan w:val="2"/>
            <w:tcBorders>
              <w:left w:val="single" w:sz="4" w:space="0" w:color="000000"/>
              <w:right w:val="single" w:sz="4" w:space="0" w:color="000000"/>
            </w:tcBorders>
            <w:shd w:val="clear" w:color="auto" w:fill="FFFFFF"/>
          </w:tcPr>
          <w:p w14:paraId="685DEF7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87,9</w:t>
            </w:r>
          </w:p>
        </w:tc>
        <w:tc>
          <w:tcPr>
            <w:tcW w:w="854" w:type="dxa"/>
            <w:gridSpan w:val="2"/>
            <w:tcBorders>
              <w:left w:val="single" w:sz="4" w:space="0" w:color="000000"/>
              <w:right w:val="single" w:sz="4" w:space="0" w:color="000000"/>
            </w:tcBorders>
            <w:shd w:val="clear" w:color="auto" w:fill="FFFFFF"/>
          </w:tcPr>
          <w:p w14:paraId="76B928DB"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91,4</w:t>
            </w:r>
          </w:p>
        </w:tc>
        <w:tc>
          <w:tcPr>
            <w:tcW w:w="860" w:type="dxa"/>
            <w:gridSpan w:val="2"/>
            <w:tcBorders>
              <w:left w:val="single" w:sz="4" w:space="0" w:color="000000"/>
              <w:right w:val="single" w:sz="8" w:space="0" w:color="000000"/>
            </w:tcBorders>
            <w:shd w:val="clear" w:color="auto" w:fill="FFFFFF"/>
          </w:tcPr>
          <w:p w14:paraId="38615E5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73,2</w:t>
            </w:r>
          </w:p>
        </w:tc>
      </w:tr>
      <w:tr w:rsidR="00E2476B" w14:paraId="03DBEBB7" w14:textId="77777777" w:rsidTr="0018419C">
        <w:trPr>
          <w:jc w:val="center"/>
        </w:trPr>
        <w:tc>
          <w:tcPr>
            <w:tcW w:w="928" w:type="dxa"/>
            <w:tcBorders>
              <w:left w:val="single" w:sz="8" w:space="0" w:color="000000"/>
              <w:right w:val="single" w:sz="4" w:space="0" w:color="000000"/>
            </w:tcBorders>
            <w:shd w:val="clear" w:color="auto" w:fill="FFFFFF"/>
          </w:tcPr>
          <w:p w14:paraId="07CD3950"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proofErr w:type="gramStart"/>
            <w:r>
              <w:rPr>
                <w:rFonts w:ascii="Times New Roman" w:eastAsia="Arial" w:hAnsi="Times New Roman" w:cs="Times New Roman"/>
                <w:bCs/>
                <w:i/>
                <w:iCs/>
                <w:color w:val="000000"/>
                <w:sz w:val="14"/>
                <w:szCs w:val="14"/>
              </w:rPr>
              <w:t>p</w:t>
            </w:r>
            <w:proofErr w:type="gramEnd"/>
            <w:r>
              <w:rPr>
                <w:rFonts w:ascii="Times New Roman" w:eastAsia="Arial" w:hAnsi="Times New Roman" w:cs="Times New Roman"/>
                <w:bCs/>
                <w:i/>
                <w:iCs/>
                <w:color w:val="000000"/>
                <w:sz w:val="14"/>
                <w:szCs w:val="14"/>
              </w:rPr>
              <w:t>-valeur</w:t>
            </w:r>
          </w:p>
        </w:tc>
        <w:tc>
          <w:tcPr>
            <w:tcW w:w="2785" w:type="dxa"/>
            <w:gridSpan w:val="5"/>
            <w:tcBorders>
              <w:left w:val="single" w:sz="4" w:space="0" w:color="000000"/>
              <w:right w:val="single" w:sz="4" w:space="0" w:color="000000"/>
            </w:tcBorders>
            <w:shd w:val="clear" w:color="auto" w:fill="FFFFFF"/>
          </w:tcPr>
          <w:p w14:paraId="671C70C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0" w:type="dxa"/>
            <w:gridSpan w:val="6"/>
            <w:tcBorders>
              <w:left w:val="single" w:sz="4" w:space="0" w:color="000000"/>
              <w:right w:val="single" w:sz="4" w:space="0" w:color="000000"/>
            </w:tcBorders>
            <w:shd w:val="clear" w:color="auto" w:fill="FFFFFF"/>
            <w:tcMar>
              <w:left w:w="108" w:type="dxa"/>
              <w:right w:w="108" w:type="dxa"/>
            </w:tcMar>
          </w:tcPr>
          <w:p w14:paraId="491F5D6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6" w:type="dxa"/>
            <w:gridSpan w:val="4"/>
            <w:tcBorders>
              <w:left w:val="single" w:sz="4" w:space="0" w:color="000000"/>
              <w:right w:val="single" w:sz="4" w:space="0" w:color="000000"/>
            </w:tcBorders>
            <w:shd w:val="clear" w:color="auto" w:fill="FFFFFF"/>
            <w:tcMar>
              <w:left w:w="108" w:type="dxa"/>
              <w:right w:w="108" w:type="dxa"/>
            </w:tcMar>
          </w:tcPr>
          <w:p w14:paraId="534F33D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0,029</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208405B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26F3A9E4" w14:textId="77777777" w:rsidTr="0018419C">
        <w:trPr>
          <w:jc w:val="center"/>
        </w:trPr>
        <w:tc>
          <w:tcPr>
            <w:tcW w:w="9923" w:type="dxa"/>
            <w:gridSpan w:val="20"/>
            <w:tcBorders>
              <w:left w:val="single" w:sz="8" w:space="0" w:color="000000"/>
              <w:right w:val="single" w:sz="8" w:space="0" w:color="000000"/>
            </w:tcBorders>
            <w:shd w:val="clear" w:color="auto" w:fill="FFFFFF"/>
          </w:tcPr>
          <w:p w14:paraId="26EE81BB" w14:textId="77777777" w:rsidR="00E2476B" w:rsidRDefault="00E2476B" w:rsidP="0018419C">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Type de couple</w:t>
            </w:r>
          </w:p>
        </w:tc>
      </w:tr>
      <w:tr w:rsidR="00E2476B" w14:paraId="4BEB49A7" w14:textId="77777777" w:rsidTr="0018419C">
        <w:trPr>
          <w:jc w:val="center"/>
        </w:trPr>
        <w:tc>
          <w:tcPr>
            <w:tcW w:w="928" w:type="dxa"/>
            <w:tcBorders>
              <w:left w:val="single" w:sz="8" w:space="0" w:color="000000"/>
              <w:right w:val="single" w:sz="4" w:space="0" w:color="000000"/>
            </w:tcBorders>
            <w:shd w:val="clear" w:color="auto" w:fill="FFFFFF"/>
          </w:tcPr>
          <w:p w14:paraId="6CC96A30"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même sexe</w:t>
            </w:r>
          </w:p>
        </w:tc>
        <w:tc>
          <w:tcPr>
            <w:tcW w:w="925" w:type="dxa"/>
            <w:tcBorders>
              <w:left w:val="single" w:sz="4" w:space="0" w:color="000000"/>
              <w:right w:val="single" w:sz="4" w:space="0" w:color="000000"/>
            </w:tcBorders>
            <w:shd w:val="clear" w:color="auto" w:fill="FFFFFF"/>
          </w:tcPr>
          <w:p w14:paraId="05FBB5E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62,9</w:t>
            </w:r>
            <w:r>
              <w:rPr>
                <w:rFonts w:ascii="Times New Roman" w:eastAsia="Arial" w:hAnsi="Times New Roman" w:cs="Times New Roman"/>
                <w:color w:val="000000"/>
                <w:sz w:val="14"/>
                <w:szCs w:val="14"/>
              </w:rPr>
              <w:br/>
              <w:t>[49-75]</w:t>
            </w:r>
          </w:p>
        </w:tc>
        <w:tc>
          <w:tcPr>
            <w:tcW w:w="929" w:type="dxa"/>
            <w:gridSpan w:val="2"/>
            <w:tcBorders>
              <w:left w:val="single" w:sz="4" w:space="0" w:color="000000"/>
              <w:right w:val="single" w:sz="4" w:space="0" w:color="000000"/>
            </w:tcBorders>
            <w:shd w:val="clear" w:color="auto" w:fill="FFFFFF"/>
          </w:tcPr>
          <w:p w14:paraId="247DA87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[2,9-11]</w:t>
            </w:r>
          </w:p>
        </w:tc>
        <w:tc>
          <w:tcPr>
            <w:tcW w:w="931" w:type="dxa"/>
            <w:gridSpan w:val="2"/>
            <w:tcBorders>
              <w:left w:val="single" w:sz="4" w:space="0" w:color="000000"/>
              <w:right w:val="single" w:sz="4" w:space="0" w:color="000000"/>
            </w:tcBorders>
            <w:shd w:val="clear" w:color="auto" w:fill="FFFFFF"/>
          </w:tcPr>
          <w:p w14:paraId="03B3F53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[0,25-0,51]</w:t>
            </w:r>
          </w:p>
        </w:tc>
        <w:tc>
          <w:tcPr>
            <w:tcW w:w="926" w:type="dxa"/>
            <w:gridSpan w:val="2"/>
            <w:tcBorders>
              <w:left w:val="single" w:sz="4" w:space="0" w:color="000000"/>
              <w:right w:val="single" w:sz="4" w:space="0" w:color="000000"/>
            </w:tcBorders>
            <w:shd w:val="clear" w:color="auto" w:fill="FFFFFF"/>
          </w:tcPr>
          <w:p w14:paraId="29D3ADC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57,1</w:t>
            </w:r>
            <w:r>
              <w:rPr>
                <w:rFonts w:ascii="Times New Roman" w:eastAsia="Arial" w:hAnsi="Times New Roman" w:cs="Times New Roman"/>
                <w:color w:val="000000"/>
                <w:sz w:val="14"/>
                <w:szCs w:val="14"/>
              </w:rPr>
              <w:br/>
              <w:t>[48-66]</w:t>
            </w:r>
          </w:p>
        </w:tc>
        <w:tc>
          <w:tcPr>
            <w:tcW w:w="925" w:type="dxa"/>
            <w:gridSpan w:val="2"/>
            <w:tcBorders>
              <w:left w:val="single" w:sz="4" w:space="0" w:color="000000"/>
              <w:right w:val="single" w:sz="4" w:space="0" w:color="000000"/>
            </w:tcBorders>
            <w:shd w:val="clear" w:color="auto" w:fill="FFFFFF"/>
          </w:tcPr>
          <w:p w14:paraId="38BE80D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w:t>
            </w:r>
            <w:r>
              <w:rPr>
                <w:rFonts w:ascii="Times New Roman" w:eastAsia="Arial" w:hAnsi="Times New Roman" w:cs="Times New Roman"/>
                <w:color w:val="000000"/>
                <w:sz w:val="14"/>
                <w:szCs w:val="14"/>
              </w:rPr>
              <w:br/>
              <w:t>[2,7-12]</w:t>
            </w:r>
          </w:p>
        </w:tc>
        <w:tc>
          <w:tcPr>
            <w:tcW w:w="929" w:type="dxa"/>
            <w:gridSpan w:val="2"/>
            <w:tcBorders>
              <w:left w:val="single" w:sz="4" w:space="0" w:color="000000"/>
              <w:right w:val="single" w:sz="4" w:space="0" w:color="000000"/>
            </w:tcBorders>
            <w:shd w:val="clear" w:color="auto" w:fill="FFFFFF"/>
          </w:tcPr>
          <w:p w14:paraId="7F62626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[0,26-0,53]</w:t>
            </w:r>
          </w:p>
        </w:tc>
        <w:tc>
          <w:tcPr>
            <w:tcW w:w="856" w:type="dxa"/>
            <w:gridSpan w:val="2"/>
            <w:tcBorders>
              <w:left w:val="single" w:sz="4" w:space="0" w:color="000000"/>
              <w:right w:val="single" w:sz="4" w:space="0" w:color="000000"/>
            </w:tcBorders>
            <w:shd w:val="clear" w:color="auto" w:fill="FFFFFF"/>
          </w:tcPr>
          <w:p w14:paraId="7C659ACC"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73,5</w:t>
            </w:r>
          </w:p>
        </w:tc>
        <w:tc>
          <w:tcPr>
            <w:tcW w:w="860" w:type="dxa"/>
            <w:gridSpan w:val="2"/>
            <w:tcBorders>
              <w:left w:val="single" w:sz="4" w:space="0" w:color="000000"/>
              <w:right w:val="single" w:sz="4" w:space="0" w:color="000000"/>
            </w:tcBorders>
            <w:shd w:val="clear" w:color="auto" w:fill="FFFFFF"/>
          </w:tcPr>
          <w:p w14:paraId="60F089B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38,1</w:t>
            </w:r>
          </w:p>
        </w:tc>
        <w:tc>
          <w:tcPr>
            <w:tcW w:w="854" w:type="dxa"/>
            <w:gridSpan w:val="2"/>
            <w:tcBorders>
              <w:left w:val="single" w:sz="4" w:space="0" w:color="000000"/>
              <w:right w:val="single" w:sz="4" w:space="0" w:color="000000"/>
            </w:tcBorders>
            <w:shd w:val="clear" w:color="auto" w:fill="FFFFFF"/>
          </w:tcPr>
          <w:p w14:paraId="06DFB98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59,0</w:t>
            </w:r>
          </w:p>
        </w:tc>
        <w:tc>
          <w:tcPr>
            <w:tcW w:w="860" w:type="dxa"/>
            <w:gridSpan w:val="2"/>
            <w:tcBorders>
              <w:left w:val="single" w:sz="4" w:space="0" w:color="000000"/>
              <w:right w:val="single" w:sz="8" w:space="0" w:color="000000"/>
            </w:tcBorders>
            <w:shd w:val="clear" w:color="auto" w:fill="FFFFFF"/>
          </w:tcPr>
          <w:p w14:paraId="4FDC27AF"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p>
        </w:tc>
      </w:tr>
      <w:tr w:rsidR="00E2476B" w14:paraId="4113C259" w14:textId="77777777" w:rsidTr="0018419C">
        <w:trPr>
          <w:jc w:val="center"/>
        </w:trPr>
        <w:tc>
          <w:tcPr>
            <w:tcW w:w="928" w:type="dxa"/>
            <w:tcBorders>
              <w:left w:val="single" w:sz="8" w:space="0" w:color="000000"/>
              <w:right w:val="single" w:sz="4" w:space="0" w:color="000000"/>
            </w:tcBorders>
            <w:shd w:val="clear" w:color="auto" w:fill="FFFFFF"/>
          </w:tcPr>
          <w:p w14:paraId="1C7566C9"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sexe différent</w:t>
            </w:r>
          </w:p>
        </w:tc>
        <w:tc>
          <w:tcPr>
            <w:tcW w:w="925" w:type="dxa"/>
            <w:tcBorders>
              <w:left w:val="single" w:sz="4" w:space="0" w:color="000000"/>
              <w:right w:val="single" w:sz="4" w:space="0" w:color="000000"/>
            </w:tcBorders>
            <w:shd w:val="clear" w:color="auto" w:fill="FFFFFF"/>
          </w:tcPr>
          <w:p w14:paraId="5EF4DBB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[0,05-2,7]</w:t>
            </w:r>
          </w:p>
        </w:tc>
        <w:tc>
          <w:tcPr>
            <w:tcW w:w="929" w:type="dxa"/>
            <w:gridSpan w:val="2"/>
            <w:tcBorders>
              <w:left w:val="single" w:sz="4" w:space="0" w:color="000000"/>
              <w:right w:val="single" w:sz="4" w:space="0" w:color="000000"/>
            </w:tcBorders>
            <w:shd w:val="clear" w:color="auto" w:fill="FFFFFF"/>
          </w:tcPr>
          <w:p w14:paraId="729D421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57,5</w:t>
            </w:r>
            <w:r>
              <w:rPr>
                <w:rFonts w:ascii="Times New Roman" w:eastAsia="Arial" w:hAnsi="Times New Roman" w:cs="Times New Roman"/>
                <w:color w:val="000000"/>
                <w:sz w:val="14"/>
                <w:szCs w:val="14"/>
              </w:rPr>
              <w:br/>
              <w:t>[47-67]</w:t>
            </w:r>
          </w:p>
        </w:tc>
        <w:tc>
          <w:tcPr>
            <w:tcW w:w="931" w:type="dxa"/>
            <w:gridSpan w:val="2"/>
            <w:tcBorders>
              <w:left w:val="single" w:sz="4" w:space="0" w:color="000000"/>
              <w:right w:val="single" w:sz="4" w:space="0" w:color="000000"/>
            </w:tcBorders>
            <w:shd w:val="clear" w:color="auto" w:fill="FFFFFF"/>
          </w:tcPr>
          <w:p w14:paraId="15FD1A9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72,8</w:t>
            </w:r>
            <w:r>
              <w:rPr>
                <w:rFonts w:ascii="Times New Roman" w:eastAsia="Arial" w:hAnsi="Times New Roman" w:cs="Times New Roman"/>
                <w:color w:val="000000"/>
                <w:sz w:val="14"/>
                <w:szCs w:val="14"/>
              </w:rPr>
              <w:br/>
              <w:t>[72-74]</w:t>
            </w:r>
          </w:p>
        </w:tc>
        <w:tc>
          <w:tcPr>
            <w:tcW w:w="926" w:type="dxa"/>
            <w:gridSpan w:val="2"/>
            <w:tcBorders>
              <w:left w:val="single" w:sz="4" w:space="0" w:color="000000"/>
              <w:right w:val="single" w:sz="4" w:space="0" w:color="000000"/>
            </w:tcBorders>
            <w:shd w:val="clear" w:color="auto" w:fill="FFFFFF"/>
          </w:tcPr>
          <w:p w14:paraId="29F1C92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w:t>
            </w:r>
            <w:r>
              <w:rPr>
                <w:rFonts w:ascii="Times New Roman" w:eastAsia="Arial" w:hAnsi="Times New Roman" w:cs="Times New Roman"/>
                <w:color w:val="000000"/>
                <w:sz w:val="14"/>
                <w:szCs w:val="14"/>
              </w:rPr>
              <w:br/>
              <w:t>[0,54-4,9]</w:t>
            </w:r>
          </w:p>
        </w:tc>
        <w:tc>
          <w:tcPr>
            <w:tcW w:w="925" w:type="dxa"/>
            <w:gridSpan w:val="2"/>
            <w:tcBorders>
              <w:left w:val="single" w:sz="4" w:space="0" w:color="000000"/>
              <w:right w:val="single" w:sz="4" w:space="0" w:color="000000"/>
            </w:tcBorders>
            <w:shd w:val="clear" w:color="auto" w:fill="FFFFFF"/>
          </w:tcPr>
          <w:p w14:paraId="3BBFB7A3"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[14-37]</w:t>
            </w:r>
          </w:p>
        </w:tc>
        <w:tc>
          <w:tcPr>
            <w:tcW w:w="929" w:type="dxa"/>
            <w:gridSpan w:val="2"/>
            <w:tcBorders>
              <w:left w:val="single" w:sz="4" w:space="0" w:color="000000"/>
              <w:right w:val="single" w:sz="4" w:space="0" w:color="000000"/>
            </w:tcBorders>
            <w:shd w:val="clear" w:color="auto" w:fill="FFFFFF"/>
          </w:tcPr>
          <w:p w14:paraId="44F4BE7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75,3</w:t>
            </w:r>
            <w:r>
              <w:rPr>
                <w:rFonts w:ascii="Times New Roman" w:eastAsia="Arial" w:hAnsi="Times New Roman" w:cs="Times New Roman"/>
                <w:color w:val="000000"/>
                <w:sz w:val="14"/>
                <w:szCs w:val="14"/>
              </w:rPr>
              <w:br/>
              <w:t>[74-76]</w:t>
            </w:r>
          </w:p>
        </w:tc>
        <w:tc>
          <w:tcPr>
            <w:tcW w:w="856" w:type="dxa"/>
            <w:gridSpan w:val="2"/>
            <w:tcBorders>
              <w:left w:val="single" w:sz="4" w:space="0" w:color="000000"/>
              <w:right w:val="single" w:sz="4" w:space="0" w:color="000000"/>
            </w:tcBorders>
            <w:shd w:val="clear" w:color="auto" w:fill="FFFFFF"/>
          </w:tcPr>
          <w:p w14:paraId="7C3B6AF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p>
        </w:tc>
        <w:tc>
          <w:tcPr>
            <w:tcW w:w="860" w:type="dxa"/>
            <w:gridSpan w:val="2"/>
            <w:tcBorders>
              <w:left w:val="single" w:sz="4" w:space="0" w:color="000000"/>
              <w:right w:val="single" w:sz="4" w:space="0" w:color="000000"/>
            </w:tcBorders>
            <w:shd w:val="clear" w:color="auto" w:fill="FFFFFF"/>
          </w:tcPr>
          <w:p w14:paraId="0E83651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28,9</w:t>
            </w:r>
          </w:p>
        </w:tc>
        <w:tc>
          <w:tcPr>
            <w:tcW w:w="854" w:type="dxa"/>
            <w:gridSpan w:val="2"/>
            <w:tcBorders>
              <w:left w:val="single" w:sz="4" w:space="0" w:color="000000"/>
              <w:right w:val="single" w:sz="4" w:space="0" w:color="000000"/>
            </w:tcBorders>
            <w:shd w:val="clear" w:color="auto" w:fill="FFFFFF"/>
          </w:tcPr>
          <w:p w14:paraId="61CAEC3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60" w:type="dxa"/>
            <w:gridSpan w:val="2"/>
            <w:tcBorders>
              <w:left w:val="single" w:sz="4" w:space="0" w:color="000000"/>
              <w:right w:val="single" w:sz="8" w:space="0" w:color="000000"/>
            </w:tcBorders>
            <w:shd w:val="clear" w:color="auto" w:fill="FFFFFF"/>
          </w:tcPr>
          <w:p w14:paraId="40D4DC4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p>
        </w:tc>
      </w:tr>
      <w:tr w:rsidR="00E2476B" w14:paraId="456DBA97" w14:textId="77777777" w:rsidTr="0018419C">
        <w:trPr>
          <w:jc w:val="center"/>
        </w:trPr>
        <w:tc>
          <w:tcPr>
            <w:tcW w:w="928" w:type="dxa"/>
            <w:tcBorders>
              <w:left w:val="single" w:sz="8" w:space="0" w:color="000000"/>
              <w:right w:val="single" w:sz="4" w:space="0" w:color="000000"/>
            </w:tcBorders>
            <w:shd w:val="clear" w:color="auto" w:fill="FFFFFF"/>
          </w:tcPr>
          <w:p w14:paraId="2E13A467"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Pas en couple</w:t>
            </w:r>
          </w:p>
        </w:tc>
        <w:tc>
          <w:tcPr>
            <w:tcW w:w="925" w:type="dxa"/>
            <w:tcBorders>
              <w:left w:val="single" w:sz="4" w:space="0" w:color="000000"/>
              <w:right w:val="single" w:sz="4" w:space="0" w:color="000000"/>
            </w:tcBorders>
            <w:shd w:val="clear" w:color="auto" w:fill="FFFFFF"/>
          </w:tcPr>
          <w:p w14:paraId="4296D59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36,7</w:t>
            </w:r>
            <w:r>
              <w:rPr>
                <w:rFonts w:ascii="Times New Roman" w:eastAsia="Arial" w:hAnsi="Times New Roman" w:cs="Times New Roman"/>
                <w:color w:val="000000"/>
                <w:sz w:val="14"/>
                <w:szCs w:val="14"/>
              </w:rPr>
              <w:br/>
              <w:t>[25-50]</w:t>
            </w:r>
          </w:p>
        </w:tc>
        <w:tc>
          <w:tcPr>
            <w:tcW w:w="929" w:type="dxa"/>
            <w:gridSpan w:val="2"/>
            <w:tcBorders>
              <w:left w:val="single" w:sz="4" w:space="0" w:color="000000"/>
              <w:right w:val="single" w:sz="4" w:space="0" w:color="000000"/>
            </w:tcBorders>
            <w:shd w:val="clear" w:color="auto" w:fill="FFFFFF"/>
          </w:tcPr>
          <w:p w14:paraId="2F8DCBD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36,9</w:t>
            </w:r>
            <w:r>
              <w:rPr>
                <w:rFonts w:ascii="Times New Roman" w:eastAsia="Arial" w:hAnsi="Times New Roman" w:cs="Times New Roman"/>
                <w:color w:val="000000"/>
                <w:sz w:val="14"/>
                <w:szCs w:val="14"/>
              </w:rPr>
              <w:br/>
              <w:t>[28-47]</w:t>
            </w:r>
          </w:p>
        </w:tc>
        <w:tc>
          <w:tcPr>
            <w:tcW w:w="931" w:type="dxa"/>
            <w:gridSpan w:val="2"/>
            <w:tcBorders>
              <w:left w:val="single" w:sz="4" w:space="0" w:color="000000"/>
              <w:right w:val="single" w:sz="4" w:space="0" w:color="000000"/>
            </w:tcBorders>
            <w:shd w:val="clear" w:color="auto" w:fill="FFFFFF"/>
          </w:tcPr>
          <w:p w14:paraId="6DD1CED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[26-28]</w:t>
            </w:r>
          </w:p>
        </w:tc>
        <w:tc>
          <w:tcPr>
            <w:tcW w:w="926" w:type="dxa"/>
            <w:gridSpan w:val="2"/>
            <w:tcBorders>
              <w:left w:val="single" w:sz="4" w:space="0" w:color="000000"/>
              <w:right w:val="single" w:sz="4" w:space="0" w:color="000000"/>
            </w:tcBorders>
            <w:shd w:val="clear" w:color="auto" w:fill="FFFFFF"/>
          </w:tcPr>
          <w:p w14:paraId="24F9293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41,3</w:t>
            </w:r>
            <w:r>
              <w:rPr>
                <w:rFonts w:ascii="Times New Roman" w:eastAsia="Arial" w:hAnsi="Times New Roman" w:cs="Times New Roman"/>
                <w:color w:val="000000"/>
                <w:sz w:val="14"/>
                <w:szCs w:val="14"/>
              </w:rPr>
              <w:br/>
              <w:t>[33-50]</w:t>
            </w:r>
          </w:p>
        </w:tc>
        <w:tc>
          <w:tcPr>
            <w:tcW w:w="925" w:type="dxa"/>
            <w:gridSpan w:val="2"/>
            <w:tcBorders>
              <w:left w:val="single" w:sz="4" w:space="0" w:color="000000"/>
              <w:right w:val="single" w:sz="4" w:space="0" w:color="000000"/>
            </w:tcBorders>
            <w:shd w:val="clear" w:color="auto" w:fill="FFFFFF"/>
          </w:tcPr>
          <w:p w14:paraId="05AEB01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70,6</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19A65A6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r>
              <w:rPr>
                <w:rFonts w:ascii="Times New Roman" w:eastAsia="Arial" w:hAnsi="Times New Roman" w:cs="Times New Roman"/>
                <w:color w:val="000000"/>
                <w:sz w:val="14"/>
                <w:szCs w:val="14"/>
              </w:rPr>
              <w:br/>
              <w:t>[23-25]</w:t>
            </w:r>
          </w:p>
        </w:tc>
        <w:tc>
          <w:tcPr>
            <w:tcW w:w="856" w:type="dxa"/>
            <w:gridSpan w:val="2"/>
            <w:tcBorders>
              <w:left w:val="single" w:sz="4" w:space="0" w:color="000000"/>
              <w:right w:val="single" w:sz="4" w:space="0" w:color="000000"/>
            </w:tcBorders>
            <w:shd w:val="clear" w:color="auto" w:fill="FFFFFF"/>
          </w:tcPr>
          <w:p w14:paraId="1DE687B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25,8</w:t>
            </w:r>
          </w:p>
        </w:tc>
        <w:tc>
          <w:tcPr>
            <w:tcW w:w="860" w:type="dxa"/>
            <w:gridSpan w:val="2"/>
            <w:tcBorders>
              <w:left w:val="single" w:sz="4" w:space="0" w:color="000000"/>
              <w:right w:val="single" w:sz="4" w:space="0" w:color="000000"/>
            </w:tcBorders>
            <w:shd w:val="clear" w:color="auto" w:fill="FFFFFF"/>
          </w:tcPr>
          <w:p w14:paraId="2FF16C1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32,0</w:t>
            </w:r>
          </w:p>
        </w:tc>
        <w:tc>
          <w:tcPr>
            <w:tcW w:w="854" w:type="dxa"/>
            <w:gridSpan w:val="2"/>
            <w:tcBorders>
              <w:left w:val="single" w:sz="4" w:space="0" w:color="000000"/>
              <w:right w:val="single" w:sz="4" w:space="0" w:color="000000"/>
            </w:tcBorders>
            <w:shd w:val="clear" w:color="auto" w:fill="FFFFFF"/>
          </w:tcPr>
          <w:p w14:paraId="5BCBBA4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40,1</w:t>
            </w:r>
          </w:p>
        </w:tc>
        <w:tc>
          <w:tcPr>
            <w:tcW w:w="860" w:type="dxa"/>
            <w:gridSpan w:val="2"/>
            <w:tcBorders>
              <w:left w:val="single" w:sz="4" w:space="0" w:color="000000"/>
              <w:right w:val="single" w:sz="8" w:space="0" w:color="000000"/>
            </w:tcBorders>
            <w:shd w:val="clear" w:color="auto" w:fill="FFFFFF"/>
          </w:tcPr>
          <w:p w14:paraId="31B69B3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45,4</w:t>
            </w:r>
          </w:p>
        </w:tc>
      </w:tr>
      <w:tr w:rsidR="00E2476B" w14:paraId="1982516D" w14:textId="77777777" w:rsidTr="0018419C">
        <w:trPr>
          <w:jc w:val="center"/>
        </w:trPr>
        <w:tc>
          <w:tcPr>
            <w:tcW w:w="928" w:type="dxa"/>
            <w:tcBorders>
              <w:left w:val="single" w:sz="8" w:space="0" w:color="000000"/>
              <w:right w:val="single" w:sz="4" w:space="0" w:color="000000"/>
            </w:tcBorders>
            <w:shd w:val="clear" w:color="auto" w:fill="FFFFFF"/>
          </w:tcPr>
          <w:p w14:paraId="1D9C0761" w14:textId="77777777" w:rsidR="00E2476B" w:rsidRDefault="00E2476B" w:rsidP="0018419C">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5" w:type="dxa"/>
            <w:tcBorders>
              <w:left w:val="single" w:sz="4" w:space="0" w:color="000000"/>
              <w:right w:val="single" w:sz="4" w:space="0" w:color="000000"/>
            </w:tcBorders>
            <w:shd w:val="clear" w:color="auto" w:fill="FFFFFF"/>
          </w:tcPr>
          <w:p w14:paraId="05D3C386"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9" w:type="dxa"/>
            <w:gridSpan w:val="2"/>
            <w:tcBorders>
              <w:left w:val="single" w:sz="4" w:space="0" w:color="000000"/>
              <w:right w:val="single" w:sz="4" w:space="0" w:color="000000"/>
            </w:tcBorders>
            <w:shd w:val="clear" w:color="auto" w:fill="FFFFFF"/>
          </w:tcPr>
          <w:p w14:paraId="2800906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31" w:type="dxa"/>
            <w:gridSpan w:val="2"/>
            <w:tcBorders>
              <w:left w:val="single" w:sz="4" w:space="0" w:color="000000"/>
              <w:right w:val="single" w:sz="4" w:space="0" w:color="000000"/>
            </w:tcBorders>
            <w:shd w:val="clear" w:color="auto" w:fill="FFFFFF"/>
          </w:tcPr>
          <w:p w14:paraId="38B04CAE"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6" w:type="dxa"/>
            <w:gridSpan w:val="2"/>
            <w:tcBorders>
              <w:left w:val="single" w:sz="4" w:space="0" w:color="000000"/>
              <w:right w:val="single" w:sz="4" w:space="0" w:color="000000"/>
            </w:tcBorders>
            <w:shd w:val="clear" w:color="auto" w:fill="FFFFFF"/>
          </w:tcPr>
          <w:p w14:paraId="5E7A8ED1"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5" w:type="dxa"/>
            <w:gridSpan w:val="2"/>
            <w:tcBorders>
              <w:left w:val="single" w:sz="4" w:space="0" w:color="000000"/>
              <w:right w:val="single" w:sz="4" w:space="0" w:color="000000"/>
            </w:tcBorders>
            <w:shd w:val="clear" w:color="auto" w:fill="FFFFFF"/>
          </w:tcPr>
          <w:p w14:paraId="1EC5DF70"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9" w:type="dxa"/>
            <w:gridSpan w:val="2"/>
            <w:tcBorders>
              <w:left w:val="single" w:sz="4" w:space="0" w:color="000000"/>
              <w:right w:val="single" w:sz="4" w:space="0" w:color="000000"/>
            </w:tcBorders>
            <w:shd w:val="clear" w:color="auto" w:fill="FFFFFF"/>
          </w:tcPr>
          <w:p w14:paraId="28199AAA"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r>
              <w:rPr>
                <w:rFonts w:ascii="Times New Roman" w:eastAsia="Arial" w:hAnsi="Times New Roman" w:cs="Times New Roman"/>
                <w:color w:val="000000"/>
                <w:sz w:val="14"/>
                <w:szCs w:val="14"/>
              </w:rPr>
              <w:br/>
              <w:t>[0,01-0,22]</w:t>
            </w:r>
          </w:p>
        </w:tc>
        <w:tc>
          <w:tcPr>
            <w:tcW w:w="856" w:type="dxa"/>
            <w:gridSpan w:val="2"/>
            <w:tcBorders>
              <w:left w:val="single" w:sz="4" w:space="0" w:color="000000"/>
              <w:right w:val="single" w:sz="4" w:space="0" w:color="000000"/>
            </w:tcBorders>
            <w:shd w:val="clear" w:color="auto" w:fill="FFFFFF"/>
          </w:tcPr>
          <w:p w14:paraId="794F307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p>
        </w:tc>
        <w:tc>
          <w:tcPr>
            <w:tcW w:w="860" w:type="dxa"/>
            <w:gridSpan w:val="2"/>
            <w:tcBorders>
              <w:left w:val="single" w:sz="4" w:space="0" w:color="000000"/>
              <w:right w:val="single" w:sz="4" w:space="0" w:color="000000"/>
            </w:tcBorders>
            <w:shd w:val="clear" w:color="auto" w:fill="FFFFFF"/>
          </w:tcPr>
          <w:p w14:paraId="6E0334B9"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854" w:type="dxa"/>
            <w:gridSpan w:val="2"/>
            <w:tcBorders>
              <w:left w:val="single" w:sz="4" w:space="0" w:color="000000"/>
              <w:right w:val="single" w:sz="4" w:space="0" w:color="000000"/>
            </w:tcBorders>
            <w:shd w:val="clear" w:color="auto" w:fill="FFFFFF"/>
          </w:tcPr>
          <w:p w14:paraId="0C0A81D7"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p>
        </w:tc>
        <w:tc>
          <w:tcPr>
            <w:tcW w:w="860" w:type="dxa"/>
            <w:gridSpan w:val="2"/>
            <w:tcBorders>
              <w:left w:val="single" w:sz="4" w:space="0" w:color="000000"/>
              <w:right w:val="single" w:sz="8" w:space="0" w:color="000000"/>
            </w:tcBorders>
            <w:shd w:val="clear" w:color="auto" w:fill="FFFFFF"/>
          </w:tcPr>
          <w:p w14:paraId="0A23C67D"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E2476B" w14:paraId="19D51CAD" w14:textId="77777777" w:rsidTr="0018419C">
        <w:trPr>
          <w:jc w:val="center"/>
        </w:trPr>
        <w:tc>
          <w:tcPr>
            <w:tcW w:w="928" w:type="dxa"/>
            <w:tcBorders>
              <w:left w:val="single" w:sz="8" w:space="0" w:color="000000"/>
              <w:bottom w:val="single" w:sz="8" w:space="0" w:color="000000"/>
              <w:right w:val="single" w:sz="4" w:space="0" w:color="000000"/>
            </w:tcBorders>
            <w:shd w:val="clear" w:color="auto" w:fill="FFFFFF"/>
          </w:tcPr>
          <w:p w14:paraId="377A75ED" w14:textId="77777777" w:rsidR="00E2476B" w:rsidRDefault="00E2476B" w:rsidP="0018419C">
            <w:pPr>
              <w:spacing w:before="100" w:after="100"/>
              <w:ind w:left="300" w:right="100"/>
              <w:rPr>
                <w:rFonts w:ascii="Times New Roman" w:eastAsia="Arial" w:hAnsi="Times New Roman" w:cs="Times New Roman"/>
                <w:bCs/>
                <w:i/>
                <w:iCs/>
                <w:color w:val="000000"/>
                <w:sz w:val="14"/>
                <w:szCs w:val="14"/>
              </w:rPr>
            </w:pPr>
            <w:proofErr w:type="gramStart"/>
            <w:r>
              <w:rPr>
                <w:rFonts w:ascii="Times New Roman" w:eastAsia="Arial" w:hAnsi="Times New Roman" w:cs="Times New Roman"/>
                <w:bCs/>
                <w:i/>
                <w:iCs/>
                <w:color w:val="000000"/>
                <w:sz w:val="14"/>
                <w:szCs w:val="14"/>
              </w:rPr>
              <w:t>p</w:t>
            </w:r>
            <w:proofErr w:type="gramEnd"/>
            <w:r>
              <w:rPr>
                <w:rFonts w:ascii="Times New Roman" w:eastAsia="Arial" w:hAnsi="Times New Roman" w:cs="Times New Roman"/>
                <w:bCs/>
                <w:i/>
                <w:iCs/>
                <w:color w:val="000000"/>
                <w:sz w:val="14"/>
                <w:szCs w:val="14"/>
              </w:rPr>
              <w:t>-valeur</w:t>
            </w:r>
          </w:p>
        </w:tc>
        <w:tc>
          <w:tcPr>
            <w:tcW w:w="2785" w:type="dxa"/>
            <w:gridSpan w:val="5"/>
            <w:tcBorders>
              <w:left w:val="single" w:sz="4" w:space="0" w:color="000000"/>
              <w:bottom w:val="single" w:sz="8" w:space="0" w:color="000000"/>
              <w:right w:val="single" w:sz="4" w:space="0" w:color="000000"/>
            </w:tcBorders>
            <w:shd w:val="clear" w:color="auto" w:fill="FFFFFF"/>
          </w:tcPr>
          <w:p w14:paraId="700AC8D5"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0" w:type="dxa"/>
            <w:gridSpan w:val="6"/>
            <w:tcBorders>
              <w:left w:val="single" w:sz="4" w:space="0" w:color="000000"/>
              <w:bottom w:val="single" w:sz="8" w:space="0" w:color="000000"/>
              <w:right w:val="single" w:sz="4" w:space="0" w:color="000000"/>
            </w:tcBorders>
            <w:shd w:val="clear" w:color="auto" w:fill="FFFFFF"/>
            <w:tcMar>
              <w:left w:w="108" w:type="dxa"/>
              <w:right w:w="108" w:type="dxa"/>
            </w:tcMar>
          </w:tcPr>
          <w:p w14:paraId="68C77502"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6" w:type="dxa"/>
            <w:gridSpan w:val="4"/>
            <w:tcBorders>
              <w:left w:val="single" w:sz="4" w:space="0" w:color="000000"/>
              <w:bottom w:val="single" w:sz="8" w:space="0" w:color="000000"/>
              <w:right w:val="single" w:sz="4" w:space="0" w:color="000000"/>
            </w:tcBorders>
            <w:shd w:val="clear" w:color="auto" w:fill="FFFFFF"/>
            <w:tcMar>
              <w:left w:w="108" w:type="dxa"/>
              <w:right w:w="108" w:type="dxa"/>
            </w:tcMar>
          </w:tcPr>
          <w:p w14:paraId="46E0C1A4"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bottom w:val="single" w:sz="8" w:space="0" w:color="000000"/>
              <w:right w:val="single" w:sz="8" w:space="0" w:color="000000"/>
            </w:tcBorders>
            <w:shd w:val="clear" w:color="auto" w:fill="FFFFFF"/>
            <w:tcMar>
              <w:left w:w="108" w:type="dxa"/>
              <w:right w:w="108" w:type="dxa"/>
            </w:tcMar>
          </w:tcPr>
          <w:p w14:paraId="37718A58" w14:textId="77777777" w:rsidR="00E2476B" w:rsidRDefault="00E2476B" w:rsidP="0018419C">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151333EC" w14:textId="77777777" w:rsidTr="0018419C">
        <w:trPr>
          <w:trHeight w:val="1361"/>
          <w:jc w:val="center"/>
        </w:trPr>
        <w:tc>
          <w:tcPr>
            <w:tcW w:w="9923" w:type="dxa"/>
            <w:gridSpan w:val="20"/>
            <w:tcBorders>
              <w:top w:val="single" w:sz="8" w:space="0" w:color="000000"/>
              <w:left w:val="single" w:sz="8" w:space="0" w:color="000000"/>
              <w:bottom w:val="single" w:sz="8" w:space="0" w:color="000000"/>
              <w:right w:val="single" w:sz="8" w:space="0" w:color="000000"/>
            </w:tcBorders>
            <w:shd w:val="clear" w:color="auto" w:fill="FFFFFF"/>
            <w:vAlign w:val="center"/>
          </w:tcPr>
          <w:p w14:paraId="1FB9CFFF"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366D377D"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16F685B0"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0A736B29"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[Intervalle de confiance à 95 %].</w:t>
            </w:r>
          </w:p>
          <w:p w14:paraId="08E2BC8B"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Champ </w:t>
            </w:r>
            <w:r>
              <w:rPr>
                <w:rFonts w:ascii="Times New Roman" w:eastAsia="Arial" w:hAnsi="Times New Roman" w:cs="Times New Roman"/>
                <w:color w:val="000000"/>
                <w:sz w:val="14"/>
                <w:szCs w:val="14"/>
              </w:rPr>
              <w:t>: 20-69 ans, France métropolitaine, ménages ordinaires. Pour Virage PG : pourcentages pondérés. Pour Virage LGBT : pourcentages et effectifs non pondérés.</w:t>
            </w:r>
            <w:r>
              <w:rPr>
                <w:rFonts w:ascii="Times New Roman" w:eastAsia="Arial" w:hAnsi="Times New Roman" w:cs="Times New Roman"/>
                <w:color w:val="000000"/>
                <w:sz w:val="14"/>
                <w:szCs w:val="14"/>
              </w:rPr>
              <w:br/>
            </w: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30,9% des femmes homosexuelles dans l'enquête Virage en population générale ont entre 20 et 29 ans, avec un intervalle de confiance à 95% de [20% - 45%].</w:t>
            </w:r>
          </w:p>
          <w:p w14:paraId="7D67E042"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Sources : </w:t>
            </w:r>
            <w:r>
              <w:rPr>
                <w:rFonts w:ascii="Times New Roman" w:eastAsia="Arial" w:hAnsi="Times New Roman" w:cs="Times New Roman"/>
                <w:color w:val="000000"/>
                <w:sz w:val="14"/>
                <w:szCs w:val="14"/>
              </w:rPr>
              <w:t>Enquête Virage PG, Ined, 2015 ; enquête Virage LGBT, Ined, 2015-2016.</w:t>
            </w:r>
          </w:p>
        </w:tc>
      </w:tr>
    </w:tbl>
    <w:p w14:paraId="1CBBA699" w14:textId="77777777" w:rsidR="00E2476B" w:rsidRDefault="00E2476B" w:rsidP="00E2476B">
      <w:pPr>
        <w:pStyle w:val="Titre4"/>
      </w:pPr>
      <w:commentRangeStart w:id="23"/>
      <w:r>
        <w:t>Les âges genrés des identifications bisexuelles</w:t>
      </w:r>
      <w:commentRangeEnd w:id="23"/>
      <w:r>
        <w:rPr>
          <w:rStyle w:val="Marquedecommentaire"/>
          <w:rFonts w:asciiTheme="minorHAnsi" w:eastAsiaTheme="minorHAnsi" w:hAnsiTheme="minorHAnsi" w:cstheme="minorBidi"/>
          <w:i w:val="0"/>
          <w:iCs w:val="0"/>
          <w:color w:val="auto"/>
        </w:rPr>
        <w:commentReference w:id="23"/>
      </w:r>
    </w:p>
    <w:p w14:paraId="65F30875" w14:textId="77777777" w:rsidR="00E2476B" w:rsidRDefault="00E2476B" w:rsidP="00E2476B">
      <w:pPr>
        <w:pStyle w:val="FirstParagraph"/>
      </w:pPr>
      <w:r>
        <w:t xml:space="preserve">Les femmes bisexuelles sont nettement plus jeunes que les hétérosexuelles, presque la moitié ont moins de 30 ans, les hommes bisexuels sont au contraire plus âgés : plus de la moitié d'entre eux ont plus de 50 ans, c’est plus que les homosexuels et les hétérosexuels. Ce clivage est moins net </w:t>
      </w:r>
      <w:r>
        <w:lastRenderedPageBreak/>
        <w:t xml:space="preserve">dans Virage LGBT dont le mode de collecte surreprésente les personnes jeunes. Plusieurs interprétations sont possibles pour expliquer cette asymétrie d’âge entre des hommes bisexuels plus âgés et des femmes bisexuelles plus jeunes. </w:t>
      </w:r>
    </w:p>
    <w:p w14:paraId="37985848" w14:textId="77777777" w:rsidR="00E2476B" w:rsidRDefault="00E2476B" w:rsidP="00E2476B">
      <w:pPr>
        <w:pStyle w:val="Corpsdetexte"/>
      </w:pPr>
      <w:r>
        <w:t xml:space="preserve">La surreprésentation des hommes bis peut relever d’un effet de contexte : « pour la génération des 50-69 ans, s’identifier comme bisexuel a pu être plus accessible que comme gay » (Trachman et </w:t>
      </w:r>
      <w:proofErr w:type="spellStart"/>
      <w:r>
        <w:t>Lejbowicz</w:t>
      </w:r>
      <w:proofErr w:type="spellEnd"/>
      <w:r>
        <w:t xml:space="preserve"> 2020), notamment dans des milieux sociaux où les modes de vie gais ne sont pas forcément réalisables ou désirés (Trachman et </w:t>
      </w:r>
      <w:proofErr w:type="spellStart"/>
      <w:r>
        <w:t>Lejbowicz</w:t>
      </w:r>
      <w:proofErr w:type="spellEnd"/>
      <w:r>
        <w:t xml:space="preserve"> 2018). Nous proposons une interprétation alternative, celle d’un effet de calendrier biographique. La pression à la conformité hétérosexuelle et conjugale s’exerce de manière plus intense au cours de la jeunesse (Bergström, </w:t>
      </w:r>
      <w:proofErr w:type="spellStart"/>
      <w:r>
        <w:t>Courtel</w:t>
      </w:r>
      <w:proofErr w:type="spellEnd"/>
      <w:r>
        <w:t xml:space="preserve"> et Vivier 2019), contraignant les hommes bisexuels à se maintenir du côté de l’hétérosexualité. Avec l’avancée en âge et à la faveur d’événements comme des séparations, l’autonomisation financière ou l’émancipation vis-à-vis des contrôles familiaux, l’affirmation tardive de sa bisexualité devient possible (</w:t>
      </w:r>
      <w:proofErr w:type="spellStart"/>
      <w:r>
        <w:t>Dusseau</w:t>
      </w:r>
      <w:proofErr w:type="spellEnd"/>
      <w:r>
        <w:t xml:space="preserve"> 2017). Il serait intéressant d’observer la proportion d’hommes bisexuels âgés dans les enquêtes plus récentes comme Contexte des Sexualités en France (CSF2023, Inserm) pour prolonger cette analyse. </w:t>
      </w:r>
    </w:p>
    <w:p w14:paraId="6A7F8B95" w14:textId="77777777" w:rsidR="00E2476B" w:rsidRDefault="00E2476B" w:rsidP="00E2476B">
      <w:pPr>
        <w:pStyle w:val="Corpsdetexte"/>
      </w:pPr>
      <w:r>
        <w:t xml:space="preserve">Chez les jeunes femmes des effets de génération et de genre se conjuguent pour expliquer une meilleure acceptabilité de la bisexualité, socialement conçue comme transitoire (Trachman et </w:t>
      </w:r>
      <w:proofErr w:type="spellStart"/>
      <w:r>
        <w:t>Lejbowicz</w:t>
      </w:r>
      <w:proofErr w:type="spellEnd"/>
      <w:r>
        <w:t xml:space="preserve"> 2020, Trachman et </w:t>
      </w:r>
      <w:proofErr w:type="spellStart"/>
      <w:r>
        <w:t>Lejbowicz</w:t>
      </w:r>
      <w:proofErr w:type="spellEnd"/>
      <w:r>
        <w:t xml:space="preserve"> 2018). La contrainte à l’hétérosexualité et l’occultation du lesbianisme </w:t>
      </w:r>
      <w:proofErr w:type="gramStart"/>
      <w:r>
        <w:t>incitent</w:t>
      </w:r>
      <w:proofErr w:type="gramEnd"/>
      <w:r>
        <w:t xml:space="preserve"> à abandonner cette identification avec l’avancée en âge (Rich 1981, </w:t>
      </w:r>
      <w:proofErr w:type="spellStart"/>
      <w:r>
        <w:t>Chetcuti-Osorovitz</w:t>
      </w:r>
      <w:proofErr w:type="spellEnd"/>
      <w:r>
        <w:t xml:space="preserve"> 2010). Ces effets se reflètent dans la part moins importante de parcours homosexuels exclusifs féminins (Rault et Lambert 2019). Une autre piste interprétative est celle d’une plus grande fluidité sexuelle et de genre au sein des jeunes générations féminines (Trachman 2025) entraînant une moindre identification aux monosexualités.</w:t>
      </w:r>
    </w:p>
    <w:p w14:paraId="3A1AD3A2" w14:textId="77777777" w:rsidR="00E2476B" w:rsidRDefault="00E2476B" w:rsidP="00E2476B">
      <w:pPr>
        <w:pStyle w:val="FirstParagraph"/>
      </w:pPr>
      <w:r>
        <w:rPr>
          <w:lang w:bidi="en-US"/>
        </w:rPr>
        <w:t xml:space="preserve">Ainsi, on ne déclare pas la même appartenance sexuelle selon son âge et son assignation de sexe, ce qui a un impact sur les bisexualités mesurées dans l’enquête. Ce constat nous mène à formuler une </w:t>
      </w:r>
      <w:r>
        <w:rPr>
          <w:b/>
          <w:bCs/>
          <w:lang w:bidi="en-US"/>
        </w:rPr>
        <w:t>première hypothèse</w:t>
      </w:r>
      <w:r>
        <w:rPr>
          <w:lang w:bidi="en-US"/>
        </w:rPr>
        <w:t xml:space="preserve"> : </w:t>
      </w:r>
      <w:r>
        <w:rPr>
          <w:i/>
          <w:iCs/>
          <w:lang w:bidi="en-US"/>
        </w:rPr>
        <w:t xml:space="preserve">l’âge, comme rapport social </w:t>
      </w:r>
      <w:r>
        <w:t xml:space="preserve">(Rennes </w:t>
      </w:r>
      <w:proofErr w:type="gramStart"/>
      <w:r>
        <w:t>2016;</w:t>
      </w:r>
      <w:proofErr w:type="gramEnd"/>
      <w:r>
        <w:t xml:space="preserve"> Rennes 2019a; Rennes 2019b)</w:t>
      </w:r>
      <w:r>
        <w:rPr>
          <w:i/>
          <w:iCs/>
          <w:lang w:bidi="en-US"/>
        </w:rPr>
        <w:t>, est déterminant dans les configurations conjugales bisexuelles</w:t>
      </w:r>
      <w:r>
        <w:rPr>
          <w:lang w:bidi="en-US"/>
        </w:rPr>
        <w:t xml:space="preserve">. </w:t>
      </w:r>
      <w:r>
        <w:t xml:space="preserve">La jeunesse, qui s’allonge au cours du XXème siècle, est une période d’apprentissage conjugal et sexuel (Bergström 2025b). Elle implique des comportements conjugaux spécifiques dans la vingtaine : alternance entre périodes de couple et de célibat, recul de l’âge à la cohabitation, maintien d’une mise en couple de </w:t>
      </w:r>
      <w:r>
        <w:lastRenderedPageBreak/>
        <w:t xml:space="preserve">femmes plus jeunes avec des hommes légèrement plus âgés (Bozon 2006b) entraînant un taux de célibat différencié entre hommes et femmes aux mêmes âges. Avec l’augmentation des séparations, le célibat devient une expérience renouvelée au cours de la vie. Pour les femmes, l’avancée en âge reflète une trajectoire conjugale et familiale passée (Bergström 2019) et réduit la probabilité de se remettre en couple. L’âge reflète également des variations générationnelles du modèle conjugal : rapport au mariage et à la parentalité. Les minorités sexuelles quant à elles sont assimilées à la jeunesse, le passage à l’âge adulte étant défini par des normes hétérosexuelles comme la mise en couple cohabitant, le fait de se marier et avoir des enfants (Freeman 2010). Ainsi, « ce sont à la fois d’autres usages et perceptions de la conjugalité, de la sexualité et de leur articulation qui sont à l’œuvre dans le groupe. » (Rault et Lambert 2019, p.184). La position particulière des personnes bisexuelles dans la structure d’âge sera contrôlée pour isoler les effets d’âge et de génération sur la conjugalité. </w:t>
      </w:r>
    </w:p>
    <w:p w14:paraId="3235B509" w14:textId="77777777" w:rsidR="00E2476B" w:rsidRDefault="00E2476B" w:rsidP="00E2476B">
      <w:pPr>
        <w:pStyle w:val="Titre4"/>
      </w:pPr>
      <w:r>
        <w:t xml:space="preserve">Des hommes bis plus ruraux et des femmes </w:t>
      </w:r>
      <w:proofErr w:type="spellStart"/>
      <w:r>
        <w:t>bies</w:t>
      </w:r>
      <w:proofErr w:type="spellEnd"/>
      <w:r>
        <w:t xml:space="preserve"> plus urbaines</w:t>
      </w:r>
    </w:p>
    <w:p w14:paraId="516EE32D" w14:textId="77777777" w:rsidR="00E2476B" w:rsidRDefault="00E2476B" w:rsidP="00E2476B">
      <w:pPr>
        <w:pStyle w:val="Corpsdetexte"/>
      </w:pPr>
      <w:r>
        <w:t xml:space="preserve">L’observation de la taille d’agglomération confirme la sous-représentation des gays dans la ruralité (Trachman et </w:t>
      </w:r>
      <w:proofErr w:type="spellStart"/>
      <w:r>
        <w:t>Lejbowicz</w:t>
      </w:r>
      <w:proofErr w:type="spellEnd"/>
      <w:r>
        <w:t xml:space="preserve"> 2020). Ils vivent deux fois plus souvent que les bisexuels et les hétérosexuels dans les agglos de plus de 200 000 habitants et moins souvent que les hétérosexuels dans les agglos de moins de 20 000 habitants. Dans Virage LGBT l’écart entre hommes bis et gays se réduit. Ces résultats ne doivent pas donner l’illusion d’une invisibilité des minorités sexuelles hors des centres urbains. L’opposition urbain / rural masque en réalité un brouillage des frontières (Giraud 2026). Toutefois, l’enquête ERAS</w:t>
      </w:r>
      <w:r>
        <w:rPr>
          <w:rStyle w:val="Appelnotedebasdep"/>
        </w:rPr>
        <w:footnoteReference w:id="11"/>
      </w:r>
      <w:r>
        <w:t xml:space="preserve"> montre une polarisation entre d’une part des hommes qui ont des rapports sexuels avec d’autres hommes ruraux, peu diplômés, plus souvent bisexuels, moins nombreux à fréquenter les espaces communautaires avec moins d’opportunités de rencontres sexuelles et un entourage majoritairement hétérosexuel, proches des bisexuels de l’enquête Virage PG. Ils sont plus souvent en couple avec une femme, configuration bien moins fréquente dans les autres espaces considérés. D’autre part, des Parisiens aux caractéristiques inverses, plus proches des bisexuels de Virage LGBT (</w:t>
      </w:r>
      <w:proofErr w:type="spellStart"/>
      <w:r>
        <w:t>Trawalé</w:t>
      </w:r>
      <w:proofErr w:type="spellEnd"/>
      <w:r>
        <w:t xml:space="preserve"> et al. 2026). </w:t>
      </w:r>
    </w:p>
    <w:p w14:paraId="260E0513" w14:textId="77777777" w:rsidR="00E2476B" w:rsidRDefault="00E2476B" w:rsidP="00E2476B">
      <w:pPr>
        <w:pStyle w:val="Corpsdetexte"/>
      </w:pPr>
      <w:r>
        <w:lastRenderedPageBreak/>
        <w:t xml:space="preserve">30,1% des bisexuelles vivent dans une grande agglomération, contre 20,2% des hétérosexuelles (p-valeur = 0,012). Lesbiennes et bisexuelles vivent moins souvent dans des agglomérations de moins de 20 000 habitants que les hétérosexuelles qui sont pour moitié dans cette situation. </w:t>
      </w:r>
    </w:p>
    <w:p w14:paraId="02E56793" w14:textId="77777777" w:rsidR="00E2476B" w:rsidRPr="007E6527" w:rsidRDefault="00E2476B" w:rsidP="00E2476B">
      <w:pPr>
        <w:pStyle w:val="Corpsdetexte"/>
      </w:pPr>
      <w:r>
        <w:t xml:space="preserve">Nous formulons une </w:t>
      </w:r>
      <w:r>
        <w:rPr>
          <w:b/>
          <w:bCs/>
        </w:rPr>
        <w:t>deuxième hypothèse</w:t>
      </w:r>
      <w:r>
        <w:t xml:space="preserve"> : </w:t>
      </w:r>
      <w:r>
        <w:rPr>
          <w:i/>
          <w:iCs/>
        </w:rPr>
        <w:t xml:space="preserve">L’appartenance à une minorité sexuelle s’exprime différemment selon le lieu de résidence et influence les situations conjugales bisexuelles. </w:t>
      </w:r>
      <w:r>
        <w:t xml:space="preserve">L’identification même à la bisexualité peut revêtir des significations différentes selon l’appartenance territoriale. La plus grande probabilité pour les hommes bisexuels ruraux d’être en couple avec une femme est un premier exemple du lien entre territorialité et conjugalité bisexuelle. Nous utiliserons donc la taille d’agglomération, en plus de l’âge, comme variable à contrôler pour observer les configurations conjugales. </w:t>
      </w:r>
    </w:p>
    <w:p w14:paraId="35C31253" w14:textId="77777777" w:rsidR="00E2476B" w:rsidRDefault="00E2476B" w:rsidP="00E2476B">
      <w:pPr>
        <w:pStyle w:val="Titre4"/>
      </w:pPr>
      <w:commentRangeStart w:id="24"/>
      <w:r>
        <w:t xml:space="preserve">Une position économique floue </w:t>
      </w:r>
      <w:commentRangeEnd w:id="24"/>
      <w:r>
        <w:rPr>
          <w:rStyle w:val="Marquedecommentaire"/>
          <w:rFonts w:asciiTheme="minorHAnsi" w:eastAsiaTheme="minorHAnsi" w:hAnsiTheme="minorHAnsi" w:cstheme="minorBidi"/>
          <w:i w:val="0"/>
          <w:iCs w:val="0"/>
          <w:color w:val="auto"/>
        </w:rPr>
        <w:commentReference w:id="24"/>
      </w:r>
    </w:p>
    <w:p w14:paraId="17A2BC2B" w14:textId="77777777" w:rsidR="00E2476B" w:rsidRDefault="00E2476B" w:rsidP="00E2476B">
      <w:pPr>
        <w:pStyle w:val="Corpsdetexte"/>
      </w:pPr>
      <w:r>
        <w:t xml:space="preserve">Les lesbiennes et bisexuelles sont deux fois plus souvent ouvrières que les hétérosexuelles. Comme les gays elles sont plus souvent diplômées du 2e cycle que les </w:t>
      </w:r>
      <w:proofErr w:type="spellStart"/>
      <w:r>
        <w:t>hétérosexuel·les</w:t>
      </w:r>
      <w:proofErr w:type="spellEnd"/>
      <w:r>
        <w:t xml:space="preserve"> et les bisexuels (Trachman et </w:t>
      </w:r>
      <w:proofErr w:type="spellStart"/>
      <w:r>
        <w:t>Lejbowicz</w:t>
      </w:r>
      <w:proofErr w:type="spellEnd"/>
      <w:r>
        <w:t xml:space="preserve"> 2020).</w:t>
      </w:r>
      <w:bookmarkStart w:id="25" w:name="X1c2dd5c63bfbca861f8810d3b637a992256f0c1"/>
      <w:r>
        <w:t xml:space="preserve"> Les femmes bisexuelles sont 48,4% à déclarer un revenu individuel inférieur à 1 000€ contre 31% des hétérosexuelles. Cet écart se retrouve avec les lesbiennes dans Virage LGBT où près de la moitié des bisexuelles déclarent des revenus inférieurs à 1 000€ contre un peu plus d’un quart des lesbiennes. La situation financière déclarée nous permet de ne pas interpréter trop hâtivement ce résultat. Les bisexuelles déclarent autant que les hétérosexuelles et lesbiennes être à l’aise. Dans Virage LGBT, 55% des bisexuelles déclarent cette situation contre 63% des lesbiennes. L’écart de 8 points de pourcentage est nettement inférieur à l’écart de revenu déclaré. Une piste d’interprétation réside dans la structure d’âge des bisexuelles. Elles sont plus souvent dans la catégorie 20 - 29 ans et également plus souvent étudiantes. </w:t>
      </w:r>
      <w:bookmarkEnd w:id="25"/>
    </w:p>
    <w:p w14:paraId="59198913" w14:textId="77777777" w:rsidR="00E2476B" w:rsidRDefault="00E2476B" w:rsidP="00E2476B">
      <w:pPr>
        <w:pStyle w:val="Corpsdetexte"/>
      </w:pPr>
      <w:r>
        <w:t xml:space="preserve">La moitié des hommes bis sont ouvriers ou employés, leur niveau de diplôme est proche de celui des hommes hétéros. Le revenu déclaré et la situation financière ressentie ne sont pas significatifs. </w:t>
      </w:r>
    </w:p>
    <w:p w14:paraId="43AC745F" w14:textId="77777777" w:rsidR="00E2476B" w:rsidRDefault="00E2476B" w:rsidP="00E2476B">
      <w:pPr>
        <w:pStyle w:val="Corpsdetexte"/>
      </w:pPr>
      <w:r>
        <w:t>L’appréhension de la classe sociale par la PCS, le diplôme, le revenu déclaré ou la situation financière ne permet pas une compréhension fine de celle-ci, particulièrement quand les individus sont en couple. Nous observerons des variables économiques liées au couple en troisième partie de ce chapitre. L’observation de l’homogamie sociale, variable d’un milieu à un autre et correspondant à des trajectoires et processus très divers (Bozon 2006</w:t>
      </w:r>
      <w:proofErr w:type="gramStart"/>
      <w:r>
        <w:t>a;</w:t>
      </w:r>
      <w:proofErr w:type="gramEnd"/>
      <w:r>
        <w:t xml:space="preserve"> Singly 1987),  n’est pas mobilisable sur </w:t>
      </w:r>
      <w:r>
        <w:lastRenderedPageBreak/>
        <w:t>nos petits échantillons. De plus l’homogamie repose aujourd’hui également sur les usages et pratiques (Bergström 2019), moins accessibles dans l’enquête Virage.</w:t>
      </w:r>
    </w:p>
    <w:p w14:paraId="49F92B84" w14:textId="77777777" w:rsidR="00E2476B" w:rsidRDefault="00E2476B" w:rsidP="00E2476B">
      <w:pPr>
        <w:pStyle w:val="Corpsdetexte"/>
      </w:pPr>
      <w:r>
        <w:t>Si le lien entre identification sexuelle et classe sociale est plus complexe à saisir statistiquement, les rapports de classe différencient les trajectoires conjugales des individus. Alors que pendant une bonne partie du XXe siècle les femmes diplômées du supérieur restaient souvent célibataires, l’allongement des études a généralisé l’expérience du célibat dans la vingtaine et le fait d’être très diplômée ne pénalise plus les femmes en amour (Bouchet-Valat 2025). Contrairement aux hommes pour qui l’écart s’est creusé en défaveur des moins diplômés. Après une séparation, les femmes des classes favorisées retrouvent plus souvent et plus vite une vie conjugale (Bergström 2019). Les rapports d’âge, de genre et de classe sont imbriqués dans les chances de rencontre et produisent des configurations conjugales différenciées. La sexualité structure aussi les situations conjugales. Les couples gays sont moins homogames du point de vue de l’âge, du revenu et du niveau d’éducation, selon un principe de complémentarité plutôt qu’un principe d’égalité dans les couples lesbiens (</w:t>
      </w:r>
      <w:proofErr w:type="spellStart"/>
      <w:r>
        <w:t>Kurdek</w:t>
      </w:r>
      <w:proofErr w:type="spellEnd"/>
      <w:r>
        <w:t xml:space="preserve"> et Schmitt 1987). La rencontre plus fréquente sur le lieu de travail ou dans les études chez les lesbiennes explique en partie leur plus forte ressemblance sociale, tandis que les rencontres entre hommes se sont plutôt faites historiquement dans des lieux extérieurs et établissements dédiés puis sur les applications (Rault 2025). Ainsi nous formulons une </w:t>
      </w:r>
      <w:r>
        <w:rPr>
          <w:b/>
          <w:bCs/>
        </w:rPr>
        <w:t>troisième hypothèse</w:t>
      </w:r>
      <w:r>
        <w:t xml:space="preserve"> : </w:t>
      </w:r>
      <w:r>
        <w:rPr>
          <w:i/>
          <w:iCs/>
        </w:rPr>
        <w:t>l’appartenance de classe des personnes bisexuelles influence leurs situations conjugales.</w:t>
      </w:r>
      <w:r>
        <w:t xml:space="preserve"> </w:t>
      </w:r>
    </w:p>
    <w:p w14:paraId="770739F8" w14:textId="77777777" w:rsidR="00E2476B" w:rsidRDefault="00E2476B" w:rsidP="00E2476B">
      <w:pPr>
        <w:pStyle w:val="Corpsdetexte"/>
      </w:pPr>
      <w:r>
        <w:t xml:space="preserve">La mise en avant de la classe, l’âge et la territorialité comme rapports sociaux statistiquement et sociologiquement liés à l’identification sexuelle, bien que non exhaustifs, permet une compréhension plus complexe des conjugalités bisexuelles. </w:t>
      </w:r>
    </w:p>
    <w:p w14:paraId="6B47E92F" w14:textId="77777777" w:rsidR="00E2476B" w:rsidRDefault="00E2476B" w:rsidP="00E2476B">
      <w:pPr>
        <w:pStyle w:val="Titre4"/>
      </w:pPr>
      <w:r>
        <w:t xml:space="preserve">Le célibat des hommes bisexuels et la conjugalité des femmes bisexuelles </w:t>
      </w:r>
    </w:p>
    <w:p w14:paraId="40C9A749" w14:textId="77777777" w:rsidR="00E2476B" w:rsidRDefault="00E2476B" w:rsidP="00E2476B">
      <w:pPr>
        <w:pStyle w:val="FirstParagraph"/>
      </w:pPr>
      <w:r>
        <w:t xml:space="preserve">Intéressons-nous maintenant aux situations conjugales. Au moment de l’enquête les bisexuelles et lesbiennes sont moins souvent en couple que les hétérosexuelles. C’est également le cas des hommes, avec ici une spécificité des hommes bisexuels, seulement 29,4% sont en couple au moment de l’enquête contre 54,4% des gays et 73,7% des hétérosexuels. Dans Virage LGBT, pourtant plus jeunes et urbaines, les femmes bisexuelles et lesbiennes sont plus souvent en couple qu’en population générale. Le résultat est étonnant : le célibat est une situation plus fréquente dans la jeunesse, propice à diverses formes de relations amoureuses et sexuelles (Bouchet-Valat 2025) et </w:t>
      </w:r>
      <w:r>
        <w:lastRenderedPageBreak/>
        <w:t xml:space="preserve">particulièrement chez les jeunes vivant dans une grande ville (Bergström et </w:t>
      </w:r>
      <w:proofErr w:type="spellStart"/>
      <w:r>
        <w:t>Maillochon</w:t>
      </w:r>
      <w:proofErr w:type="spellEnd"/>
      <w:r>
        <w:t xml:space="preserve"> 2025). La sociabilité communautaire plus forte dans l’échantillon Virage LGBT, facilitant les rencontres, peut expliquer en partie cette proportion plus forte à être en couple.</w:t>
      </w:r>
    </w:p>
    <w:p w14:paraId="13237510" w14:textId="77777777" w:rsidR="00E2476B" w:rsidRDefault="00E2476B" w:rsidP="00E2476B">
      <w:pPr>
        <w:pStyle w:val="Corpsdetexte"/>
      </w:pPr>
      <w:r>
        <w:t>La photographie à un instant t est insuffisante pour dresser un panorama des situations conjugales. Quand on s’intéresse aux 12 derniers mois, la situation des hommes bisexuels se confirme. Leur célibat est relativement long (plus d’un an) ou entrecoupé de relations courtes (moins de 4 mois). Les femmes sont un peu plus nombreuses à avoir connu un couple d’au moins 4 mois au cours des douze derniers mois qu’au moment de l’enquête. Dans Virage LGBT elles sont encore plus nombreuses à avoir connu cette expérience dans l’année. L’expérience du couple est donc majoritaire chez les femmes, quels que soit l’identification et l’échantillon.</w:t>
      </w:r>
    </w:p>
    <w:p w14:paraId="524E9C9C" w14:textId="77777777" w:rsidR="00E2476B" w:rsidRDefault="00E2476B" w:rsidP="00E2476B">
      <w:pPr>
        <w:pStyle w:val="Corpsdetexte"/>
      </w:pPr>
      <w:r>
        <w:t xml:space="preserve">Les lesbiennes ont moins souvent des enfants que les bisexuelles qui ont elles-mêmes moins souvent des enfants que les hétérosexuelles : 20,7% des lesbiennes, 45,9% des bisexuelles et 73,7% des hétérosexuelles. Idem chez les hommes : seulement 6,2% des gays ont des enfants, 41,8% des bisexuels et 66% des hétérosexuels. L’écart se réduit dans Virage LGBT entre bis et gays avec toutefois une différence de 18 points de pourcentage. La population de Virage LGBT est majoritairement sans enfant. Des recherches anglophones montrent que les </w:t>
      </w:r>
      <w:proofErr w:type="spellStart"/>
      <w:r>
        <w:t>bi·es</w:t>
      </w:r>
      <w:proofErr w:type="spellEnd"/>
      <w:r>
        <w:t xml:space="preserve"> sont surtout parents au sein d’unions de sexe différent, passées ou présentes (Gates 2015). </w:t>
      </w:r>
    </w:p>
    <w:p w14:paraId="2CDAF68C" w14:textId="77777777" w:rsidR="00E2476B" w:rsidRDefault="00E2476B" w:rsidP="00E2476B">
      <w:pPr>
        <w:pStyle w:val="Corpsdetexte"/>
      </w:pPr>
      <w:r>
        <w:t xml:space="preserve">Enfin, nous reprenons dans le </w:t>
      </w:r>
      <w:hyperlink w:anchor="_toc90">
        <w:r>
          <w:rPr>
            <w:rStyle w:val="Lienhypertexte"/>
          </w:rPr>
          <w:t>Tableau 1</w:t>
        </w:r>
      </w:hyperlink>
      <w:r>
        <w:t xml:space="preserve"> la variable du type de couple</w:t>
      </w:r>
      <w:r>
        <w:rPr>
          <w:rStyle w:val="Appelnotedebasdep"/>
        </w:rPr>
        <w:footnoteReference w:id="12"/>
      </w:r>
      <w:r>
        <w:t xml:space="preserve">. Les couples de même sexe sont minoritaires chez </w:t>
      </w:r>
      <w:proofErr w:type="gramStart"/>
      <w:r>
        <w:t xml:space="preserve">les </w:t>
      </w:r>
      <w:proofErr w:type="spellStart"/>
      <w:r>
        <w:t>bisexuel</w:t>
      </w:r>
      <w:proofErr w:type="gramEnd"/>
      <w:r>
        <w:t>·les</w:t>
      </w:r>
      <w:proofErr w:type="spellEnd"/>
      <w:r>
        <w:t xml:space="preserve"> de Virage PG : seulement 5,6% des femmes bisexuelles et 5,8% des hommes bisexuels (sur l’ensemble des individus, en couple et célibataires). Les bisexuelles de Virage LGBT sont plus souvent en couple de même sexe (38,1%) qu’en couple de sexe différent. Les hommes bis restent plus souvent en couple de sexe différent mais surtout majoritairement célibataires (45,4%). </w:t>
      </w:r>
    </w:p>
    <w:p w14:paraId="67312595" w14:textId="77777777" w:rsidR="00E2476B" w:rsidRDefault="00E2476B" w:rsidP="00E2476B">
      <w:pPr>
        <w:pStyle w:val="Corpsdetexte"/>
      </w:pPr>
      <w:r>
        <w:t xml:space="preserve">Ces premiers résultats sont un indice du rapport spécifique des personnes bisexuelles à la conjugalité : si elle est plus souvent tournée vers l’autre sexe dans la population générale, elle ne s’exprime toutefois pas de la même façon que la conjugalité hétérosexuelle. Les femmes </w:t>
      </w:r>
      <w:r>
        <w:lastRenderedPageBreak/>
        <w:t>bisexuelles sont aussi souvent célibataires que les lesbiennes et elles ont moins souvent des enfants que les hétérosexuelles. Dans l’échantillon LGBT, où la bisexualité se rapproche de l’homosexualité, les bisexuelles sont légèrement plus souvent célibataires que les lesbiennes et elles ont moins souvent des enfants (p-valeur = 0,029). Chez les hommes bisexuels, l’expérience du célibat est majoritaire et invite à une analyse approfondie.</w:t>
      </w:r>
    </w:p>
    <w:p w14:paraId="637BC554" w14:textId="77777777" w:rsidR="00E2476B" w:rsidRDefault="00E2476B" w:rsidP="00E2476B">
      <w:pPr>
        <w:pStyle w:val="Titre4"/>
      </w:pPr>
      <w:bookmarkStart w:id="26" w:name="Xcae42f6acc7d3b966e9432b3701760fd712b3e2"/>
      <w:bookmarkEnd w:id="26"/>
      <w:r>
        <w:t>Deux échantillons, deux bisexualités</w:t>
      </w:r>
    </w:p>
    <w:p w14:paraId="1E4E1F8E" w14:textId="77777777" w:rsidR="00E2476B" w:rsidRDefault="00E2476B" w:rsidP="00E2476B">
      <w:pPr>
        <w:pStyle w:val="Corpsdetexte"/>
      </w:pPr>
      <w:r>
        <w:t xml:space="preserve">L’enquête Virage LGBT repose sur un échantillon de volontaires, sollicités en tant que LGBT, ce qui résulte en une frange plus mobilisée dans les espaces communautaires. De ce point de vue les répondants sont plus jeunes, plus diplômés, urbains et cadres et professions intellectuelles supérieures (Trachman et </w:t>
      </w:r>
      <w:proofErr w:type="spellStart"/>
      <w:r>
        <w:t>Lejbowicz</w:t>
      </w:r>
      <w:proofErr w:type="spellEnd"/>
      <w:r>
        <w:t xml:space="preserve"> 2020). En population générale on voit une position sociale des hommes bisexuels relativement proche de celle des hétérosexuels. Comparativement à cette enquête en population générale, l’échantillon de convenance de Virage LGBT a tendance à gommer ces disparités. Ce qui apparait spécifique aux homosexuels en population général (urbanité, position sociale supérieure, jeunesse) est accentué et caractérise aussi les bisexuels dans des proportions proches (</w:t>
      </w:r>
      <w:proofErr w:type="spellStart"/>
      <w:r>
        <w:t>Trawalé</w:t>
      </w:r>
      <w:proofErr w:type="spellEnd"/>
      <w:r>
        <w:t xml:space="preserve"> et al. 2026). La base LGBT conserve tout de même un nombre non négligeable d’hommes bisexuels âgés et de classe ouvrière, cette deuxième enquête ne semble pas distordre la population générale mais plutôt surreprésenter une certaine fraction, diplômée et urbaine, de celle-ci (Trachman et </w:t>
      </w:r>
      <w:proofErr w:type="spellStart"/>
      <w:r>
        <w:t>Lejbowicz</w:t>
      </w:r>
      <w:proofErr w:type="spellEnd"/>
      <w:r>
        <w:t xml:space="preserve"> 2020). </w:t>
      </w:r>
    </w:p>
    <w:p w14:paraId="361D3D9D" w14:textId="77777777" w:rsidR="00E2476B" w:rsidRDefault="00E2476B" w:rsidP="00E2476B">
      <w:pPr>
        <w:pStyle w:val="FirstParagraph"/>
      </w:pPr>
      <w:r>
        <w:t xml:space="preserve">Concernant la conjugalité, les </w:t>
      </w:r>
      <w:proofErr w:type="spellStart"/>
      <w:r>
        <w:t>bisexuel·les</w:t>
      </w:r>
      <w:proofErr w:type="spellEnd"/>
      <w:r>
        <w:t xml:space="preserve"> de Virage LGBT sont plus souvent en couple avec une personne de même sexe. Cette proximité avec l’homosexualité s’observe aussi dans les parcours sexuels. Mathieu Trachman et Tania </w:t>
      </w:r>
      <w:proofErr w:type="spellStart"/>
      <w:r>
        <w:t>Lejbowicz</w:t>
      </w:r>
      <w:proofErr w:type="spellEnd"/>
      <w:r>
        <w:t xml:space="preserve"> concluent ainsi à deux bisexualités, différentes du point de vue des parcours conjugaux et sexuels : les </w:t>
      </w:r>
      <w:proofErr w:type="spellStart"/>
      <w:r>
        <w:t>bisexuel·les</w:t>
      </w:r>
      <w:proofErr w:type="spellEnd"/>
      <w:r>
        <w:t xml:space="preserve"> de Virage PG sont </w:t>
      </w:r>
      <w:proofErr w:type="spellStart"/>
      <w:r>
        <w:t>polarisé·es</w:t>
      </w:r>
      <w:proofErr w:type="spellEnd"/>
      <w:r>
        <w:t xml:space="preserve"> vers l’autre sexe tandis que ceux de Virage LGBT sont plus proches de l’homosexualité. </w:t>
      </w:r>
    </w:p>
    <w:p w14:paraId="1AD17E43" w14:textId="77777777" w:rsidR="00E2476B" w:rsidRDefault="00E2476B" w:rsidP="00E2476B">
      <w:pPr>
        <w:pStyle w:val="Corpsdetexte"/>
      </w:pPr>
      <w:r>
        <w:t xml:space="preserve">Cela nous amène à notre </w:t>
      </w:r>
      <w:r>
        <w:rPr>
          <w:b/>
          <w:bCs/>
        </w:rPr>
        <w:t>quatrième hypothèse</w:t>
      </w:r>
      <w:r>
        <w:t xml:space="preserve"> : </w:t>
      </w:r>
      <w:r>
        <w:rPr>
          <w:i/>
          <w:iCs/>
        </w:rPr>
        <w:t>être en couple de même sexe ou de sexe différent influence les configurations conjugales bisexuelles</w:t>
      </w:r>
      <w:r>
        <w:t xml:space="preserve">. Les formes d’unions (libre, pacs, mariage, cohabitation) ne sont pas distribuées de façon égale selon les couples. L’ouverture du mariage aux couples de même sexe en 2013 pose la question de l’appropriation de cette institution par des personnes qui en étaient exclues. L’attrait des gays et lesbiennes pour le couple progresse au fil du temps (Adam </w:t>
      </w:r>
      <w:proofErr w:type="gramStart"/>
      <w:r>
        <w:t>1999;</w:t>
      </w:r>
      <w:proofErr w:type="gramEnd"/>
      <w:r>
        <w:t xml:space="preserve"> Meslay 2023). Les couples de femmes se marient plus jeunes que les couples d’hommes. Avant l’ouverture du mariage, les Pacs conclus par les couples de même sexe visent </w:t>
      </w:r>
      <w:r>
        <w:lastRenderedPageBreak/>
        <w:t>une reconnaissance de l’homosexualité en général, du conjoint de même sexe en particulier et peut servir de support pour les familles homoparentales (Rault 2009). Les pratiques de l’union libre, du pacs et du mariage ne sont pas les mêmes, ni quantitativement, ni qualitativement entre couples de même sexe et couples de sexe différent. Le mariage contemporain hétérosexuel ne représente plus un acte fondateur du couple, mais fonctionne comme un mode de valorisation d'un couple déjà installé par la cohabitation (</w:t>
      </w:r>
      <w:proofErr w:type="spellStart"/>
      <w:r>
        <w:t>Maillochon</w:t>
      </w:r>
      <w:proofErr w:type="spellEnd"/>
      <w:r>
        <w:t xml:space="preserve"> 2019). La norme cohabitante persiste quel que soit l’identification sexuelle dans l’enquête Envie, elle advient plutôt en fin de vingtaine mais continue d’être associée au couple (Rault et Régnier-</w:t>
      </w:r>
      <w:proofErr w:type="spellStart"/>
      <w:r>
        <w:t>Loilier</w:t>
      </w:r>
      <w:proofErr w:type="spellEnd"/>
      <w:r>
        <w:t xml:space="preserve"> 2025). Nous observerons comment les personnes bisexuelles se positionnent vis-à-vis de ces modes d’union dans l’enquête Virage. Compte tenu du type d’échantillon et de la structure des effectifs, nous utiliserons la base en population générale pour des observations généralisables à l’ensemble de la population et pour analyser les personnes bisexuelles en couple de sexe différent comparés aux hétérosexuels. La base LGBT sera utilisée pour comparer les personnes bisexuelles, par type de couple, aux homosexuel∙les. </w:t>
      </w:r>
    </w:p>
    <w:p w14:paraId="71E59C17" w14:textId="77777777" w:rsidR="00E2476B" w:rsidRDefault="00E2476B" w:rsidP="00E2476B">
      <w:pPr>
        <w:pStyle w:val="Corpsdetexte"/>
      </w:pPr>
      <w:r>
        <w:t xml:space="preserve">Des conclusions ont déjà été formulées sur des trajectoires bisexuelles à distance des normes de la sexualité féminine (entrée précoce dans la sexualité, nombre de partenaires sexuels plus important que les femmes hétérosexuelles) et des trajectoires masculines marquées par le célibat (Trachman et </w:t>
      </w:r>
      <w:proofErr w:type="spellStart"/>
      <w:r>
        <w:t>Lejbowicz</w:t>
      </w:r>
      <w:proofErr w:type="spellEnd"/>
      <w:r>
        <w:t xml:space="preserve"> 2018). Nous prolongeons ces analyses en se focalisant sur le couple. Nous nous demandons si le fait d’être en couple de même sexe ou de sexe différent entraîne un rapport à la conjugalité similaire à celui des personnes se déclarant homosexuelles ou hétérosexuelles. En résumé, </w:t>
      </w:r>
      <w:r>
        <w:rPr>
          <w:b/>
          <w:bCs/>
          <w:i/>
          <w:iCs/>
        </w:rPr>
        <w:t>on se demande s’il y a une spécificité des configurations bisexuelles dans l’enquête Virage ?</w:t>
      </w:r>
      <w:r>
        <w:t xml:space="preserve"> Comment les personnes se déclarant bisexuelles sont-elles positionnées vis-à-vis du couple et de son institutionnalisation par le mariage ? </w:t>
      </w:r>
    </w:p>
    <w:p w14:paraId="10A210B3" w14:textId="77777777" w:rsidR="00E2476B" w:rsidRDefault="00E2476B" w:rsidP="00E2476B">
      <w:pPr>
        <w:pStyle w:val="Titre3"/>
        <w:spacing w:before="120" w:after="0"/>
      </w:pPr>
      <w:bookmarkStart w:id="27" w:name="deux-échantillons-deux-bisexualités"/>
      <w:bookmarkStart w:id="28" w:name="_Toc236751578"/>
      <w:bookmarkEnd w:id="27"/>
      <w:r>
        <w:t>Les déterminants sociaux du couple</w:t>
      </w:r>
      <w:bookmarkStart w:id="29" w:name="Xeb584f4a2e2ab7012f25b1bfe5f928982bbe87f"/>
      <w:bookmarkStart w:id="30" w:name="Xbc5731b361f9659551e4d19e74b3d426cd93c50"/>
      <w:bookmarkEnd w:id="28"/>
      <w:r>
        <w:t xml:space="preserve"> en population générale</w:t>
      </w:r>
    </w:p>
    <w:p w14:paraId="34675DB2" w14:textId="77777777" w:rsidR="00E2476B" w:rsidRPr="00841895" w:rsidRDefault="00E2476B" w:rsidP="00E2476B">
      <w:pPr>
        <w:pStyle w:val="Corpsdetexte"/>
      </w:pPr>
      <w:r>
        <w:t xml:space="preserve">Pour étudier le rapport des personnes bisexuelles au couple il est nécessaire d’observer les conséquences d’autres caractéristiques sur la conjugalité. L’identification sexuelle, même quand son lien avec les variables conjugales est statistiquement significatif, n’est pas nécessairement un facteur causal. D’autres rapports sociaux interviennent dans les configurations conjugales. En effet, les calendriers conjugaux diffèrent entre hommes et femmes dans l’hétérosexualité. Les hommes se mettent en couple plus tard. Passé un certain âge, la probabilité de se (re)mettre en couple </w:t>
      </w:r>
      <w:r>
        <w:lastRenderedPageBreak/>
        <w:t xml:space="preserve">diminue pour les femmes, pas pour les hommes (Bergström, </w:t>
      </w:r>
      <w:proofErr w:type="spellStart"/>
      <w:r>
        <w:t>Courtel</w:t>
      </w:r>
      <w:proofErr w:type="spellEnd"/>
      <w:r>
        <w:t xml:space="preserve">, Vivier 2019). De plus, les personnes plus </w:t>
      </w:r>
      <w:proofErr w:type="spellStart"/>
      <w:r>
        <w:t>dôtés</w:t>
      </w:r>
      <w:proofErr w:type="spellEnd"/>
      <w:r>
        <w:t xml:space="preserve"> scolairement sont aussi moins souvent célibataires, particulièrement les hommes. Ainsi, l’observation du fait d’être en couple ou célibataires chez </w:t>
      </w:r>
      <w:proofErr w:type="gramStart"/>
      <w:r>
        <w:t xml:space="preserve">les </w:t>
      </w:r>
      <w:proofErr w:type="spellStart"/>
      <w:r>
        <w:t>bisexuel</w:t>
      </w:r>
      <w:proofErr w:type="gramEnd"/>
      <w:r>
        <w:t>∙les</w:t>
      </w:r>
      <w:proofErr w:type="spellEnd"/>
      <w:r>
        <w:t xml:space="preserve"> doit prendre en compte ces expériences de genre et de classe contrastées. L’âge enfin a un effet sur le célibat, indépendant du parcours conjugal et familial. La trentaine est un moment critique où l’expérience du célibat est la plus mitigée, les démarches pour rencontrer quelqu’un </w:t>
      </w:r>
      <w:proofErr w:type="gramStart"/>
      <w:r>
        <w:t>sont</w:t>
      </w:r>
      <w:proofErr w:type="gramEnd"/>
      <w:r>
        <w:t xml:space="preserve"> plus volontaristes et la pression sociale à la mise en couple est la plus forte. Ce constat se retrouve aussi chez les personnes ayant déjà cohabité ou </w:t>
      </w:r>
      <w:proofErr w:type="gramStart"/>
      <w:r>
        <w:t>été parentes</w:t>
      </w:r>
      <w:proofErr w:type="gramEnd"/>
      <w:r>
        <w:t xml:space="preserve">. </w:t>
      </w:r>
    </w:p>
    <w:p w14:paraId="7C82581E" w14:textId="77777777" w:rsidR="00E2476B" w:rsidRDefault="00E2476B" w:rsidP="00E2476B">
      <w:pPr>
        <w:pStyle w:val="Corpsdetexte"/>
      </w:pPr>
      <w:r>
        <w:t xml:space="preserve">On choisit la variable dépendante « avoir été en couple au moins quatre mois dans les douze derniers mois », car c’est celle qui est utilisée dans la suite du questionnaire, et présentons un panorama bivarié de sa distribution selon différentes caractéristiques sociales.  </w:t>
      </w:r>
    </w:p>
    <w:tbl>
      <w:tblPr>
        <w:tblStyle w:val="Table"/>
        <w:tblW w:w="5000" w:type="pct"/>
        <w:tblInd w:w="108" w:type="dxa"/>
        <w:tblLayout w:type="fixed"/>
        <w:tblLook w:val="0000" w:firstRow="0" w:lastRow="0" w:firstColumn="0" w:lastColumn="0" w:noHBand="0" w:noVBand="0"/>
      </w:tblPr>
      <w:tblGrid>
        <w:gridCol w:w="9404"/>
      </w:tblGrid>
      <w:tr w:rsidR="00E2476B" w14:paraId="201DC4FA" w14:textId="77777777" w:rsidTr="0018419C">
        <w:trPr>
          <w:trHeight w:val="5102"/>
        </w:trPr>
        <w:tc>
          <w:tcPr>
            <w:tcW w:w="9404" w:type="dxa"/>
          </w:tcPr>
          <w:p w14:paraId="2F7B6AAA" w14:textId="77777777" w:rsidR="00E2476B" w:rsidRDefault="00E2476B" w:rsidP="0018419C">
            <w:pPr>
              <w:pStyle w:val="Tableauuser"/>
              <w:spacing w:before="0"/>
              <w:rPr>
                <w:noProof/>
              </w:rPr>
            </w:pPr>
            <w:r>
              <w:rPr>
                <w:rFonts w:ascii="Aptos" w:eastAsia="Aptos" w:hAnsi="Aptos"/>
              </w:rPr>
              <w:t>Figure 1 : En couple, au moins 4 mois, au cours des 12 derniers mois.</w:t>
            </w:r>
          </w:p>
          <w:p w14:paraId="2CB7C7A9" w14:textId="77777777" w:rsidR="00E2476B" w:rsidRDefault="00E2476B" w:rsidP="0018419C">
            <w:pPr>
              <w:pStyle w:val="Compact"/>
              <w:rPr>
                <w:rFonts w:eastAsia="Aptos"/>
              </w:rPr>
            </w:pPr>
            <w:r>
              <w:rPr>
                <w:rFonts w:eastAsia="Aptos"/>
                <w:noProof/>
              </w:rPr>
              <w:lastRenderedPageBreak/>
              <w:drawing>
                <wp:inline distT="0" distB="0" distL="0" distR="0" wp14:anchorId="7E59EEE0" wp14:editId="5B2DFA63">
                  <wp:extent cx="5833581" cy="5828085"/>
                  <wp:effectExtent l="19050" t="19050" r="15240" b="203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5" cstate="print">
                            <a:extLst>
                              <a:ext uri="{28A0092B-C50C-407E-A947-70E740481C1C}">
                                <a14:useLocalDpi xmlns:a14="http://schemas.microsoft.com/office/drawing/2010/main" val="0"/>
                              </a:ext>
                            </a:extLst>
                          </a:blip>
                          <a:srcRect t="86" b="8"/>
                          <a:stretch/>
                        </pic:blipFill>
                        <pic:spPr bwMode="auto">
                          <a:xfrm>
                            <a:off x="0" y="0"/>
                            <a:ext cx="5834380" cy="5828883"/>
                          </a:xfrm>
                          <a:prstGeom prst="rect">
                            <a:avLst/>
                          </a:prstGeom>
                          <a:ln w="317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737850" w14:textId="77777777" w:rsidR="00E2476B" w:rsidRPr="00103647" w:rsidRDefault="00E2476B" w:rsidP="0018419C">
            <w:pPr>
              <w:spacing w:after="40"/>
              <w:ind w:left="102" w:right="102"/>
              <w:rPr>
                <w:rFonts w:ascii="Times New Roman" w:eastAsia="Arial" w:hAnsi="Times New Roman" w:cs="Times New Roman"/>
                <w:color w:val="000000"/>
                <w:sz w:val="16"/>
                <w:szCs w:val="16"/>
              </w:rPr>
            </w:pPr>
            <w:r w:rsidRPr="00103647">
              <w:rPr>
                <w:rFonts w:ascii="Times New Roman" w:eastAsia="Arial" w:hAnsi="Times New Roman" w:cs="Times New Roman"/>
                <w:color w:val="000000"/>
                <w:sz w:val="16"/>
                <w:szCs w:val="16"/>
              </w:rPr>
              <w:t>Test du Chi2 ajusté aux données pondérées, p-valeur toutes significatives (&lt; 0,05)</w:t>
            </w:r>
            <w:r w:rsidRPr="00103647">
              <w:rPr>
                <w:rFonts w:ascii="Times New Roman" w:eastAsia="Arial" w:hAnsi="Times New Roman" w:cs="Times New Roman"/>
                <w:b/>
                <w:bCs/>
                <w:color w:val="000000"/>
                <w:sz w:val="16"/>
                <w:szCs w:val="16"/>
              </w:rPr>
              <w:t xml:space="preserve"> </w:t>
            </w:r>
          </w:p>
          <w:p w14:paraId="65DB4756" w14:textId="77777777" w:rsidR="00E2476B" w:rsidRPr="00103647" w:rsidRDefault="00E2476B" w:rsidP="0018419C">
            <w:pPr>
              <w:spacing w:after="40"/>
              <w:ind w:left="102" w:right="102"/>
              <w:rPr>
                <w:rFonts w:ascii="Times New Roman" w:eastAsia="Arial" w:hAnsi="Times New Roman" w:cs="Times New Roman"/>
                <w:color w:val="000000"/>
                <w:sz w:val="16"/>
                <w:szCs w:val="16"/>
              </w:rPr>
            </w:pPr>
            <w:r w:rsidRPr="00103647">
              <w:rPr>
                <w:rFonts w:ascii="Times New Roman" w:eastAsia="Arial" w:hAnsi="Times New Roman" w:cs="Times New Roman"/>
                <w:b/>
                <w:bCs/>
                <w:color w:val="000000"/>
                <w:sz w:val="16"/>
                <w:szCs w:val="16"/>
              </w:rPr>
              <w:t xml:space="preserve">Champ </w:t>
            </w:r>
            <w:r w:rsidRPr="00103647">
              <w:rPr>
                <w:rFonts w:ascii="Times New Roman" w:eastAsia="Arial" w:hAnsi="Times New Roman" w:cs="Times New Roman"/>
                <w:color w:val="000000"/>
                <w:sz w:val="16"/>
                <w:szCs w:val="16"/>
              </w:rPr>
              <w:t xml:space="preserve">: 20-69 ans, France métropolitaine, ménages ordinaires. </w:t>
            </w:r>
            <w:r w:rsidRPr="00103647">
              <w:rPr>
                <w:rFonts w:ascii="Times New Roman" w:eastAsia="Arial" w:hAnsi="Times New Roman" w:cs="Times New Roman"/>
                <w:color w:val="000000"/>
                <w:sz w:val="16"/>
                <w:szCs w:val="16"/>
              </w:rPr>
              <w:br/>
            </w:r>
            <w:r w:rsidRPr="00103647">
              <w:rPr>
                <w:rFonts w:ascii="Times New Roman" w:eastAsia="Arial" w:hAnsi="Times New Roman" w:cs="Times New Roman"/>
                <w:b/>
                <w:bCs/>
                <w:color w:val="000000"/>
                <w:sz w:val="16"/>
                <w:szCs w:val="16"/>
              </w:rPr>
              <w:t>Lecture</w:t>
            </w:r>
            <w:r w:rsidRPr="00103647">
              <w:rPr>
                <w:rFonts w:ascii="Times New Roman" w:eastAsia="Arial" w:hAnsi="Times New Roman" w:cs="Times New Roman"/>
                <w:color w:val="000000"/>
                <w:sz w:val="16"/>
                <w:szCs w:val="16"/>
              </w:rPr>
              <w:t xml:space="preserve"> : </w:t>
            </w:r>
            <w:bookmarkStart w:id="31" w:name="tbl-sociodémo_Copie_1"/>
            <w:bookmarkEnd w:id="31"/>
            <w:r w:rsidRPr="00103647">
              <w:rPr>
                <w:rFonts w:ascii="Times New Roman" w:eastAsia="Arial" w:hAnsi="Times New Roman" w:cs="Times New Roman"/>
                <w:color w:val="000000"/>
                <w:sz w:val="16"/>
                <w:szCs w:val="16"/>
              </w:rPr>
              <w:t xml:space="preserve">Les 20 – 29 ans sont 60 % à être en couple contre plus de 75 % pour tous les autres groupes d’âge. </w:t>
            </w:r>
          </w:p>
          <w:p w14:paraId="284CA9E0" w14:textId="77777777" w:rsidR="00E2476B" w:rsidRDefault="00E2476B" w:rsidP="0018419C">
            <w:pPr>
              <w:spacing w:after="40"/>
              <w:ind w:left="102" w:right="102"/>
              <w:rPr>
                <w:rFonts w:ascii="Times New Roman" w:eastAsia="Arial" w:hAnsi="Times New Roman" w:cs="Times New Roman"/>
                <w:color w:val="000000"/>
                <w:sz w:val="14"/>
                <w:szCs w:val="14"/>
              </w:rPr>
            </w:pPr>
            <w:bookmarkStart w:id="32" w:name="fig-en-couple"/>
            <w:bookmarkEnd w:id="32"/>
            <w:r w:rsidRPr="00103647">
              <w:rPr>
                <w:rFonts w:ascii="Times New Roman" w:eastAsia="Arial" w:hAnsi="Times New Roman" w:cs="Times New Roman"/>
                <w:b/>
                <w:bCs/>
                <w:color w:val="000000"/>
                <w:sz w:val="16"/>
                <w:szCs w:val="16"/>
              </w:rPr>
              <w:t xml:space="preserve">Sources : </w:t>
            </w:r>
            <w:r w:rsidRPr="00103647">
              <w:rPr>
                <w:rFonts w:ascii="Times New Roman" w:eastAsia="Arial" w:hAnsi="Times New Roman" w:cs="Times New Roman"/>
                <w:color w:val="000000"/>
                <w:sz w:val="16"/>
                <w:szCs w:val="16"/>
              </w:rPr>
              <w:t>Enquête Virage PG, Ined, 2015</w:t>
            </w:r>
          </w:p>
        </w:tc>
      </w:tr>
    </w:tbl>
    <w:p w14:paraId="311A730D" w14:textId="77777777" w:rsidR="00E2476B" w:rsidRDefault="00E2476B" w:rsidP="00E2476B">
      <w:pPr>
        <w:pStyle w:val="Corpsdetexte"/>
      </w:pPr>
      <w:r>
        <w:lastRenderedPageBreak/>
        <w:t xml:space="preserve">Ces graphiques confirment certains éléments observés dans le </w:t>
      </w:r>
      <w:hyperlink w:anchor="_toc90">
        <w:r>
          <w:rPr>
            <w:rStyle w:val="Lienhypertexte"/>
          </w:rPr>
          <w:t>Tableau 1</w:t>
        </w:r>
      </w:hyperlink>
      <w:r>
        <w:rPr>
          <w:color w:val="000000"/>
        </w:rPr>
        <w:t>.</w:t>
      </w:r>
      <w:r>
        <w:t xml:space="preserve"> Tout d’abord on retrouve la forte proportion de célibataires chez les hommes bisexuels, loin devant les gays, bisexuelles et lesbiennes, elleux-mêmes plus souvent célibataires que les </w:t>
      </w:r>
      <w:proofErr w:type="spellStart"/>
      <w:r>
        <w:t>hétérosexuel·les</w:t>
      </w:r>
      <w:proofErr w:type="spellEnd"/>
      <w:r>
        <w:t xml:space="preserve">. Concernant l’âge, dont nous faisons l’hypothèse qu’il influence l’accès à la conjugalité : on observe effectivement que les deux classes d’âge les moins souvent en couple sont celles aux extrémités. Précisément celles où les bis sont surreprésentés. Les jeunes sont de loin la catégorie où le célibat est le plus élevé avant </w:t>
      </w:r>
      <w:r>
        <w:lastRenderedPageBreak/>
        <w:t>de devenir minoritaire passé la trentaine, cohérent avec l’âge critique évoqué plus haut. Les plus âgés sont seulement quelques points de pourcentages derrière les 30-39 ans et les 40-49 ans. Ainsi l’âge seul ne suffit peut-être pas à expliquer le plus grand célibat des hommes bisexuels.</w:t>
      </w:r>
    </w:p>
    <w:p w14:paraId="5EBC9775" w14:textId="77777777" w:rsidR="00E2476B" w:rsidRDefault="00E2476B" w:rsidP="00E2476B">
      <w:pPr>
        <w:pStyle w:val="Corpsdetexte"/>
      </w:pPr>
      <w:r>
        <w:t xml:space="preserve">Les deux variables liées au revenu et à la situation financière sont éclairantes : le fait d’être en couple est corrélé positivement avec le revenu. On observe un écart de 20 points de pourcentage entre les personnes qui déclarent moins de 1 000€ et celles qui déclarent plus de 2 000€ de revenu mensuel. Idem pour la situation financière déclarée, plus les personnes sont à l’aise, plus elles sont en couple. Enfin concernant la taille d’agglomération on observe un effet inversement proportionnel : plus les personnes vivent dans de grandes agglomérations, moins elles sont en couple. Sans surprise, le fait d’avoir des enfants est corrélé à une plus grande probabilité d’être en couple. Le diplôme est la variable la moins corrélée, les personnes titulaires d’un diplôme supérieur à bac+3 étant un peu plus souvent en couple. </w:t>
      </w:r>
    </w:p>
    <w:p w14:paraId="040B4643" w14:textId="77777777" w:rsidR="00E2476B" w:rsidRDefault="00E2476B" w:rsidP="00E2476B">
      <w:pPr>
        <w:pStyle w:val="Corpsdetexte"/>
      </w:pPr>
      <w:r>
        <w:t xml:space="preserve">Cette analyse bivariée confirme en partie nos hypothèses : l’âge et la classe sont corrélés au fait d’être en couple mais il est trop tôt pour dire qu’ils sont des déterminants d’accès à la conjugalité. </w:t>
      </w:r>
    </w:p>
    <w:p w14:paraId="3F933B40" w14:textId="77777777" w:rsidR="00E2476B" w:rsidRDefault="00E2476B" w:rsidP="00E2476B">
      <w:pPr>
        <w:pStyle w:val="Corpsdetexte"/>
      </w:pPr>
      <w:r>
        <w:t xml:space="preserve">Des effets peuvent se mêler. Par exemple, les bisexuelles sont plus présentes dans les 20 - 29 ans, or c’est aussi la catégorie d’âge la plus souvent célibataire. Est-ce que les bisexuelles sont moins en couple que les hétérosexuelles dû à un effet de l’âge ? Un effet spécifique de l’identification sexuelle ? C’est dans ce but qu’on fait un modèle multivarié de régression logistique : neutraliser certaines appartenances sociales pour estimer un potentiel effet spécifique de l’identification sexuelle. Il faut souligner d’emblée qu’il n’est pas possible de contrôler chaque variable et donc que la recherche d’un effet propre de la bisexualité n’est ni possible, ni souhaitée. </w:t>
      </w:r>
    </w:p>
    <w:tbl>
      <w:tblPr>
        <w:tblStyle w:val="Table"/>
        <w:tblW w:w="5000" w:type="pct"/>
        <w:tblInd w:w="108" w:type="dxa"/>
        <w:tblLayout w:type="fixed"/>
        <w:tblLook w:val="0000" w:firstRow="0" w:lastRow="0" w:firstColumn="0" w:lastColumn="0" w:noHBand="0" w:noVBand="0"/>
      </w:tblPr>
      <w:tblGrid>
        <w:gridCol w:w="9404"/>
      </w:tblGrid>
      <w:tr w:rsidR="00E2476B" w14:paraId="4F13BF79" w14:textId="77777777" w:rsidTr="0018419C">
        <w:tc>
          <w:tcPr>
            <w:tcW w:w="9404" w:type="dxa"/>
          </w:tcPr>
          <w:p w14:paraId="0E54E7F6" w14:textId="77777777" w:rsidR="00E2476B" w:rsidRDefault="00E2476B" w:rsidP="0018419C">
            <w:pPr>
              <w:pStyle w:val="Tableauuser"/>
              <w:spacing w:before="0"/>
              <w:rPr>
                <w:rFonts w:eastAsia="Aptos"/>
              </w:rPr>
            </w:pPr>
            <w:r>
              <w:rPr>
                <w:rFonts w:ascii="Aptos" w:eastAsia="Aptos" w:hAnsi="Aptos"/>
              </w:rPr>
              <w:t xml:space="preserve">Figure 2 : Probabilité d’être en couple plutôt que célibataire (régression logistique). </w:t>
            </w:r>
          </w:p>
          <w:p w14:paraId="6A537672" w14:textId="77777777" w:rsidR="00E2476B" w:rsidRDefault="00E2476B" w:rsidP="0018419C">
            <w:pPr>
              <w:pStyle w:val="ImageCaption"/>
              <w:spacing w:before="200"/>
              <w:jc w:val="center"/>
              <w:rPr>
                <w:rFonts w:ascii="Aptos" w:eastAsia="Aptos" w:hAnsi="Aptos"/>
              </w:rPr>
            </w:pPr>
            <w:bookmarkStart w:id="33" w:name="_toc1257"/>
            <w:bookmarkEnd w:id="33"/>
            <w:r>
              <w:rPr>
                <w:noProof/>
              </w:rPr>
              <w:lastRenderedPageBreak/>
              <w:drawing>
                <wp:inline distT="0" distB="0" distL="0" distR="0" wp14:anchorId="0DEBA147" wp14:editId="2396D731">
                  <wp:extent cx="5861070" cy="5796500"/>
                  <wp:effectExtent l="19050" t="19050" r="25400" b="1397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28" r="-1342"/>
                          <a:stretch/>
                        </pic:blipFill>
                        <pic:spPr bwMode="auto">
                          <a:xfrm>
                            <a:off x="0" y="0"/>
                            <a:ext cx="5874362" cy="5809645"/>
                          </a:xfrm>
                          <a:prstGeom prst="rect">
                            <a:avLst/>
                          </a:prstGeom>
                          <a:noFill/>
                          <a:ln w="3175">
                            <a:solidFill>
                              <a:schemeClr val="bg2"/>
                            </a:solidFill>
                          </a:ln>
                          <a:extLst>
                            <a:ext uri="{53640926-AAD7-44D8-BBD7-CCE9431645EC}">
                              <a14:shadowObscured xmlns:a14="http://schemas.microsoft.com/office/drawing/2010/main"/>
                            </a:ext>
                          </a:extLst>
                        </pic:spPr>
                      </pic:pic>
                    </a:graphicData>
                  </a:graphic>
                </wp:inline>
              </w:drawing>
            </w:r>
          </w:p>
          <w:p w14:paraId="1EF3E874"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Variables de contrôle :  identification sexuelle, âge, diplôme, revenu, situation financière, taille d’agglomération, statut parental.</w:t>
            </w:r>
            <w:r>
              <w:rPr>
                <w:rFonts w:ascii="Times New Roman" w:eastAsia="Arial" w:hAnsi="Times New Roman" w:cs="Times New Roman"/>
                <w:b/>
                <w:bCs/>
                <w:color w:val="000000"/>
                <w:sz w:val="14"/>
                <w:szCs w:val="14"/>
              </w:rPr>
              <w:t xml:space="preserve"> </w:t>
            </w:r>
          </w:p>
          <w:p w14:paraId="0E297958"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Champ </w:t>
            </w:r>
            <w:r>
              <w:rPr>
                <w:rFonts w:ascii="Times New Roman" w:eastAsia="Arial" w:hAnsi="Times New Roman" w:cs="Times New Roman"/>
                <w:color w:val="000000"/>
                <w:sz w:val="14"/>
                <w:szCs w:val="14"/>
              </w:rPr>
              <w:t xml:space="preserve">: 20-69 ans, France métropolitaine, ménages ordinaires. </w:t>
            </w:r>
            <w:r>
              <w:rPr>
                <w:rFonts w:ascii="Times New Roman" w:eastAsia="Arial" w:hAnsi="Times New Roman" w:cs="Times New Roman"/>
                <w:color w:val="000000"/>
                <w:sz w:val="14"/>
                <w:szCs w:val="14"/>
              </w:rPr>
              <w:br/>
            </w: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w:t>
            </w:r>
            <w:bookmarkStart w:id="34" w:name="tbl-sociodémo_Copie_1_Copie_1"/>
            <w:bookmarkEnd w:id="34"/>
            <w:r>
              <w:rPr>
                <w:rFonts w:ascii="Times New Roman" w:eastAsia="Arial" w:hAnsi="Times New Roman" w:cs="Times New Roman"/>
                <w:color w:val="000000"/>
                <w:sz w:val="14"/>
                <w:szCs w:val="14"/>
              </w:rPr>
              <w:t>Les hommes bisexuels ont une probabilité significativement plus faible d’avoir été en couple dans l’année que les hétérosexuels (à variables de contrôle équivalentes).</w:t>
            </w:r>
          </w:p>
          <w:p w14:paraId="6820D838" w14:textId="77777777" w:rsidR="00E2476B" w:rsidRDefault="00E2476B" w:rsidP="0018419C">
            <w:pPr>
              <w:spacing w:after="40"/>
              <w:ind w:left="102" w:right="102"/>
              <w:rPr>
                <w:rFonts w:ascii="Times New Roman" w:eastAsia="Arial" w:hAnsi="Times New Roman" w:cs="Times New Roman"/>
                <w:color w:val="000000"/>
                <w:sz w:val="14"/>
                <w:szCs w:val="14"/>
              </w:rPr>
            </w:pPr>
            <w:bookmarkStart w:id="35" w:name="fig-en-couple_Copie_1"/>
            <w:bookmarkStart w:id="36" w:name="fig-regression-en-couple"/>
            <w:bookmarkEnd w:id="35"/>
            <w:bookmarkEnd w:id="36"/>
            <w:r>
              <w:rPr>
                <w:rFonts w:ascii="Times New Roman" w:eastAsia="Arial" w:hAnsi="Times New Roman" w:cs="Times New Roman"/>
                <w:b/>
                <w:bCs/>
                <w:color w:val="000000"/>
                <w:sz w:val="14"/>
                <w:szCs w:val="14"/>
              </w:rPr>
              <w:t xml:space="preserve">Sources : </w:t>
            </w:r>
            <w:r>
              <w:rPr>
                <w:rFonts w:ascii="Times New Roman" w:eastAsia="Arial" w:hAnsi="Times New Roman" w:cs="Times New Roman"/>
                <w:color w:val="000000"/>
                <w:sz w:val="14"/>
                <w:szCs w:val="14"/>
              </w:rPr>
              <w:t>Enquête Virage PG, Ined, 2015</w:t>
            </w:r>
          </w:p>
        </w:tc>
      </w:tr>
    </w:tbl>
    <w:p w14:paraId="43A56AB6" w14:textId="77777777" w:rsidR="00E2476B" w:rsidRDefault="00E2476B" w:rsidP="00E2476B">
      <w:pPr>
        <w:pStyle w:val="Corpsdetexte"/>
      </w:pPr>
      <w:r>
        <w:t xml:space="preserve">Concernant les hommes, on voit bien un lien avec l’identification bisexuelle. Le modèle nous confirme qu’à âge, diplôme, revenu, situation financière, taille d’agglomération de résidence et statut parental égaux, les hommes bisexuels ont moins de chance d’être en couple que les hommes hétérosexuels. Ce résultat confirme un constat observé précédemment, il ne dit rien toutefois des raisons de ce célibat plus fréquent. En effet ce résultat peut rendre compte d’une vulnérabilité conjugale spécifique des hommes bisexuels comme d’un rapport à la conjugalité distancié, vu </w:t>
      </w:r>
      <w:r>
        <w:lastRenderedPageBreak/>
        <w:t xml:space="preserve">comme un obstacle à la réalisation des désirs (Trachman et </w:t>
      </w:r>
      <w:proofErr w:type="spellStart"/>
      <w:r>
        <w:t>Lejbowicz</w:t>
      </w:r>
      <w:proofErr w:type="spellEnd"/>
      <w:r>
        <w:t xml:space="preserve"> 2018). Selon la première hypothèse l'identification bisexuelle masculine fonctionnerait socialement comme un stigmate ou un « repoussoir » sur le marché de la rencontre, ces hommes étant perçus comme des partenaires instables ou moins fiables tant par les femmes hétérosexuelles que par les hommes gays. La seconde hypothèse, plus compréhensive, envisage ce célibat prolongé comme une prise de distance délibérée à l'égard des normes de la conjugalité exclusive, perçue comme inconciliable avec la réalisation d'une vie affective et sexuelle plurielle. Nous creuserons la question du célibat des hommes bisexuels dans la prochaine partie.</w:t>
      </w:r>
    </w:p>
    <w:p w14:paraId="3BFB9538" w14:textId="77777777" w:rsidR="00E2476B" w:rsidRDefault="00E2476B" w:rsidP="00E2476B">
      <w:pPr>
        <w:pStyle w:val="Corpsdetexte"/>
      </w:pPr>
      <w:r>
        <w:t xml:space="preserve">Chez les femmes le lien entre l’identification sexuelle et le fait d’être en couple est moins significatif. La moindre proportion de femmes bi en couple constatée en analyse bivariée constituait un effet de structure, imputable à la jeunesse et à l’urbanité relative de ce groupe. Une fois ces variables contrôlées, leur accès à la conjugalité n’est plus significativement inférieur à celui des femmes hétérosexuelles. </w:t>
      </w:r>
    </w:p>
    <w:p w14:paraId="3D985BA9" w14:textId="77777777" w:rsidR="00E2476B" w:rsidRDefault="00E2476B" w:rsidP="00E2476B">
      <w:pPr>
        <w:pStyle w:val="Corpsdetexte"/>
      </w:pPr>
      <w:r>
        <w:t>L’âge est effectivement un rapport social déterminant dans l’accès au couple : avoir plus de 50 ans est fortement corrélé avec le fait de ne pas avoir été en couple l’année passée, contrôlé par les autres variables</w:t>
      </w:r>
      <w:r>
        <w:rPr>
          <w:rStyle w:val="Appelnotedebasdep"/>
        </w:rPr>
        <w:footnoteReference w:id="13"/>
      </w:r>
      <w:r>
        <w:t xml:space="preserve">. </w:t>
      </w:r>
    </w:p>
    <w:p w14:paraId="190145D4" w14:textId="77777777" w:rsidR="00E2476B" w:rsidRDefault="00E2476B" w:rsidP="00E2476B">
      <w:pPr>
        <w:pStyle w:val="Corpsdetexte"/>
      </w:pPr>
      <w:r>
        <w:t>Le fait d’être diplômée d’un niveau supérieur à bac+3 rend légèrement plus probable le fait d’être en couple. Avoir un revenu inférieur à 1 000€ augmente les chances d’être en couple pour les femmes alors que cela fait baisser la probabilité de cet événement pour les hommes. A l’inverse avoir un revenu &gt; 2 000€ est lié au fait d’être en couple chez les hommes. Cette différence illustre la persistance de rôles genrés avec une plus grande importance de l’autonomie financière comme préalable à l’engagement conjugal chez les hommes (Bouchet-Valat 2025). Plus la taille d’agglomération de résidence est grande, plus les femmes sont célibataires dans l’année. Enfin, avoir un/des enfant(s) est fortement corrélé au fait d’être en couple, encore plus pour les hommes que pour les femmes.</w:t>
      </w:r>
    </w:p>
    <w:p w14:paraId="60E08AEA" w14:textId="77777777" w:rsidR="00E2476B" w:rsidRDefault="00E2476B" w:rsidP="00E2476B">
      <w:pPr>
        <w:pStyle w:val="Corpsdetexte"/>
      </w:pPr>
      <w:r>
        <w:t xml:space="preserve">La pertinence de la régression logistique implique de connaître les déterminants de l’événement étudié, ici le fait d’être en couple. Cela pose la question des variables omises et de la qualité des </w:t>
      </w:r>
      <w:r>
        <w:lastRenderedPageBreak/>
        <w:t xml:space="preserve">données, fluctuante selon les variables et les groupes. Une telle analyse requiert un nombre suffisant de cas pour analyser les sous-groupes situés aux intersections des marges sans perdre en puissance statistique. Enfin l’approche de la régression ne dit rien des mécanismes explicatifs. Dans la partie suivante nous tentons d’approfondir l’analyse du célibat bisexuel masculin.  </w:t>
      </w:r>
    </w:p>
    <w:p w14:paraId="213E15FE" w14:textId="77777777" w:rsidR="00E2476B" w:rsidRDefault="00E2476B" w:rsidP="00E2476B">
      <w:pPr>
        <w:pStyle w:val="Titre2"/>
        <w:jc w:val="both"/>
      </w:pPr>
      <w:bookmarkStart w:id="37" w:name="X1b1ad4cb4079286d1a1a45cb28ddf9bd5df9bd1"/>
      <w:bookmarkStart w:id="38" w:name="_Toc236751579"/>
      <w:bookmarkEnd w:id="29"/>
      <w:bookmarkEnd w:id="30"/>
      <w:bookmarkEnd w:id="37"/>
      <w:r>
        <w:t>II. Le célibat des hommes bis : trajectoires plurielles et distance à la norme</w:t>
      </w:r>
      <w:bookmarkEnd w:id="38"/>
      <w:r>
        <w:t xml:space="preserve"> </w:t>
      </w:r>
    </w:p>
    <w:p w14:paraId="65DE62B9" w14:textId="77777777" w:rsidR="00E2476B" w:rsidRDefault="00E2476B" w:rsidP="00E2476B">
      <w:pPr>
        <w:pStyle w:val="Titre3"/>
      </w:pPr>
      <w:bookmarkStart w:id="39" w:name="_Toc236751580"/>
      <w:r>
        <w:t>Les trajectoires des hommes bisexuels : profils individuels post-rupture</w:t>
      </w:r>
      <w:bookmarkStart w:id="40" w:name="X1bef66ea806c5d6c500aa84c863fc9ed690a4e2"/>
      <w:bookmarkEnd w:id="39"/>
    </w:p>
    <w:p w14:paraId="1F7E4EEA" w14:textId="77777777" w:rsidR="00E2476B" w:rsidRDefault="00E2476B" w:rsidP="00E2476B">
      <w:pPr>
        <w:pStyle w:val="Corpsdetexte"/>
      </w:pPr>
      <w:r>
        <w:t xml:space="preserve">L’expérience de la vie célibataire est devenue plus fréquente avec le report de la mise en couple et l’augmentation des séparations. La place de la conjugalité est plus déterminante chez les femmes, ainsi les travaux existants sur le célibat portent plutôt sur l’expérience féminine, privant d’une comparaison et des expériences masculines de la conjugalité (Bergström, </w:t>
      </w:r>
      <w:proofErr w:type="spellStart"/>
      <w:r>
        <w:t>Courtel</w:t>
      </w:r>
      <w:proofErr w:type="spellEnd"/>
      <w:r>
        <w:t xml:space="preserve">, Vivier 2019). Quelles sont les trajectoires conjugales des hommes bisexuels ? Sont-ils célibataires suite à un divorce ? Sont-ils en célibat de longue durée, sans relation importante au cours de la vie ? L'enquête Virage ne constitue pas un dispositif biographique au sens strict et ne propose pas de calendrier complet des unions successives, à l'instar des enquêtes </w:t>
      </w:r>
      <w:proofErr w:type="spellStart"/>
      <w:r>
        <w:t>Erfi</w:t>
      </w:r>
      <w:proofErr w:type="spellEnd"/>
      <w:r>
        <w:t xml:space="preserve"> ou Épic (Rault et Lambert 2019). Le questionnaire ne demande pas non plus à quand remonte l’identification à la bisexualité. En revanche, il documente la relation actuelle et la dernière relation si la personne n’est plus en couple. On ne peut pas reconstruire une vraie séquence biographique mais on peut caractériser l’état de sortie de la dernière relation pour les personnes actuellement célibataires. Pour éclairer les dynamiques internes de ce célibat masculin massif, l'analyse descriptive doit s'attacher à restituer l'hétérogénéité des parcours individuels. </w:t>
      </w:r>
    </w:p>
    <w:p w14:paraId="4BA63C93" w14:textId="77777777" w:rsidR="00E2476B" w:rsidRDefault="00E2476B" w:rsidP="00E2476B">
      <w:pPr>
        <w:pStyle w:val="Titre4"/>
      </w:pPr>
      <w:r>
        <w:t>Les célibataires après rupture</w:t>
      </w:r>
    </w:p>
    <w:p w14:paraId="436EBDE0" w14:textId="77777777" w:rsidR="00E2476B" w:rsidRDefault="00E2476B" w:rsidP="00E2476B">
      <w:pPr>
        <w:pStyle w:val="FirstParagraph"/>
      </w:pPr>
      <w:r>
        <w:t xml:space="preserve">Pour commencer nous construisons un graphique-portrait (une ligne par répondant) des hommes bisexuels de Virage PG qui sont célibataires après rupture au moment de l’enquête. Les effectifs sont trop faibles pour un tableau croisé avec pourcentages : on privilégie donc une lecture individu par individu. </w:t>
      </w:r>
    </w:p>
    <w:p w14:paraId="0A77187D" w14:textId="77777777" w:rsidR="00E2476B" w:rsidRPr="00A15216" w:rsidRDefault="00E2476B" w:rsidP="00E2476B">
      <w:pPr>
        <w:pStyle w:val="FirstParagraph"/>
        <w:spacing w:after="0"/>
      </w:pPr>
      <w:r>
        <w:t xml:space="preserve">Le partage des célibataires n’ayant jamais été en couple contre ceux célibataires après une rupture est un résultat en lui-même. Un peu moins d’un tiers des hommes bis célibataires (17/61) n’ont jamais eu de relation de couple au cours de leur vie. Cette catégorie se distingue de celle des </w:t>
      </w:r>
      <w:r>
        <w:lastRenderedPageBreak/>
        <w:t xml:space="preserve">célibataires “post-rupture” (44/61) que nous présentons ici. Le graphique ci-dessous retrace individuellement le statut de leur dernière union et la durée écoulée depuis sa rupture. </w:t>
      </w:r>
    </w:p>
    <w:tbl>
      <w:tblPr>
        <w:tblStyle w:val="Table"/>
        <w:tblW w:w="4817" w:type="pct"/>
        <w:tblInd w:w="108" w:type="dxa"/>
        <w:tblLayout w:type="fixed"/>
        <w:tblLook w:val="0000" w:firstRow="0" w:lastRow="0" w:firstColumn="0" w:lastColumn="0" w:noHBand="0" w:noVBand="0"/>
      </w:tblPr>
      <w:tblGrid>
        <w:gridCol w:w="9060"/>
      </w:tblGrid>
      <w:tr w:rsidR="00E2476B" w14:paraId="5398F597" w14:textId="77777777" w:rsidTr="0018419C">
        <w:trPr>
          <w:trHeight w:val="3920"/>
        </w:trPr>
        <w:tc>
          <w:tcPr>
            <w:tcW w:w="9060" w:type="dxa"/>
          </w:tcPr>
          <w:p w14:paraId="15F32C49" w14:textId="77777777" w:rsidR="00E2476B" w:rsidRPr="00A15216" w:rsidRDefault="00E2476B" w:rsidP="0018419C">
            <w:pPr>
              <w:pStyle w:val="Tableauuser"/>
              <w:spacing w:before="120"/>
              <w:rPr>
                <w:rFonts w:eastAsia="Aptos"/>
              </w:rPr>
            </w:pPr>
            <w:r>
              <w:rPr>
                <w:rFonts w:ascii="Aptos" w:eastAsia="Aptos" w:hAnsi="Aptos"/>
              </w:rPr>
              <w:t xml:space="preserve">Figure 3 : Les hommes bisexuels célibataires après une rupture. </w:t>
            </w:r>
          </w:p>
          <w:p w14:paraId="2CF69AD4" w14:textId="77777777" w:rsidR="00E2476B" w:rsidRPr="00507BE6" w:rsidRDefault="00E2476B" w:rsidP="0018419C">
            <w:pPr>
              <w:pStyle w:val="Compact"/>
              <w:rPr>
                <w:noProof/>
              </w:rPr>
            </w:pPr>
            <w:r>
              <w:rPr>
                <w:noProof/>
              </w:rPr>
              <w:drawing>
                <wp:inline distT="0" distB="0" distL="0" distR="0" wp14:anchorId="6CCA47B1" wp14:editId="272D49CA">
                  <wp:extent cx="6125816" cy="6508971"/>
                  <wp:effectExtent l="19050" t="19050" r="27940" b="2540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740" r="1146"/>
                          <a:stretch/>
                        </pic:blipFill>
                        <pic:spPr bwMode="auto">
                          <a:xfrm>
                            <a:off x="0" y="0"/>
                            <a:ext cx="6154811" cy="6539779"/>
                          </a:xfrm>
                          <a:prstGeom prst="rect">
                            <a:avLst/>
                          </a:prstGeom>
                          <a:noFill/>
                          <a:ln w="3175" cap="flat" cmpd="sng" algn="ctr">
                            <a:solidFill>
                              <a:srgbClr val="E8E8E8"/>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9E743C" w14:textId="77777777" w:rsidR="00E2476B" w:rsidRDefault="00E2476B" w:rsidP="0018419C">
            <w:pPr>
              <w:spacing w:after="40"/>
              <w:ind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Champ </w:t>
            </w:r>
            <w:r>
              <w:rPr>
                <w:rFonts w:ascii="Times New Roman" w:eastAsia="Arial" w:hAnsi="Times New Roman" w:cs="Times New Roman"/>
                <w:color w:val="000000"/>
                <w:sz w:val="14"/>
                <w:szCs w:val="14"/>
              </w:rPr>
              <w:t xml:space="preserve">: 43 hommes célibataires après une rupture dans Virage PG. Un d’entre eux a été retiré car le statut de la dernière relation n’était pas disponible.  </w:t>
            </w:r>
            <w:r>
              <w:rPr>
                <w:rFonts w:ascii="Times New Roman" w:eastAsia="Arial" w:hAnsi="Times New Roman" w:cs="Times New Roman"/>
                <w:color w:val="000000"/>
                <w:sz w:val="14"/>
                <w:szCs w:val="14"/>
              </w:rPr>
              <w:br/>
            </w: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Une ligne correspond à un individu. La première ligne en partant du bas du graphique correspond à un individu avec enfant(s), dont la dernière relation était un mariage, la relation a pris fin il y a 32 ans. </w:t>
            </w:r>
          </w:p>
          <w:p w14:paraId="58DDE4A2" w14:textId="77777777" w:rsidR="00E2476B" w:rsidRPr="00E11B75" w:rsidRDefault="00E2476B" w:rsidP="0018419C">
            <w:pPr>
              <w:tabs>
                <w:tab w:val="left" w:pos="3654"/>
              </w:tabs>
            </w:pPr>
            <w:r w:rsidRPr="005914BC">
              <w:rPr>
                <w:rFonts w:ascii="Times New Roman" w:eastAsia="Arial" w:hAnsi="Times New Roman" w:cs="Times New Roman"/>
                <w:b/>
                <w:bCs/>
                <w:color w:val="000000"/>
                <w:sz w:val="14"/>
                <w:szCs w:val="14"/>
              </w:rPr>
              <w:t xml:space="preserve">Source : </w:t>
            </w:r>
            <w:r w:rsidRPr="005914BC">
              <w:rPr>
                <w:rFonts w:ascii="Times New Roman" w:eastAsia="Arial" w:hAnsi="Times New Roman" w:cs="Times New Roman"/>
                <w:color w:val="000000"/>
                <w:sz w:val="14"/>
                <w:szCs w:val="14"/>
              </w:rPr>
              <w:t>Enquête Virage PG, Ined, 2015</w:t>
            </w:r>
            <w:r>
              <w:rPr>
                <w:rFonts w:ascii="Times New Roman" w:eastAsia="Arial" w:hAnsi="Times New Roman" w:cs="Times New Roman"/>
                <w:color w:val="000000"/>
                <w:sz w:val="14"/>
                <w:szCs w:val="14"/>
              </w:rPr>
              <w:t xml:space="preserve">. </w:t>
            </w:r>
          </w:p>
        </w:tc>
      </w:tr>
      <w:tr w:rsidR="00E2476B" w14:paraId="15EF4F8A" w14:textId="77777777" w:rsidTr="0018419C">
        <w:trPr>
          <w:trHeight w:val="50"/>
        </w:trPr>
        <w:tc>
          <w:tcPr>
            <w:tcW w:w="9060" w:type="dxa"/>
          </w:tcPr>
          <w:p w14:paraId="2E127A6C" w14:textId="77777777" w:rsidR="00E2476B" w:rsidRPr="00E11B75" w:rsidRDefault="00E2476B" w:rsidP="0018419C">
            <w:pPr>
              <w:spacing w:after="40"/>
              <w:ind w:right="102"/>
              <w:rPr>
                <w:rFonts w:ascii="Times New Roman" w:eastAsia="Arial" w:hAnsi="Times New Roman"/>
                <w:color w:val="000000"/>
                <w:sz w:val="14"/>
                <w:szCs w:val="14"/>
              </w:rPr>
            </w:pPr>
          </w:p>
        </w:tc>
      </w:tr>
    </w:tbl>
    <w:p w14:paraId="18CB0D7E" w14:textId="77777777" w:rsidR="00E2476B" w:rsidRDefault="00E2476B" w:rsidP="00E2476B">
      <w:pPr>
        <w:pStyle w:val="Titre4"/>
      </w:pPr>
      <w:r>
        <w:lastRenderedPageBreak/>
        <w:t xml:space="preserve">Un noyau de célibataires longue durée après des unions parfois institutionnalisées </w:t>
      </w:r>
    </w:p>
    <w:p w14:paraId="40D162A1" w14:textId="77777777" w:rsidR="00E2476B" w:rsidRDefault="00E2476B" w:rsidP="00E2476B">
      <w:pPr>
        <w:pStyle w:val="Corpsdetexte"/>
      </w:pPr>
      <w:r>
        <w:t xml:space="preserve">Chez les 44 bisexuels qui ont connu au moins une relation et une rupture, le graphique fait apparaître deux populations : un noyau de ruptures ayant eu lieu il y a 5 ans et plus (jusqu’à 38 ans) ; et un groupe, moins nombreux, de ruptures plus récentes (entre 1 et 4 ans). Dans les deux cas l’union libre est la forme la plus fréquente bien que le mariage soit plus présent chez les célibataires longs. La plupart sont sans enfants mais presque tous ceux ayant été mariés ont des enfants. Ceux dont la rupture est plus récente sont plus souvent en union libre et sans enfant. </w:t>
      </w:r>
    </w:p>
    <w:p w14:paraId="3BC19BBF" w14:textId="77777777" w:rsidR="00E2476B" w:rsidRDefault="00E2476B" w:rsidP="00E2476B">
      <w:pPr>
        <w:pStyle w:val="Corpsdetexte"/>
      </w:pPr>
      <w:r>
        <w:t>Le matériau ne nous permet pas de creuser le potentiel moindre recours au mariage des hommes bisexuels quand ils sont en union, on l’interrogera par la suite chez les femmes bisexuelles, plus souvent en couple. Les variables de cohabitation, durée de relation et sexe du dernier conjoint ne sont filtrées que pour les ruptures ayant eu lieu il y a moins de huit mois. Ce choix de conception de l’enquête est logique : le module détaillé consacré aux relations ne s’applique qu’à la période de référence des douze derniers mois. Questionner les individus sur des relations lointaines entraînerait des biais de mémoire. Ainsi les éléments sur la précédente relation ne nous donnent que peu d’informations sur le véritable parcours conjugal. Et l’institutionnalisation d’un couple passé, via le pacs ou le mariage, nous dit peu de choses de la relation.</w:t>
      </w:r>
    </w:p>
    <w:p w14:paraId="0D80BF63" w14:textId="77777777" w:rsidR="00E2476B" w:rsidRDefault="00E2476B" w:rsidP="00E2476B">
      <w:pPr>
        <w:pStyle w:val="Titre3"/>
      </w:pPr>
      <w:bookmarkStart w:id="41" w:name="les-célibataires-après-rupture"/>
      <w:bookmarkStart w:id="42" w:name="_Toc236751581"/>
      <w:bookmarkEnd w:id="40"/>
      <w:bookmarkEnd w:id="41"/>
      <w:r>
        <w:t>Un célibat subi lié à une identification bisexuelle « repoussoir » ou choisi comme mise à distance de la conjugalité ?</w:t>
      </w:r>
      <w:bookmarkStart w:id="43" w:name="ii.-le-célibat-des-hommes-bis"/>
      <w:bookmarkStart w:id="44" w:name="X1e3d32db3ef84dfab9f145bf494f8f65b21face"/>
      <w:bookmarkEnd w:id="42"/>
    </w:p>
    <w:p w14:paraId="1F3AFA01" w14:textId="77777777" w:rsidR="00E2476B" w:rsidRPr="00577240" w:rsidRDefault="00E2476B" w:rsidP="00E2476B">
      <w:pPr>
        <w:pStyle w:val="Corpsdetexte"/>
      </w:pPr>
      <w:r>
        <w:t xml:space="preserve">Le célibat bisexuel masculin peut représenter un moment au sein d’un parcours conjugal, avant une remise en couple. Il peut aussi être le reflet d’une situation installée sur le temps long après une rupture ou depuis toujours. Les expériences du célibat ne sont pas les mêmes selon les caractéristiques sociales et les parcours. Si le célibat dans la trentaine est autant une minorité statistique que sociale, il peut représenter un moment d’expérimentation et de réalisation de soi dans la jeunesse. Les représentations culturelles du célibat restent dépréciatives, le bien être dans la vie célibataire ne semblent pas crédibles (Bergström, </w:t>
      </w:r>
      <w:proofErr w:type="spellStart"/>
      <w:r>
        <w:t>Courtel</w:t>
      </w:r>
      <w:proofErr w:type="spellEnd"/>
      <w:r>
        <w:t xml:space="preserve">, Vivier 2019). </w:t>
      </w:r>
    </w:p>
    <w:p w14:paraId="3495C551" w14:textId="77777777" w:rsidR="00E2476B" w:rsidRDefault="00E2476B" w:rsidP="00E2476B">
      <w:pPr>
        <w:pStyle w:val="Titre4"/>
      </w:pPr>
      <w:r>
        <w:t>Quelques portraits d’hommes bisexuels célibataires dans l’enquête</w:t>
      </w:r>
    </w:p>
    <w:p w14:paraId="70BF7CCE" w14:textId="77777777" w:rsidR="00E2476B" w:rsidRDefault="00E2476B" w:rsidP="00E2476B">
      <w:pPr>
        <w:pStyle w:val="FirstParagraph"/>
      </w:pPr>
      <w:r>
        <w:t xml:space="preserve">Pour donner à voir les parcours je souhaite compléter le graphique par quelques portraits rédigés à partir des informations statistiques, choisis parmi les célibataires post-rupture et les célibataires sans relation au cours de la vie. Ils n’ont pas vocation à établir des cas-type mais servent plutôt </w:t>
      </w:r>
      <w:r>
        <w:lastRenderedPageBreak/>
        <w:t>d’illustration de ce que nous évoquons avec des tableaux et graphiques, sans sortir du registre descriptif et individuel.</w:t>
      </w:r>
      <w:bookmarkStart w:id="45" w:name="arthur-id-1429"/>
    </w:p>
    <w:p w14:paraId="7D23D681" w14:textId="77777777" w:rsidR="00E2476B" w:rsidRDefault="00E2476B" w:rsidP="00E2476B">
      <w:pPr>
        <w:pStyle w:val="FirstParagraph"/>
        <w:pBdr>
          <w:top w:val="single" w:sz="4" w:space="1" w:color="000000"/>
          <w:left w:val="single" w:sz="4" w:space="4" w:color="000000"/>
          <w:bottom w:val="single" w:sz="4" w:space="1" w:color="000000"/>
          <w:right w:val="single" w:sz="4" w:space="4" w:color="000000"/>
        </w:pBdr>
      </w:pPr>
      <w:r>
        <w:t xml:space="preserve">Arthur - né en 1989, 26 ans, père agent de maîtrise et mère employée. Il réside à Reims, diplômé du supérieur et technicien (1 300 à 1 600 euros mensuels). </w:t>
      </w:r>
    </w:p>
    <w:p w14:paraId="62E913D0"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t>Une conjugalité et une attirance bisexuelles plutôt tournées vers l’autre sexe.</w:t>
      </w:r>
      <w:r>
        <w:t xml:space="preserve"> Il déclare une attirance surtout pour les femmes. Son premier rapport sexuel a eu lieu à 17 ans, avec une femme avec qui il a été en couple, son premier rapport avec un homme est survenu la même année. Il compte huit partenaires sur l’ensemble de sa vie (quatre hommes, quatre femmes), mais aucun rapport sexuel au cours des douze derniers mois. Sa deuxième et dernière relation de couple déclarée était avec une femme, en union libre, terminée il y a environ trois ans (vers ses 23 ans).</w:t>
      </w:r>
    </w:p>
    <w:p w14:paraId="22AA03A2"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t>Un dévoilement sélectif de la bisexualité</w:t>
      </w:r>
      <w:r>
        <w:t xml:space="preserve">. Son orientation n’est pas connue de sa famille, de son supérieur, ni de son médecin traitant. Elle l’est en revanche de certains amis hétérosexuels et de tous ses collègues proches. Il a déjà été confronté à une menace de dévoilement non consenti et évite, dans certains lieux, les gestes affectueux en public avec un partenaire, par crainte. </w:t>
      </w:r>
      <w:bookmarkEnd w:id="45"/>
    </w:p>
    <w:p w14:paraId="6F5A14FF" w14:textId="77777777" w:rsidR="00E2476B" w:rsidRDefault="00E2476B" w:rsidP="00E2476B">
      <w:pPr>
        <w:pStyle w:val="FirstParagraph"/>
      </w:pPr>
    </w:p>
    <w:p w14:paraId="6DE46ED9" w14:textId="77777777" w:rsidR="00E2476B" w:rsidRDefault="00E2476B" w:rsidP="00E2476B">
      <w:pPr>
        <w:pStyle w:val="FirstParagraph"/>
        <w:pBdr>
          <w:top w:val="single" w:sz="4" w:space="1" w:color="000000"/>
          <w:left w:val="single" w:sz="4" w:space="4" w:color="000000"/>
          <w:bottom w:val="single" w:sz="4" w:space="1" w:color="000000"/>
          <w:right w:val="single" w:sz="4" w:space="4" w:color="000000"/>
        </w:pBdr>
      </w:pPr>
      <w:r>
        <w:t xml:space="preserve">Patrick - né en 1955, 60 ans, père profession intermédiaire commerciale et mère au foyer. Il est issu d’une famille nombreuse : quatre frères et sept sœurs. La religion avait de l’importance dans son éducation et il se déclare aujourd’hui sans religion. Titulaire d’un CAP/BEP, il est salarié dans la vente (1 600 à 2 000 euros mensuels). Il vit à Niort seul, il a deux enfants, âgés de 30 et 27 ans, qui ne partagent pas son logement. </w:t>
      </w:r>
    </w:p>
    <w:p w14:paraId="6F7D708B"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t>Un célibat long avec une vie relationnelle et sexuelle active après un divorce.</w:t>
      </w:r>
      <w:r>
        <w:t xml:space="preserve"> Il est attiré également par les hommes et les femmes, depuis ses 17 ans. Son premier rapport sexuel, à 16 ans, était avec une femme dont il était amoureux avec qui il n’était pas en couple ; son premier rapport avec un homme est survenu à 17 ans. Sa dernière relation de couple était un mariage à l’âge de 25 ans. Il s’est terminé par une séparation il y a vingt-quatre ans (vers ses 36 ans). Il déclare une trentaine de partenaires sur l’ensemble de sa vie (dix hommes, vingt femmes) et des rapports sexuels récents, avec plusieurs nouveaux partenaires au cours des douze derniers mois. </w:t>
      </w:r>
    </w:p>
    <w:p w14:paraId="3A536C1F"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lastRenderedPageBreak/>
        <w:t>Un dévoilement réduit de la bisexualité.</w:t>
      </w:r>
      <w:r>
        <w:t xml:space="preserve"> Ni son père ni sa mère ne savent qu’il est bisexuel ; certains de ses frères et sœurs le savent, depuis qu’il a 19 ans. Aucun de ses amis hétérosexuels ni de ses collègues proches n’est informé ; seul son médecin traitant l’est. </w:t>
      </w:r>
    </w:p>
    <w:p w14:paraId="2D67C332" w14:textId="77777777" w:rsidR="00E2476B" w:rsidRDefault="00E2476B" w:rsidP="00E2476B">
      <w:pPr>
        <w:pStyle w:val="Corpsdetexte"/>
      </w:pPr>
      <w:bookmarkStart w:id="46" w:name="patrick-id-3659"/>
      <w:bookmarkEnd w:id="46"/>
    </w:p>
    <w:p w14:paraId="00B81827" w14:textId="77777777" w:rsidR="00E2476B" w:rsidRDefault="00E2476B" w:rsidP="00E2476B">
      <w:pPr>
        <w:pStyle w:val="FirstParagraph"/>
        <w:pBdr>
          <w:top w:val="single" w:sz="4" w:space="1" w:color="000000"/>
          <w:left w:val="single" w:sz="4" w:space="4" w:color="000000"/>
          <w:bottom w:val="single" w:sz="4" w:space="1" w:color="000000"/>
          <w:right w:val="single" w:sz="4" w:space="4" w:color="000000"/>
        </w:pBdr>
      </w:pPr>
      <w:r>
        <w:t>Maxime - né en 1987, 28 ans, père ouvrier et mère employée. Il vit chez sa mère dans une petite agglomération des Pays de la Loire. Il n’accorde pas d’importance à la religion mais se dit catholique. Il déclare des faits répétés de violence physique dans l’enfance. Titulaire d’un baccalauréat, il est aujourd’hui chauffeur (moins de 700 euros mensuels).</w:t>
      </w:r>
    </w:p>
    <w:p w14:paraId="3183527B"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t>Des pratiques réparties entre les deux sexes et une relation de couple avec un homme, récemment terminée.</w:t>
      </w:r>
      <w:r>
        <w:t xml:space="preserve"> Son attirance se porte, depuis ses 19 ans, surtout vers les hommes. Son premier rapport sexuel, à 17 ans, était avec une femme tout juste rencontrée ; son premier rapport avec un homme a eu lieu à 21 ans. Il compte une vingtaine de partenaires sur l’ensemble de sa vie (dix hommes, dix femmes). Sa dernière et seule relation de couple a duré deux ans, avec un homme et s’est terminée il y a trois mois. Il a eu un nouveau partenaire sexuel dans l’année.</w:t>
      </w:r>
    </w:p>
    <w:p w14:paraId="16000903"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t>Une bisexualité connue des proches</w:t>
      </w:r>
      <w:r>
        <w:t>. Sa mère et son frère savent qu’il est bisexuel, depuis qu’il a 26 ans. Tous ses amis hétérosexuels le savent également, ainsi que son médecin traitant ; en revanche, ni ses collègues ni son supérieur ne sont informés. Il évite, dans certains lieux, les gestes affectueux en public. Il fréquente occasionnellement, des lieux gays et lesbiens.</w:t>
      </w:r>
    </w:p>
    <w:p w14:paraId="1A666C48" w14:textId="77777777" w:rsidR="00E2476B" w:rsidRDefault="00E2476B" w:rsidP="00E2476B">
      <w:pPr>
        <w:pStyle w:val="FirstParagraph"/>
      </w:pPr>
      <w:bookmarkStart w:id="47" w:name="maxime-id-9144"/>
      <w:bookmarkEnd w:id="47"/>
    </w:p>
    <w:p w14:paraId="6654BA1E" w14:textId="77777777" w:rsidR="00E2476B" w:rsidRDefault="00E2476B" w:rsidP="00E2476B">
      <w:pPr>
        <w:pStyle w:val="FirstParagraph"/>
        <w:pBdr>
          <w:top w:val="single" w:sz="4" w:space="1" w:color="000000"/>
          <w:left w:val="single" w:sz="4" w:space="4" w:color="000000"/>
          <w:bottom w:val="single" w:sz="4" w:space="1" w:color="000000"/>
          <w:right w:val="single" w:sz="4" w:space="4" w:color="000000"/>
        </w:pBdr>
      </w:pPr>
      <w:r>
        <w:t>Abdel - né en 1959, 56 ans, père employé, mère au foyer. Il réside en petite couronne de Paris. Diplômé du supérieur (bac+5), ingénieur de profession, il est au chômage depuis 4 ans (indemnisé entre 700 et 1 000 euros). Immigré, arrivé en France à 30 ans, il est devenu français à 35 ans. Il accorde un peu d’importance à la religion.</w:t>
      </w:r>
    </w:p>
    <w:p w14:paraId="5B74FCAE"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t>Une vie sexuelle à l’écart du couple.</w:t>
      </w:r>
      <w:r>
        <w:t xml:space="preserve"> Il est attiré également par les hommes et les femmes. Son premier rapport sexuel a eu lieu à 27 ans, avec une femme tout juste rencontrée, un rapport qu’il n’avait pas souhaité mais avait accepté. Son premier rapport avec un homme est survenu plus tard, à 31 ans. Il a eu des rapports sexuels récents, avec plusieurs nouveaux partenaires, au cours des douze derniers mois. Il n’a jamais eu de relation de couple.</w:t>
      </w:r>
    </w:p>
    <w:p w14:paraId="320E9766"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lastRenderedPageBreak/>
        <w:t>Une bisexualité affichée.</w:t>
      </w:r>
      <w:r>
        <w:t xml:space="preserve"> Son frère et sa sœur savent qu’il est bisexuel, seulement depuis ses 38 ans. Tous ses amis hétérosexuels le savent également. Il a déjà été incité à cacher son orientation par des amis et des collègues, une situation qu’il juge susceptible de se reproduire, et a déjà subi des menaces de dévoilement non consenti dans au moins deux contextes distincts, dont le travail. </w:t>
      </w:r>
    </w:p>
    <w:p w14:paraId="74D2E504" w14:textId="77777777" w:rsidR="00E2476B" w:rsidRDefault="00E2476B" w:rsidP="00E2476B">
      <w:pPr>
        <w:pStyle w:val="FirstParagraph"/>
      </w:pPr>
      <w:bookmarkStart w:id="48" w:name="portrait-4-id-8986"/>
      <w:bookmarkEnd w:id="48"/>
    </w:p>
    <w:p w14:paraId="59A8B6CC" w14:textId="77777777" w:rsidR="00E2476B" w:rsidRDefault="00E2476B" w:rsidP="00E2476B">
      <w:pPr>
        <w:pStyle w:val="FirstParagraph"/>
        <w:pBdr>
          <w:top w:val="single" w:sz="4" w:space="1" w:color="000000"/>
          <w:left w:val="single" w:sz="4" w:space="4" w:color="000000"/>
          <w:bottom w:val="single" w:sz="4" w:space="1" w:color="000000"/>
          <w:right w:val="single" w:sz="4" w:space="4" w:color="000000"/>
        </w:pBdr>
      </w:pPr>
      <w:r>
        <w:t>Sylvain - né en 1963, 52 ans, père ingénieur et mère cadre de la fonction publique. Il vit dans un village en Occitanie. Catholique, il accorde beaucoup d’importance à la religion. Sans diplôme, il vit seul et sans enfant (pension de 3 000 euros).</w:t>
      </w:r>
    </w:p>
    <w:p w14:paraId="3879A320" w14:textId="77777777" w:rsidR="00E2476B" w:rsidRDefault="00E2476B" w:rsidP="00E2476B">
      <w:pPr>
        <w:pStyle w:val="Corpsdetexte"/>
        <w:pBdr>
          <w:top w:val="single" w:sz="4" w:space="1" w:color="000000"/>
          <w:left w:val="single" w:sz="4" w:space="4" w:color="000000"/>
          <w:bottom w:val="single" w:sz="4" w:space="1" w:color="000000"/>
          <w:right w:val="single" w:sz="4" w:space="4" w:color="000000"/>
        </w:pBdr>
      </w:pPr>
      <w:r>
        <w:rPr>
          <w:i/>
          <w:iCs/>
        </w:rPr>
        <w:t>Un mariage ouvert à d’autres relations.</w:t>
      </w:r>
      <w:r>
        <w:t xml:space="preserve"> Son premier rapport sexuel a lieu à 14 ans avec une femme tout juste rencontrée ; son premier rapport avec un homme advient à 20 ans. Depuis cette période il dit être attiré surtout par les femmes mais aussi par les hommes. Il compte une dizaine de partenaires sur l’ensemble de sa vie (trois hommes, sept femmes), mais aucun nouveau partenaire au cours des douze derniers mois. Il a vécu trente-cinq ans avec une femme, une relation commencée vers ses 17 ans, suivie d’un mariage à 25 ans et achevée par le décès de sa partenaire il y a sept mois. La durée de sa relation et la date de son premier rapport avec un homme suggère qu’au moins certaines relations sexuelles ont eu lieu pendant ce mariage. Son père, sa mère et sa sœur savent qu’il est bisexuel, depuis ses 21 ans, sans que cela pose problème. Certains de ses amis hétérosexuels le savent également, ainsi que son médecin traitant. </w:t>
      </w:r>
    </w:p>
    <w:p w14:paraId="2D73D57F" w14:textId="77777777" w:rsidR="00E2476B" w:rsidRDefault="00E2476B" w:rsidP="00E2476B">
      <w:pPr>
        <w:pStyle w:val="Corpsdetexte"/>
      </w:pPr>
      <w:r>
        <w:t xml:space="preserve">La mise en regard des cinq portraits fait apparaître quelques lignes de force et invite à dépasser l’homogénéité apparente de la catégorie statistique du célibat. Le dévoilement de la bisexualité à l’entourage ne dépend pas forcément du fait d’être en couple. Le cas d’Abdel, jamais en couple, montre un dévoilement tardif (38 ans) mais à l’ensemble de la fratrie et des amis tandis que Patrick, célibataire de longue date après une rupture n’est pas ouvertement bisexuel auprès de ses amis et sa famille. Le fait d’avoir été en couple avec un homme semble tout de même provoquer le dévoilement, comme dans le cas de Maxime. Alors que la majorité des dernières relations de couple sont avec des femmes, aucun des portraits mentionnés ne cache entièrement sa bisexualité, on oscille plutôt entre différentes stratégies de dévoilement. Cela remet en question l’idée de la bisexualité comme une sexualité que l’on pourrait cacher ou qui permettrait de vivre comme un </w:t>
      </w:r>
      <w:r>
        <w:lastRenderedPageBreak/>
        <w:t xml:space="preserve">hétérosexuel. Dans le cas des hommes qui se disent bisexuels, l’identification s’accompagne d’un dévoilement et parfois des sanctions associées. </w:t>
      </w:r>
    </w:p>
    <w:p w14:paraId="4FD23EEE" w14:textId="77777777" w:rsidR="00E2476B" w:rsidRDefault="00E2476B" w:rsidP="00E2476B">
      <w:pPr>
        <w:pStyle w:val="Corpsdetexte"/>
      </w:pPr>
      <w:r>
        <w:t xml:space="preserve">Le rapport à la sexualité pendant le célibat est lui aussi hétérogène. L’absence de couple ne saurait être assimilée à un désengagement de la vie relationnelle ou sexuelle : Sylvain et Arthur n’ont eu aucun rapport sexuel dans l’année, Patrick et Abdel restent sexuellement actifs avec de nouveaux partenaires malgré l’absence de couple. Enfin, Maxime est le seul des cinq où l'origine sociale, la trajectoire résidentielle (le fait de n'avoir jamais quitté le foyer maternel) et le célibat s'articulent de façon lisible ; les quatre autres dessinent des chemins plus disparates. </w:t>
      </w:r>
    </w:p>
    <w:p w14:paraId="4FC5097A" w14:textId="77777777" w:rsidR="00E2476B" w:rsidRDefault="00E2476B" w:rsidP="00E2476B">
      <w:pPr>
        <w:pStyle w:val="Corpsdetexte"/>
      </w:pPr>
      <w:r>
        <w:t>On touche ici à la limite d’approcher la conjugalité uniquement par sa forme la plus légitime : le couple. Le constat brut de 70% d’hommes bisexuels célibataires dans l’année de l’enquête masque complètement les formes moins légitimes de vie conjugale et amoureuse : succession de relations courtes, vie sexuelle très active sans formalisation, relations amoureuses non définies. C’est le constat qui a conduit d’autres enquêtes à étendre la définition du couple (Rault et Régnier-</w:t>
      </w:r>
      <w:proofErr w:type="spellStart"/>
      <w:r>
        <w:t>Loilier</w:t>
      </w:r>
      <w:proofErr w:type="spellEnd"/>
      <w:r>
        <w:t xml:space="preserve"> 2019). Cette limite touche particulièrement les minorités sexuelles, mal recensées par les enquêtes et historiquement plus éloignées des formes conjugales légitimes. Les personnes avec des pratiques homosexuelles au cours de la vie dissocient davantage sexualité, sentiment amoureux et conjugalité (Rault et Lambert 2019). </w:t>
      </w:r>
    </w:p>
    <w:p w14:paraId="55095F11" w14:textId="77777777" w:rsidR="00E2476B" w:rsidRDefault="00E2476B" w:rsidP="00E2476B">
      <w:pPr>
        <w:pStyle w:val="Corpsdetexte"/>
      </w:pPr>
      <w:r>
        <w:t xml:space="preserve">Enfin la présence conjointe dans plusieurs des profils d’un célibat pérenne et d’une faible dotation scolaire illustre l’articulation entre précarité de classe et relégation sur le marché matrimonial (Bergström, </w:t>
      </w:r>
      <w:proofErr w:type="spellStart"/>
      <w:r>
        <w:t>Courtel</w:t>
      </w:r>
      <w:proofErr w:type="spellEnd"/>
      <w:r>
        <w:t xml:space="preserve"> et Vivier 2019). Marie Bergström montre que le célibat masculin qui se prolonge avec l'âge touche en particulier les hommes des classes populaires et les moins diplômés : là où le taux de célibat définitif était proche pour l'ensemble des hommes nés en 1920, un écart s'est creusé une génération plus tard, à mesure que l'augmentation du niveau de diplôme, plus marquée chez les femmes que chez les hommes, a mis les hommes peu diplômés en décalage par rapport aux femmes et aux autres hommes (Bergström 2019). </w:t>
      </w:r>
    </w:p>
    <w:p w14:paraId="6390EF88" w14:textId="77777777" w:rsidR="00E2476B" w:rsidRDefault="00E2476B" w:rsidP="00E2476B">
      <w:pPr>
        <w:pStyle w:val="Titre4"/>
      </w:pPr>
      <w:bookmarkStart w:id="49" w:name="X83b0eea16c45defb3a424d3a6eef252e787ba44"/>
      <w:bookmarkStart w:id="50" w:name="portrait-5-id-7398"/>
      <w:bookmarkEnd w:id="49"/>
      <w:bookmarkEnd w:id="50"/>
      <w:r>
        <w:t>Des parcours conjugaux moins linéaires et un célibat qui revêt des formes diverses</w:t>
      </w:r>
    </w:p>
    <w:p w14:paraId="4A4224E0" w14:textId="77777777" w:rsidR="00E2476B" w:rsidRDefault="00E2476B" w:rsidP="00E2476B">
      <w:pPr>
        <w:pStyle w:val="Corpsdetexte"/>
      </w:pPr>
      <w:r>
        <w:rPr>
          <w:rStyle w:val="highlight"/>
        </w:rPr>
        <w:t xml:space="preserve">« La diversification récente des parcours conjugaux a banalisé la vie hors couple dans les faits bien plus que dans les représentations. En effet, l’ouverture des possibles en matière de vie affective semble avoir renforcé plutôt qu’affaibli la norme conjugale : il y a désormais plusieurs manières </w:t>
      </w:r>
      <w:r>
        <w:rPr>
          <w:rStyle w:val="highlight"/>
        </w:rPr>
        <w:lastRenderedPageBreak/>
        <w:t>de faire couple, pourvu que l’on adopte la vie à deux. »</w:t>
      </w:r>
      <w:r>
        <w:t xml:space="preserve"> </w:t>
      </w:r>
      <w:r>
        <w:rPr>
          <w:rStyle w:val="citation"/>
        </w:rPr>
        <w:t>(</w:t>
      </w:r>
      <w:r>
        <w:rPr>
          <w:rStyle w:val="citation-item"/>
        </w:rPr>
        <w:t>Bergström et al., 2019, p. 124</w:t>
      </w:r>
      <w:r>
        <w:rPr>
          <w:rStyle w:val="citation"/>
        </w:rPr>
        <w:t xml:space="preserve">) En ce sens, les hommes bisexuels s’écartent de la norme conjugale. La vie célibataire, prise dans un contexte normatif, est différemment vécue selon les milieux sociaux et l’âge. Les </w:t>
      </w:r>
      <w:r>
        <w:t xml:space="preserve">personnes des classes supérieures et diplômées du supérieur disent moins souvent que le célibat est un choix. Le célibat pour certaines femmes des milieux populaires peut être l’expérience d’une autonomie regagnée. Ce sont aussi ces femmes qui ont la vision la plus critique du couple comme lieu d’épanouissement. Avec ces éléments, comment interpréter le poids du célibat masculin dans cette enquête ? Ce point avait déjà été soulevé (Trachman et </w:t>
      </w:r>
      <w:proofErr w:type="spellStart"/>
      <w:r>
        <w:t>Lejbowicz</w:t>
      </w:r>
      <w:proofErr w:type="spellEnd"/>
      <w:r>
        <w:t xml:space="preserve"> </w:t>
      </w:r>
      <w:proofErr w:type="gramStart"/>
      <w:r>
        <w:t>2018;</w:t>
      </w:r>
      <w:proofErr w:type="gramEnd"/>
      <w:r>
        <w:t xml:space="preserve"> Trachman et </w:t>
      </w:r>
      <w:proofErr w:type="spellStart"/>
      <w:r>
        <w:t>Lejbowicz</w:t>
      </w:r>
      <w:proofErr w:type="spellEnd"/>
      <w:r>
        <w:t xml:space="preserve"> 2020) sans toutefois être contrôlé par d’autres variables. Deux premières interprétations sont proposées.</w:t>
      </w:r>
    </w:p>
    <w:p w14:paraId="668D7180" w14:textId="77777777" w:rsidR="00E2476B" w:rsidRDefault="00E2476B" w:rsidP="00E2476B">
      <w:pPr>
        <w:pStyle w:val="FirstParagraph"/>
      </w:pPr>
      <w:r>
        <w:t xml:space="preserve">D’une part ce célibat serait le signe d’une difficulté accrue à trouver </w:t>
      </w:r>
      <w:proofErr w:type="spellStart"/>
      <w:r>
        <w:t>un∙e</w:t>
      </w:r>
      <w:proofErr w:type="spellEnd"/>
      <w:r>
        <w:t xml:space="preserve"> </w:t>
      </w:r>
      <w:proofErr w:type="spellStart"/>
      <w:r>
        <w:t>conjoint∙e</w:t>
      </w:r>
      <w:proofErr w:type="spellEnd"/>
      <w:r>
        <w:t>, liée à une « vulnérabilité conjugale spécifique des hommes bisexuels ». Le stigmate de l’homme bisexuel volage, instable et forcément non-monogame car ayant simultanément besoin de partenaires des deux sexes, pèse sur l’accès à la conjugalité. Ce stigmate vient notamment de l’idée que les personnes bisexuelles seraient psychologiquement en contradiction et confus sexuellement (</w:t>
      </w:r>
      <w:proofErr w:type="spellStart"/>
      <w:r>
        <w:t>Klesse</w:t>
      </w:r>
      <w:proofErr w:type="spellEnd"/>
      <w:r>
        <w:t xml:space="preserve"> 2011). La conception de l’homosexualité et de l’hétérosexualité comme formes contraires d’attirances sexuelles empêche de penser la bisexualité autrement que comme une instabilité, une immaturité. Une attention accrue est portée à la bisexualité masculine lorsque des femmes hétérosexuelles contractent le VIH. Des articles de presse font alors surface pour avertir les femmes de faire attention aux maris qui mettent leur famille à risque en ayant des relations sexuelles avec des hommes. La bisexualité alors vue comme porte d’entrée d’une épidémie, devient une menace pour les stratégies politiques homosexuelles. La presse gay et lesbienne redouble ses efforts pour nier l’existence de la bisexualité et condamner les expériences bisexuelles (Rust 2002). Ces formes de préjugés sur les bis ont été désignées par les activistes comme de la biphobie, découlant du </w:t>
      </w:r>
      <w:bookmarkStart w:id="51" w:name="_Hlk238895241"/>
      <w:proofErr w:type="spellStart"/>
      <w:r>
        <w:t>monosexisme</w:t>
      </w:r>
      <w:proofErr w:type="spellEnd"/>
      <w:r>
        <w:t xml:space="preserve">. </w:t>
      </w:r>
      <w:bookmarkEnd w:id="51"/>
      <w:proofErr w:type="spellStart"/>
      <w:r>
        <w:t>Eliason</w:t>
      </w:r>
      <w:proofErr w:type="spellEnd"/>
      <w:r>
        <w:t xml:space="preserve"> (2001) lui préfère le terme de </w:t>
      </w:r>
      <w:r>
        <w:rPr>
          <w:i/>
          <w:iCs/>
        </w:rPr>
        <w:t>bi-</w:t>
      </w:r>
      <w:proofErr w:type="spellStart"/>
      <w:r>
        <w:rPr>
          <w:i/>
          <w:iCs/>
        </w:rPr>
        <w:t>negativity</w:t>
      </w:r>
      <w:proofErr w:type="spellEnd"/>
      <w:r>
        <w:t xml:space="preserve">, les bisexuels peuvent subir des préjugés liés à leur sexualité de la part de leur propre partenaire et sont souvent perçus comme des partenaires indésirables. Le stigmate associé à la bisexualité dans les relations est plus dommageable pour les hommes bisexuels que pour les femmes bisexuelles (McCormack, 2023). </w:t>
      </w:r>
    </w:p>
    <w:p w14:paraId="5B482A51" w14:textId="77777777" w:rsidR="00E2476B" w:rsidRPr="00424AA7" w:rsidRDefault="00E2476B" w:rsidP="00E2476B">
      <w:pPr>
        <w:pStyle w:val="FirstParagraph"/>
      </w:pPr>
      <w:r>
        <w:t xml:space="preserve">D’autre part ce célibat peut refléter une mise à distance choisie de la conjugalité, perçue comme un obstacle à la réalisation des désirs. Dans des relations monogames de long-terme, ils peuvent avoir le sentiment de perdre leur identité bisexuelle. En relation de sexe différent par exemple, cela </w:t>
      </w:r>
      <w:r>
        <w:lastRenderedPageBreak/>
        <w:t xml:space="preserve">peut inclure le fait de ne pas ou de ne plus faire partie des communautés LGBT. Ainsi, si le </w:t>
      </w:r>
      <w:r>
        <w:rPr>
          <w:rStyle w:val="highlight"/>
        </w:rPr>
        <w:t xml:space="preserve">célibat apparaît aujourd’hui comme une expérience socialisatrice à part entière qui contribue à questionner la conjugalité et à façonner les manières de faire couple (Bergström et al 2019), cela semble particulièrement vrai chez les hommes bis. Au-delà des arguments positifs cités par les célibataires du sentiment de liberté et du fait de ne pas avoir à rendre de compte on peut imaginer un argument identitaire chez les bisexuels. Le célibat est une forme relationnelle propice à la réalisation d’une fluidité sexuelle.    </w:t>
      </w:r>
      <w:r>
        <w:t xml:space="preserve"> </w:t>
      </w:r>
    </w:p>
    <w:p w14:paraId="7A8C5810" w14:textId="77777777" w:rsidR="00E2476B" w:rsidRDefault="00E2476B" w:rsidP="00E2476B">
      <w:pPr>
        <w:pStyle w:val="FirstParagraph"/>
      </w:pPr>
      <w:r>
        <w:t xml:space="preserve">Une autre piste d’interprétation se trouve peut-être dans la structure d’âge de la population bisexuelle masculine. Bien que la probabilité d’être en couple est plus faible pour tous les bis, quel que soit leur âge, cette sur-représentation et les portraits ci-dessus nous donnent une indication sur leurs parcours de vie. Si la trentaine est le moment où la pression conjugale est la plus forte (Bergström, </w:t>
      </w:r>
      <w:proofErr w:type="spellStart"/>
      <w:r>
        <w:t>Courtel</w:t>
      </w:r>
      <w:proofErr w:type="spellEnd"/>
      <w:r>
        <w:t xml:space="preserve"> et Vivier 2019) il est tout à fait possible qu’elle entraîne une mise en couple avec une femme. Les pratiques bisexuelles précédant le couple peuvent être considérées comme de simples expériences, sans conséquence pour l’avenir. On peut supposer qu’une partie des répondants bisexuels ont d’abord connu un mariage hétérosexuel avant de vivre leur bisexualité (Rust 2002). Passé un certain âge, et surtout un certain âge social lié au fait d’avoir été en couple, peut-être marié et avec des enfants, l’injonction de fonder une famille et de se mettre en ménage se relâche. Les séparations et divorces donnent plus de liberté pour se dire bisexuel après l’avoir occulté une partie de sa vie ; ou pour la première fois suite à un changement dans la façon d’envisager les relations sexuelles et amoureuses (</w:t>
      </w:r>
      <w:proofErr w:type="spellStart"/>
      <w:r>
        <w:t>Dusseau</w:t>
      </w:r>
      <w:proofErr w:type="spellEnd"/>
      <w:r>
        <w:t xml:space="preserve"> 2017). </w:t>
      </w:r>
    </w:p>
    <w:p w14:paraId="751B5A91" w14:textId="77777777" w:rsidR="00E2476B" w:rsidRDefault="00E2476B" w:rsidP="00E2476B">
      <w:pPr>
        <w:pStyle w:val="Corpsdetexte"/>
      </w:pPr>
      <w:r>
        <w:t>La bisexualité est une identification plus fluide (</w:t>
      </w:r>
      <w:proofErr w:type="spellStart"/>
      <w:r>
        <w:t>Mittleman</w:t>
      </w:r>
      <w:proofErr w:type="spellEnd"/>
      <w:r>
        <w:t xml:space="preserve">, 2023), cela ne signifie pas qu’elle serait transitoire ou instable, simplement que les changements d’identification sexuelle au cours de la vie sont plus fréquents entre la bisexualité et une autre catégorie. On peut adopter l’identification bisexuelle pour de multiples raisons : refléter un historique sexuel et/ou conjugale, soutenir politiquement une identité sexuelle, s’adapter à un changement dans sa vie relationnelle et sexuelle (nouveaux partenaires, transition d’un partenaire). Dès lors, si l’identification sexuelle peut être stable tout au long de la vie, elle peut aussi refléter une forme de fluidité, liée à des éléments contextuels et biographiques des individus. Le fait qu’une partie importante d’hommes célibataires se déclarent bisexuels peut également être le reflet de l’attirance sexuelle. Ces hommes célibataires peuvent adopter l’identification bisexuelle pour signaler une ouverture aux partenaires hommes et </w:t>
      </w:r>
      <w:r>
        <w:lastRenderedPageBreak/>
        <w:t xml:space="preserve">femmes. L’identification à un instant-t ne nous dit rien de l’identification au cours de la vie, particulièrement quand on s’intéresse à la bisexualité. Dès lors, plutôt que penser une prévalence du célibat chez les hommes bisexuels, on pourrait penser une prévalence de l’identification bisexuelle au moment du célibat. Se dire bisexuel témoigne une ouverture à des partenaires quel que soit leur genre. Cette identification peut se poursuivre dans la conjugalité mais aussi se transformer en une identification gay ou hétérosexuelle à la mise en couple. Cette piste interprétative ne doit pas être mobilisée pour discréditer l’identification bisexuelle. La plus grande difficulté à maintenir une identification bisexuelle dans le couple est directement liée à l’injonction de présenter une situation conjugale cohérente avec son orientation sexuelle.   </w:t>
      </w:r>
    </w:p>
    <w:p w14:paraId="356E5726" w14:textId="77777777" w:rsidR="00E2476B" w:rsidRPr="005D60B4" w:rsidRDefault="00E2476B" w:rsidP="00E2476B">
      <w:pPr>
        <w:pStyle w:val="FirstParagraph"/>
      </w:pPr>
      <w:r>
        <w:t>Enfin, les mutations internes des mondes homosexuels peuvent éclairer la question. Les années 1990 ont marqué le passage d'un modèle gay centré sur la libération sexuelle, le multi partenariat et la drague anonyme communautaire à un nouveau modèle de « bonheur domestique », érigeant le couple stable et monogame en horizon normatif majeur et vecteur d'intégration sociale (Adam 1999). Dans ce contexte, la bisexualité masculine réintroduit le potentiel de la pluralité et du choix relationnel indéterminé, ce qui bouscule l'idéal fusionnel du couple à deux (</w:t>
      </w:r>
      <w:proofErr w:type="spellStart"/>
      <w:r>
        <w:t>Dusseau</w:t>
      </w:r>
      <w:proofErr w:type="spellEnd"/>
      <w:r>
        <w:t xml:space="preserve"> 2017). L’élargissement des sociabilités après une jeunesse tournée vers les lieux communautaires gays, la transition d’un partenaire ou encore la volonté de faire concorder pratiques au cours de la vie avec l’identification sexuelle (Rust, 2000) sont autant de raisons qui peuvent expliquer des parcours d’hommes gays devenus bisexuels, des trajectoires toutefois minoritaires (</w:t>
      </w:r>
      <w:proofErr w:type="spellStart"/>
      <w:r>
        <w:t>Mittleman</w:t>
      </w:r>
      <w:proofErr w:type="spellEnd"/>
      <w:r>
        <w:t>, 2023).  Dans la continuité des précédentes hypothèses, le célibat massif des hommes bisexuels pourrait alors refléter non pas une simple incapacité à s'engager ou un manque d’opportunités relationnelles mais une mise à distance de la valorisation de la conjugalité domestique comme unique forme d'accomplissement de soi.</w:t>
      </w:r>
    </w:p>
    <w:p w14:paraId="65122AFD" w14:textId="77777777" w:rsidR="00E2476B" w:rsidRDefault="00E2476B" w:rsidP="00E2476B">
      <w:pPr>
        <w:pStyle w:val="Corpsdetexte"/>
      </w:pPr>
      <w:r>
        <w:t xml:space="preserve">Ces pistes interprétatives ne sont pas mutuellement exclusives. Le stigmate bisexuel entraînant une plus grande difficulté relationnelle peut déboucher sur une mise à distance du couple et la réappropriation de ce pour quoi les hommes bisexuels sont perçus comme indésirables : avoir une sexualité active, non-exclusive, avec des personnes quel que soit leur genre.  </w:t>
      </w:r>
    </w:p>
    <w:p w14:paraId="0508121E" w14:textId="77777777" w:rsidR="00E2476B" w:rsidRDefault="00E2476B" w:rsidP="00E2476B">
      <w:pPr>
        <w:pStyle w:val="Corpsdetexte"/>
      </w:pPr>
      <w:r>
        <w:t xml:space="preserve">Cet objet du célibat des hommes bisexuels est peu travaillé, la littérature française sur le célibat ne traite qu’exceptionnellement de son articulation avec l’orientation sexuelle, souvent faute d’effectifs suffisants dans les enquêtes (Bergström, </w:t>
      </w:r>
      <w:proofErr w:type="spellStart"/>
      <w:r>
        <w:t>Courtel</w:t>
      </w:r>
      <w:proofErr w:type="spellEnd"/>
      <w:r>
        <w:t xml:space="preserve"> et Vivier 2019). Le constat se poursuit </w:t>
      </w:r>
      <w:r>
        <w:lastRenderedPageBreak/>
        <w:t xml:space="preserve">dans Virage, dont les effectifs bisexuels, bien que restreints, permettent au moins une approche descriptive. Nous terminons ce chapitre par l’étude des couples de femmes bisexuelles. </w:t>
      </w:r>
    </w:p>
    <w:p w14:paraId="21ABB316" w14:textId="77777777" w:rsidR="00E2476B" w:rsidRDefault="00E2476B" w:rsidP="00E2476B">
      <w:pPr>
        <w:pStyle w:val="Titre2"/>
      </w:pPr>
      <w:bookmarkStart w:id="52" w:name="X911817ea3b952b451d6c885abd102e0a3060931"/>
      <w:bookmarkStart w:id="53" w:name="_Toc236751582"/>
      <w:bookmarkEnd w:id="43"/>
      <w:bookmarkEnd w:id="44"/>
      <w:bookmarkEnd w:id="52"/>
      <w:r>
        <w:t>III. Les situations conjugales des femmes bisexuelles : entre inégalités internes au couple et faible institutionnalisation</w:t>
      </w:r>
      <w:bookmarkEnd w:id="53"/>
      <w:r>
        <w:t xml:space="preserve"> </w:t>
      </w:r>
    </w:p>
    <w:p w14:paraId="53021095" w14:textId="77777777" w:rsidR="00E2476B" w:rsidRDefault="00E2476B" w:rsidP="00E2476B">
      <w:pPr>
        <w:pStyle w:val="FirstParagraph"/>
      </w:pPr>
      <w:r>
        <w:t xml:space="preserve">On a vu dans la première partie que les femmes bisexuelles sont aussi souvent célibataires que les lesbiennes, mais que lorsqu’elles sont en couple elles le sont très majoritairement avec un homme (51,3 % de l’ensemble des femmes bisexuelles de Virage PG sont en couple avec un homme, soit 91,1 % de celles qui sont en couple). On se demande ici ce que recouvre concrètement cette conjugalité : avec qui les femmes bisexuelles font-elles couple (position sociale du/de la </w:t>
      </w:r>
      <w:proofErr w:type="spellStart"/>
      <w:r>
        <w:t>conjoint·e</w:t>
      </w:r>
      <w:proofErr w:type="spellEnd"/>
      <w:r>
        <w:t>), quelle est leur position relative dans ce couple (revenus et patrimoines comparés, revenu du ménage) et dans quelle mesure ce couple est institutionnalisé (mariage/Pacs, cohabitation, durée de la relation, enfants du couple) ?</w:t>
      </w:r>
    </w:p>
    <w:p w14:paraId="114309CF" w14:textId="77777777" w:rsidR="00E2476B" w:rsidRDefault="00E2476B" w:rsidP="00E2476B">
      <w:pPr>
        <w:pStyle w:val="Titre3"/>
      </w:pPr>
      <w:bookmarkStart w:id="54" w:name="_Toc236751583"/>
      <w:r>
        <w:t>Les configurations économiques et juridiques</w:t>
      </w:r>
      <w:bookmarkEnd w:id="54"/>
      <w:r>
        <w:t> </w:t>
      </w:r>
      <w:bookmarkStart w:id="55" w:name="X5bb8fb0bfa9ed0dd00aaaf6adb0a99002ab6991"/>
      <w:r>
        <w:t xml:space="preserve"> </w:t>
      </w:r>
    </w:p>
    <w:p w14:paraId="53DC1055" w14:textId="77777777" w:rsidR="00E2476B" w:rsidRDefault="00E2476B" w:rsidP="00E2476B">
      <w:pPr>
        <w:pStyle w:val="Corpsdetexte"/>
      </w:pPr>
      <w:r>
        <w:t>Pour analyser la conjugalité des femmes bisexuelles, nous resserrons l'observation sur la sous-population des répondantes engagées dans un couple stable (supérieur à quatre mois) au cours de l'année</w:t>
      </w:r>
      <w:r>
        <w:rPr>
          <w:rStyle w:val="Appelnotedebasdep"/>
        </w:rPr>
        <w:footnoteReference w:id="14"/>
      </w:r>
      <w:r>
        <w:t xml:space="preserve">. Les tableaux ci-dessous présentent les configurations économiques et conjugales des femmes en couple. </w:t>
      </w:r>
    </w:p>
    <w:p w14:paraId="3C6B6751" w14:textId="77777777" w:rsidR="00E2476B" w:rsidRPr="00F54FAA" w:rsidRDefault="00E2476B" w:rsidP="00E2476B">
      <w:pPr>
        <w:pStyle w:val="Tableauuser"/>
        <w:spacing w:before="0"/>
        <w:rPr>
          <w:rFonts w:eastAsia="Aptos"/>
        </w:rPr>
      </w:pPr>
      <w:r>
        <w:rPr>
          <w:rFonts w:ascii="Aptos" w:eastAsia="Aptos" w:hAnsi="Aptos"/>
        </w:rPr>
        <w:t xml:space="preserve">Table 2a : Les configurations économiques des femmes en couple.  </w:t>
      </w:r>
    </w:p>
    <w:tbl>
      <w:tblPr>
        <w:tblW w:w="5000" w:type="pct"/>
        <w:jc w:val="center"/>
        <w:tblLook w:val="0420" w:firstRow="1" w:lastRow="0" w:firstColumn="0" w:lastColumn="0" w:noHBand="0" w:noVBand="1"/>
      </w:tblPr>
      <w:tblGrid>
        <w:gridCol w:w="2688"/>
        <w:gridCol w:w="1909"/>
        <w:gridCol w:w="1909"/>
        <w:gridCol w:w="1909"/>
        <w:gridCol w:w="979"/>
      </w:tblGrid>
      <w:tr w:rsidR="00E2476B" w:rsidRPr="00083B9B" w14:paraId="5260CDBD" w14:textId="77777777" w:rsidTr="0018419C">
        <w:trPr>
          <w:trHeight w:val="227"/>
          <w:tblHeader/>
          <w:jc w:val="center"/>
        </w:trPr>
        <w:tc>
          <w:tcPr>
            <w:tcW w:w="1431" w:type="pct"/>
            <w:tcBorders>
              <w:top w:val="single" w:sz="4" w:space="0" w:color="auto"/>
              <w:left w:val="single" w:sz="4"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7F67717A"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3048" w:type="pct"/>
            <w:gridSpan w:val="3"/>
            <w:tcBorders>
              <w:top w:val="single" w:sz="4"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E795A7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Virage PG — Femmes en couple</w:t>
            </w:r>
          </w:p>
        </w:tc>
        <w:tc>
          <w:tcPr>
            <w:tcW w:w="521" w:type="pct"/>
            <w:tcBorders>
              <w:top w:val="single" w:sz="4" w:space="0" w:color="auto"/>
              <w:left w:val="none" w:sz="0" w:space="0" w:color="000000"/>
              <w:bottom w:val="single" w:sz="8" w:space="0" w:color="000000"/>
              <w:right w:val="single" w:sz="4" w:space="0" w:color="auto"/>
            </w:tcBorders>
            <w:shd w:val="clear" w:color="auto" w:fill="FFFFFF"/>
            <w:tcMar>
              <w:top w:w="0" w:type="dxa"/>
              <w:left w:w="0" w:type="dxa"/>
              <w:bottom w:w="0" w:type="dxa"/>
              <w:right w:w="0" w:type="dxa"/>
            </w:tcMar>
            <w:vAlign w:val="center"/>
          </w:tcPr>
          <w:p w14:paraId="50907EE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color w:val="000000"/>
                <w:sz w:val="16"/>
                <w:szCs w:val="16"/>
              </w:rPr>
              <w:t xml:space="preserve"> </w:t>
            </w:r>
          </w:p>
        </w:tc>
      </w:tr>
      <w:tr w:rsidR="00E2476B" w:rsidRPr="00083B9B" w14:paraId="211B8948" w14:textId="77777777" w:rsidTr="0018419C">
        <w:trPr>
          <w:trHeight w:val="227"/>
          <w:tblHeader/>
          <w:jc w:val="center"/>
        </w:trPr>
        <w:tc>
          <w:tcPr>
            <w:tcW w:w="1431" w:type="pct"/>
            <w:tcBorders>
              <w:top w:val="single" w:sz="8" w:space="0" w:color="000000"/>
              <w:left w:val="single" w:sz="4"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66C1AE7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01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F4FE1A7"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Homo</w:t>
            </w:r>
            <w:r w:rsidRPr="00083B9B">
              <w:rPr>
                <w:rFonts w:ascii="Times New Roman" w:eastAsia="Arial" w:hAnsi="Times New Roman" w:cs="Times New Roman"/>
                <w:color w:val="000000"/>
                <w:sz w:val="16"/>
                <w:szCs w:val="16"/>
              </w:rPr>
              <w:br/>
              <w:t>(n = 65)</w:t>
            </w:r>
            <w:r w:rsidRPr="00083B9B">
              <w:rPr>
                <w:rFonts w:ascii="Times New Roman" w:eastAsia="Arial" w:hAnsi="Times New Roman" w:cs="Times New Roman"/>
                <w:color w:val="000000"/>
                <w:sz w:val="16"/>
                <w:szCs w:val="16"/>
                <w:vertAlign w:val="superscript"/>
              </w:rPr>
              <w:t>1</w:t>
            </w:r>
          </w:p>
        </w:tc>
        <w:tc>
          <w:tcPr>
            <w:tcW w:w="101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90A141"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Bi</w:t>
            </w:r>
            <w:r w:rsidRPr="00083B9B">
              <w:rPr>
                <w:rFonts w:ascii="Times New Roman" w:eastAsia="Arial" w:hAnsi="Times New Roman" w:cs="Times New Roman"/>
                <w:color w:val="000000"/>
                <w:sz w:val="16"/>
                <w:szCs w:val="16"/>
              </w:rPr>
              <w:br/>
              <w:t>(n = 77)</w:t>
            </w:r>
            <w:r w:rsidRPr="00083B9B">
              <w:rPr>
                <w:rFonts w:ascii="Times New Roman" w:eastAsia="Arial" w:hAnsi="Times New Roman" w:cs="Times New Roman"/>
                <w:color w:val="000000"/>
                <w:sz w:val="16"/>
                <w:szCs w:val="16"/>
                <w:vertAlign w:val="superscript"/>
              </w:rPr>
              <w:t>1</w:t>
            </w:r>
          </w:p>
        </w:tc>
        <w:tc>
          <w:tcPr>
            <w:tcW w:w="1016"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870F6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Hétéro</w:t>
            </w:r>
            <w:r w:rsidRPr="00083B9B">
              <w:rPr>
                <w:rFonts w:ascii="Times New Roman" w:eastAsia="Arial" w:hAnsi="Times New Roman" w:cs="Times New Roman"/>
                <w:color w:val="000000"/>
                <w:sz w:val="16"/>
                <w:szCs w:val="16"/>
              </w:rPr>
              <w:br/>
              <w:t>(n = 10196)</w:t>
            </w:r>
            <w:r w:rsidRPr="00083B9B">
              <w:rPr>
                <w:rFonts w:ascii="Times New Roman" w:eastAsia="Arial" w:hAnsi="Times New Roman" w:cs="Times New Roman"/>
                <w:color w:val="000000"/>
                <w:sz w:val="16"/>
                <w:szCs w:val="16"/>
                <w:vertAlign w:val="superscript"/>
              </w:rPr>
              <w:t>1</w:t>
            </w:r>
          </w:p>
        </w:tc>
        <w:tc>
          <w:tcPr>
            <w:tcW w:w="521" w:type="pct"/>
            <w:tcBorders>
              <w:top w:val="single" w:sz="8" w:space="0" w:color="000000"/>
              <w:left w:val="none" w:sz="0" w:space="0" w:color="000000"/>
              <w:bottom w:val="single" w:sz="8" w:space="0" w:color="000000"/>
              <w:right w:val="single" w:sz="4" w:space="0" w:color="auto"/>
            </w:tcBorders>
            <w:shd w:val="clear" w:color="auto" w:fill="FFFFFF"/>
            <w:tcMar>
              <w:top w:w="0" w:type="dxa"/>
              <w:left w:w="0" w:type="dxa"/>
              <w:bottom w:w="0" w:type="dxa"/>
              <w:right w:w="0" w:type="dxa"/>
            </w:tcMar>
            <w:vAlign w:val="center"/>
          </w:tcPr>
          <w:p w14:paraId="7967E079"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083B9B">
              <w:rPr>
                <w:rFonts w:ascii="Times New Roman" w:eastAsia="Arial" w:hAnsi="Times New Roman" w:cs="Times New Roman"/>
                <w:b/>
                <w:color w:val="000000"/>
                <w:sz w:val="16"/>
                <w:szCs w:val="16"/>
              </w:rPr>
              <w:t>P-value</w:t>
            </w:r>
            <w:r w:rsidRPr="00083B9B">
              <w:rPr>
                <w:rFonts w:ascii="Times New Roman" w:eastAsia="Arial" w:hAnsi="Times New Roman" w:cs="Times New Roman"/>
                <w:color w:val="000000"/>
                <w:sz w:val="16"/>
                <w:szCs w:val="16"/>
                <w:vertAlign w:val="superscript"/>
              </w:rPr>
              <w:t>2</w:t>
            </w:r>
          </w:p>
        </w:tc>
      </w:tr>
      <w:tr w:rsidR="00E2476B" w14:paraId="38574CA1" w14:textId="77777777" w:rsidTr="0018419C">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386E446E"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083B9B">
              <w:rPr>
                <w:rFonts w:ascii="Times New Roman" w:eastAsia="Arial" w:hAnsi="Times New Roman" w:cs="Times New Roman"/>
                <w:bCs/>
                <w:i/>
                <w:iCs/>
                <w:color w:val="000000"/>
                <w:sz w:val="14"/>
                <w:szCs w:val="14"/>
              </w:rPr>
              <w:t xml:space="preserve">Revenu comparé </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79440F6B"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43106572"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67109DB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037EF3B0"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0.001</w:t>
            </w:r>
          </w:p>
        </w:tc>
      </w:tr>
      <w:tr w:rsidR="00E2476B" w14:paraId="1FF8E054"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08237DFB"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Revenu</w:t>
            </w:r>
            <w:r>
              <w:rPr>
                <w:rFonts w:ascii="Times New Roman" w:eastAsia="Arial" w:hAnsi="Times New Roman" w:cs="Times New Roman"/>
                <w:color w:val="000000"/>
                <w:sz w:val="14"/>
                <w:szCs w:val="14"/>
              </w:rPr>
              <w:t xml:space="preserve"> ego</w:t>
            </w:r>
            <w:r w:rsidRPr="00083B9B">
              <w:rPr>
                <w:rFonts w:ascii="Times New Roman" w:eastAsia="Arial" w:hAnsi="Times New Roman" w:cs="Times New Roman"/>
                <w:color w:val="000000"/>
                <w:sz w:val="14"/>
                <w:szCs w:val="14"/>
              </w:rPr>
              <w:t xml:space="preserve"> supérieur </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4A4B03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32.8% (21)</w:t>
            </w:r>
            <w:r w:rsidRPr="00083B9B">
              <w:rPr>
                <w:rFonts w:ascii="Times New Roman" w:eastAsia="Arial" w:hAnsi="Times New Roman" w:cs="Times New Roman"/>
                <w:color w:val="000000"/>
                <w:sz w:val="14"/>
                <w:szCs w:val="14"/>
              </w:rPr>
              <w:br/>
              <w:t>[20%, 48%]</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D092A5C"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15.5% (16)</w:t>
            </w:r>
            <w:r w:rsidRPr="00083B9B">
              <w:rPr>
                <w:rFonts w:ascii="Times New Roman" w:eastAsia="Arial" w:hAnsi="Times New Roman" w:cs="Times New Roman"/>
                <w:color w:val="000000"/>
                <w:sz w:val="14"/>
                <w:szCs w:val="14"/>
              </w:rPr>
              <w:br/>
              <w:t>[8.5%, 26%]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3AAF957"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16.4% (1,707)</w:t>
            </w:r>
            <w:r w:rsidRPr="00083B9B">
              <w:rPr>
                <w:rFonts w:ascii="Times New Roman" w:eastAsia="Arial" w:hAnsi="Times New Roman" w:cs="Times New Roman"/>
                <w:color w:val="000000"/>
                <w:sz w:val="14"/>
                <w:szCs w:val="14"/>
              </w:rPr>
              <w:br/>
              <w:t>[15%, 17%]</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12C6A5B"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201BB0CB"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29C2C3F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Revenu équivalent</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FE5C592"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34.1% (18)</w:t>
            </w:r>
            <w:r w:rsidRPr="00083B9B">
              <w:rPr>
                <w:rFonts w:ascii="Times New Roman" w:eastAsia="Arial" w:hAnsi="Times New Roman" w:cs="Times New Roman"/>
                <w:color w:val="000000"/>
                <w:sz w:val="14"/>
                <w:szCs w:val="14"/>
              </w:rPr>
              <w:br/>
              <w:t>[21%, 50%]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CD94F8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11.2% (11)</w:t>
            </w:r>
            <w:r w:rsidRPr="00083B9B">
              <w:rPr>
                <w:rFonts w:ascii="Times New Roman" w:eastAsia="Arial" w:hAnsi="Times New Roman" w:cs="Times New Roman"/>
                <w:color w:val="000000"/>
                <w:sz w:val="14"/>
                <w:szCs w:val="14"/>
              </w:rPr>
              <w:br/>
              <w:t>[5.5%, 22%]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7CC3223"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20.7% (2,092)</w:t>
            </w:r>
            <w:r w:rsidRPr="00083B9B">
              <w:rPr>
                <w:rFonts w:ascii="Times New Roman" w:eastAsia="Arial" w:hAnsi="Times New Roman" w:cs="Times New Roman"/>
                <w:color w:val="000000"/>
                <w:sz w:val="14"/>
                <w:szCs w:val="14"/>
              </w:rPr>
              <w:br/>
              <w:t>[20%, 22%]</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4FAC4D3B"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5B4AD685"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15A25D9"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 xml:space="preserve">Revenu </w:t>
            </w:r>
            <w:r>
              <w:rPr>
                <w:rFonts w:ascii="Times New Roman" w:eastAsia="Arial" w:hAnsi="Times New Roman" w:cs="Times New Roman"/>
                <w:color w:val="000000"/>
                <w:sz w:val="14"/>
                <w:szCs w:val="14"/>
              </w:rPr>
              <w:t xml:space="preserve">ego </w:t>
            </w:r>
            <w:r w:rsidRPr="00083B9B">
              <w:rPr>
                <w:rFonts w:ascii="Times New Roman" w:eastAsia="Arial" w:hAnsi="Times New Roman" w:cs="Times New Roman"/>
                <w:color w:val="000000"/>
                <w:sz w:val="14"/>
                <w:szCs w:val="14"/>
              </w:rPr>
              <w:t xml:space="preserve">inférieur </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A6AE852"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33.2% (24)</w:t>
            </w:r>
            <w:r w:rsidRPr="00083B9B">
              <w:rPr>
                <w:rFonts w:ascii="Times New Roman" w:eastAsia="Arial" w:hAnsi="Times New Roman" w:cs="Times New Roman"/>
                <w:color w:val="000000"/>
                <w:sz w:val="14"/>
                <w:szCs w:val="14"/>
              </w:rPr>
              <w:br/>
              <w:t>[21%, 47%]</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25F809B"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58.1% (41)</w:t>
            </w:r>
            <w:r w:rsidRPr="00083B9B">
              <w:rPr>
                <w:rFonts w:ascii="Times New Roman" w:eastAsia="Arial" w:hAnsi="Times New Roman" w:cs="Times New Roman"/>
                <w:color w:val="000000"/>
                <w:sz w:val="14"/>
                <w:szCs w:val="14"/>
              </w:rPr>
              <w:br/>
              <w:t>[43%, 72%]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4D5ACF3"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58.2% (5,427)</w:t>
            </w:r>
            <w:r w:rsidRPr="00083B9B">
              <w:rPr>
                <w:rFonts w:ascii="Times New Roman" w:eastAsia="Arial" w:hAnsi="Times New Roman" w:cs="Times New Roman"/>
                <w:color w:val="000000"/>
                <w:sz w:val="14"/>
                <w:szCs w:val="14"/>
              </w:rPr>
              <w:br/>
              <w:t>[57%, 59%]</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458BCAC"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66F6894B"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114837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083B9B">
              <w:rPr>
                <w:rFonts w:ascii="Times New Roman" w:eastAsia="Arial" w:hAnsi="Times New Roman" w:cs="Times New Roman"/>
                <w:color w:val="000000"/>
                <w:sz w:val="14"/>
                <w:szCs w:val="14"/>
              </w:rPr>
              <w:t>Conjoint·e</w:t>
            </w:r>
            <w:proofErr w:type="spellEnd"/>
            <w:r w:rsidRPr="00083B9B">
              <w:rPr>
                <w:rFonts w:ascii="Times New Roman" w:eastAsia="Arial" w:hAnsi="Times New Roman" w:cs="Times New Roman"/>
                <w:color w:val="000000"/>
                <w:sz w:val="14"/>
                <w:szCs w:val="14"/>
              </w:rPr>
              <w:t xml:space="preserve"> sans revenu</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B0402DB"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0.0% (0)</w:t>
            </w:r>
            <w:r w:rsidRPr="00083B9B">
              <w:rPr>
                <w:rFonts w:ascii="Times New Roman" w:eastAsia="Arial" w:hAnsi="Times New Roman" w:cs="Times New Roman"/>
                <w:color w:val="000000"/>
                <w:sz w:val="14"/>
                <w:szCs w:val="14"/>
              </w:rPr>
              <w:br/>
              <w:t>[0.00%,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3EE863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5.2% (2)</w:t>
            </w:r>
            <w:r w:rsidRPr="00083B9B">
              <w:rPr>
                <w:rFonts w:ascii="Times New Roman" w:eastAsia="Arial" w:hAnsi="Times New Roman" w:cs="Times New Roman"/>
                <w:color w:val="000000"/>
                <w:sz w:val="14"/>
                <w:szCs w:val="14"/>
              </w:rPr>
              <w:br/>
              <w:t>[1.1%, 21%]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09FD32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2.2% (146)</w:t>
            </w:r>
            <w:r w:rsidRPr="00083B9B">
              <w:rPr>
                <w:rFonts w:ascii="Times New Roman" w:eastAsia="Arial" w:hAnsi="Times New Roman" w:cs="Times New Roman"/>
                <w:color w:val="000000"/>
                <w:sz w:val="14"/>
                <w:szCs w:val="14"/>
              </w:rPr>
              <w:br/>
              <w:t>[1.8%, 2.6%]</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4E7483F1"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060925A9"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AFDECCC"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lastRenderedPageBreak/>
              <w:t>NVPD/NSP</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A720CD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0.0% (0)</w:t>
            </w:r>
            <w:r w:rsidRPr="00083B9B">
              <w:rPr>
                <w:rFonts w:ascii="Times New Roman" w:eastAsia="Arial" w:hAnsi="Times New Roman" w:cs="Times New Roman"/>
                <w:color w:val="000000"/>
                <w:sz w:val="14"/>
                <w:szCs w:val="14"/>
              </w:rPr>
              <w:br/>
              <w:t>[0.00%,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462D5C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10.1% (2)</w:t>
            </w:r>
            <w:r w:rsidRPr="00083B9B">
              <w:rPr>
                <w:rFonts w:ascii="Times New Roman" w:eastAsia="Arial" w:hAnsi="Times New Roman" w:cs="Times New Roman"/>
                <w:color w:val="000000"/>
                <w:sz w:val="14"/>
                <w:szCs w:val="14"/>
              </w:rPr>
              <w:br/>
              <w:t>[2.5%, 33%]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EAF953E"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2.6% (249)</w:t>
            </w:r>
            <w:r w:rsidRPr="00083B9B">
              <w:rPr>
                <w:rFonts w:ascii="Times New Roman" w:eastAsia="Arial" w:hAnsi="Times New Roman" w:cs="Times New Roman"/>
                <w:color w:val="000000"/>
                <w:sz w:val="14"/>
                <w:szCs w:val="14"/>
              </w:rPr>
              <w:br/>
              <w:t>[2.2%, 3.0%]</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0FD71F2"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0636FA98" w14:textId="77777777" w:rsidTr="0018419C">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27F6889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sidRPr="00083B9B">
              <w:rPr>
                <w:rFonts w:ascii="Times New Roman" w:eastAsia="Arial" w:hAnsi="Times New Roman" w:cs="Times New Roman"/>
                <w:bCs/>
                <w:i/>
                <w:iCs/>
                <w:color w:val="000000"/>
                <w:sz w:val="14"/>
                <w:szCs w:val="14"/>
              </w:rPr>
              <w:t>Revenu du ménage</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37E27AD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068F8B96"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4BEAA82C"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0442800C"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0.6</w:t>
            </w:r>
          </w:p>
        </w:tc>
      </w:tr>
      <w:tr w:rsidR="00E2476B" w14:paraId="41943947"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06384F7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Moins de 1 800€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94D758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13.9% (4)</w:t>
            </w:r>
            <w:r w:rsidRPr="00083B9B">
              <w:rPr>
                <w:rFonts w:ascii="Times New Roman" w:eastAsia="Arial" w:hAnsi="Times New Roman" w:cs="Times New Roman"/>
                <w:color w:val="000000"/>
                <w:sz w:val="14"/>
                <w:szCs w:val="14"/>
              </w:rPr>
              <w:br/>
              <w:t>[5.2%, 32%]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BA37C9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24.3% (9)</w:t>
            </w:r>
            <w:r w:rsidRPr="00083B9B">
              <w:rPr>
                <w:rFonts w:ascii="Times New Roman" w:eastAsia="Arial" w:hAnsi="Times New Roman" w:cs="Times New Roman"/>
                <w:color w:val="000000"/>
                <w:sz w:val="14"/>
                <w:szCs w:val="14"/>
              </w:rPr>
              <w:br/>
              <w:t>[12%, 43%]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9EF6293"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16.1% (924)</w:t>
            </w:r>
            <w:r w:rsidRPr="00083B9B">
              <w:rPr>
                <w:rFonts w:ascii="Times New Roman" w:eastAsia="Arial" w:hAnsi="Times New Roman" w:cs="Times New Roman"/>
                <w:color w:val="000000"/>
                <w:sz w:val="14"/>
                <w:szCs w:val="14"/>
              </w:rPr>
              <w:br/>
              <w:t>[15%, 17%]</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FA5AABE"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48D8AFCD"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E66352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De 1 800 à moins de 3 000€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212FE2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36.1% (16)</w:t>
            </w:r>
            <w:r w:rsidRPr="00083B9B">
              <w:rPr>
                <w:rFonts w:ascii="Times New Roman" w:eastAsia="Arial" w:hAnsi="Times New Roman" w:cs="Times New Roman"/>
                <w:color w:val="000000"/>
                <w:sz w:val="14"/>
                <w:szCs w:val="14"/>
              </w:rPr>
              <w:br/>
              <w:t>[22%, 54%]</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DABF85B"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31.6% (17)</w:t>
            </w:r>
            <w:r w:rsidRPr="00083B9B">
              <w:rPr>
                <w:rFonts w:ascii="Times New Roman" w:eastAsia="Arial" w:hAnsi="Times New Roman" w:cs="Times New Roman"/>
                <w:color w:val="000000"/>
                <w:sz w:val="14"/>
                <w:szCs w:val="14"/>
              </w:rPr>
              <w:br/>
              <w:t>[19%, 47%]</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9636FA9"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37.5% (2,828)</w:t>
            </w:r>
            <w:r w:rsidRPr="00083B9B">
              <w:rPr>
                <w:rFonts w:ascii="Times New Roman" w:eastAsia="Arial" w:hAnsi="Times New Roman" w:cs="Times New Roman"/>
                <w:color w:val="000000"/>
                <w:sz w:val="14"/>
                <w:szCs w:val="14"/>
              </w:rPr>
              <w:br/>
              <w:t>[36%, 39%]</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6BF6D81"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3CE9578D"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3BDD1F51"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De 3 000 à moins de 4 000€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D074A1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21.2% (10)</w:t>
            </w:r>
            <w:r w:rsidRPr="00083B9B">
              <w:rPr>
                <w:rFonts w:ascii="Times New Roman" w:eastAsia="Arial" w:hAnsi="Times New Roman" w:cs="Times New Roman"/>
                <w:color w:val="000000"/>
                <w:sz w:val="14"/>
                <w:szCs w:val="14"/>
              </w:rPr>
              <w:br/>
              <w:t>[11%, 38%]</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BB1D17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16.5% (12)</w:t>
            </w:r>
            <w:r w:rsidRPr="00083B9B">
              <w:rPr>
                <w:rFonts w:ascii="Times New Roman" w:eastAsia="Arial" w:hAnsi="Times New Roman" w:cs="Times New Roman"/>
                <w:color w:val="000000"/>
                <w:sz w:val="14"/>
                <w:szCs w:val="14"/>
              </w:rPr>
              <w:br/>
              <w:t>[8.5%, 30%]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FBC65F1"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22.8% (2,045)</w:t>
            </w:r>
            <w:r w:rsidRPr="00083B9B">
              <w:rPr>
                <w:rFonts w:ascii="Times New Roman" w:eastAsia="Arial" w:hAnsi="Times New Roman" w:cs="Times New Roman"/>
                <w:color w:val="000000"/>
                <w:sz w:val="14"/>
                <w:szCs w:val="14"/>
              </w:rPr>
              <w:br/>
              <w:t>[22%, 24%]</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99FA77E"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0A43BE89"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5ED0A0B3"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4 000€ et plus</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4B1E32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21.4% (15)</w:t>
            </w:r>
            <w:r w:rsidRPr="00083B9B">
              <w:rPr>
                <w:rFonts w:ascii="Times New Roman" w:eastAsia="Arial" w:hAnsi="Times New Roman" w:cs="Times New Roman"/>
                <w:color w:val="000000"/>
                <w:sz w:val="14"/>
                <w:szCs w:val="14"/>
              </w:rPr>
              <w:br/>
              <w:t>[12%, 35%]</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762EBE9"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27.6% (16)</w:t>
            </w:r>
            <w:r w:rsidRPr="00083B9B">
              <w:rPr>
                <w:rFonts w:ascii="Times New Roman" w:eastAsia="Arial" w:hAnsi="Times New Roman" w:cs="Times New Roman"/>
                <w:color w:val="000000"/>
                <w:sz w:val="14"/>
                <w:szCs w:val="14"/>
              </w:rPr>
              <w:br/>
              <w:t>[16%, 43%]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90126B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19.8% (2,124)</w:t>
            </w:r>
            <w:r w:rsidRPr="00083B9B">
              <w:rPr>
                <w:rFonts w:ascii="Times New Roman" w:eastAsia="Arial" w:hAnsi="Times New Roman" w:cs="Times New Roman"/>
                <w:color w:val="000000"/>
                <w:sz w:val="14"/>
                <w:szCs w:val="14"/>
              </w:rPr>
              <w:br/>
              <w:t>[19%, 21%]</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C36B828"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5F694EB7"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3F145B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Pas de budget commun/NVPD/NSP</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A0D57C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7.4% (2)</w:t>
            </w:r>
            <w:r w:rsidRPr="00083B9B">
              <w:rPr>
                <w:rFonts w:ascii="Times New Roman" w:eastAsia="Arial" w:hAnsi="Times New Roman" w:cs="Times New Roman"/>
                <w:color w:val="000000"/>
                <w:sz w:val="14"/>
                <w:szCs w:val="14"/>
              </w:rPr>
              <w:br/>
              <w:t>[1.7%, 26%]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CEE1BC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0.0% (0)</w:t>
            </w:r>
            <w:r w:rsidRPr="00083B9B">
              <w:rPr>
                <w:rFonts w:ascii="Times New Roman" w:eastAsia="Arial" w:hAnsi="Times New Roman" w:cs="Times New Roman"/>
                <w:color w:val="000000"/>
                <w:sz w:val="14"/>
                <w:szCs w:val="14"/>
              </w:rPr>
              <w:br/>
              <w:t>[0.00%,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5AC85F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3.8% (225)</w:t>
            </w:r>
            <w:r w:rsidRPr="00083B9B">
              <w:rPr>
                <w:rFonts w:ascii="Times New Roman" w:eastAsia="Arial" w:hAnsi="Times New Roman" w:cs="Times New Roman"/>
                <w:color w:val="000000"/>
                <w:sz w:val="14"/>
                <w:szCs w:val="14"/>
              </w:rPr>
              <w:br/>
              <w:t>[3.2%, 4.5%]</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69D6646"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00D90D7F" w14:textId="77777777" w:rsidTr="0018419C">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65FDA0AA"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Pr>
                <w:rFonts w:ascii="Times New Roman" w:eastAsia="Arial" w:hAnsi="Times New Roman" w:cs="Times New Roman"/>
                <w:bCs/>
                <w:i/>
                <w:iCs/>
                <w:color w:val="000000"/>
                <w:sz w:val="14"/>
                <w:szCs w:val="14"/>
              </w:rPr>
              <w:t>Statut d’activité comparé</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4E097FF6"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5D7ED0EA"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652184F6"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51F6B70B"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0.009</w:t>
            </w:r>
          </w:p>
        </w:tc>
      </w:tr>
      <w:tr w:rsidR="00E2476B" w14:paraId="0E9399AD"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21E77537"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Couple actif</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7887BAC"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88.7% (52)</w:t>
            </w:r>
            <w:r w:rsidRPr="00083B9B">
              <w:rPr>
                <w:rFonts w:ascii="Times New Roman" w:eastAsia="Arial" w:hAnsi="Times New Roman" w:cs="Times New Roman"/>
                <w:color w:val="000000"/>
                <w:sz w:val="14"/>
                <w:szCs w:val="14"/>
              </w:rPr>
              <w:br/>
              <w:t>[76%, 95%]</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9FD5FC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58.0% (49)</w:t>
            </w:r>
            <w:r w:rsidRPr="00083B9B">
              <w:rPr>
                <w:rFonts w:ascii="Times New Roman" w:eastAsia="Arial" w:hAnsi="Times New Roman" w:cs="Times New Roman"/>
                <w:color w:val="000000"/>
                <w:sz w:val="14"/>
                <w:szCs w:val="14"/>
              </w:rPr>
              <w:br/>
              <w:t>[42%, 72%]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84FE879"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63.1% (6,134)</w:t>
            </w:r>
            <w:r w:rsidRPr="00083B9B">
              <w:rPr>
                <w:rFonts w:ascii="Times New Roman" w:eastAsia="Arial" w:hAnsi="Times New Roman" w:cs="Times New Roman"/>
                <w:color w:val="000000"/>
                <w:sz w:val="14"/>
                <w:szCs w:val="14"/>
              </w:rPr>
              <w:br/>
              <w:t>[62%, 64%]</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C9656FA"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72DC9D74"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4F7B480E"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Couple inactif</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788227E"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6.1% (5)</w:t>
            </w:r>
            <w:r w:rsidRPr="00083B9B">
              <w:rPr>
                <w:rFonts w:ascii="Times New Roman" w:eastAsia="Arial" w:hAnsi="Times New Roman" w:cs="Times New Roman"/>
                <w:color w:val="000000"/>
                <w:sz w:val="14"/>
                <w:szCs w:val="14"/>
              </w:rPr>
              <w:br/>
              <w:t>[1.6%, 20%]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CA01AB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10.9% (6)</w:t>
            </w:r>
            <w:r w:rsidRPr="00083B9B">
              <w:rPr>
                <w:rFonts w:ascii="Times New Roman" w:eastAsia="Arial" w:hAnsi="Times New Roman" w:cs="Times New Roman"/>
                <w:color w:val="000000"/>
                <w:sz w:val="14"/>
                <w:szCs w:val="14"/>
              </w:rPr>
              <w:br/>
              <w:t>[3.4%, 30%]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52D70EA"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16.2% (2,141)</w:t>
            </w:r>
            <w:r w:rsidRPr="00083B9B">
              <w:rPr>
                <w:rFonts w:ascii="Times New Roman" w:eastAsia="Arial" w:hAnsi="Times New Roman" w:cs="Times New Roman"/>
                <w:color w:val="000000"/>
                <w:sz w:val="14"/>
                <w:szCs w:val="14"/>
              </w:rPr>
              <w:br/>
              <w:t>[15%, 17%]</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2B518EB6"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4AA04208"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49153F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Ego actif / Partenaire inactif</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64F0911"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2.4% (4)</w:t>
            </w:r>
            <w:r w:rsidRPr="00083B9B">
              <w:rPr>
                <w:rFonts w:ascii="Times New Roman" w:eastAsia="Arial" w:hAnsi="Times New Roman" w:cs="Times New Roman"/>
                <w:color w:val="000000"/>
                <w:sz w:val="14"/>
                <w:szCs w:val="14"/>
              </w:rPr>
              <w:br/>
              <w:t>[0.77%, 7.1%]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11B9EF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5.0% (5)</w:t>
            </w:r>
            <w:r w:rsidRPr="00083B9B">
              <w:rPr>
                <w:rFonts w:ascii="Times New Roman" w:eastAsia="Arial" w:hAnsi="Times New Roman" w:cs="Times New Roman"/>
                <w:color w:val="000000"/>
                <w:sz w:val="14"/>
                <w:szCs w:val="14"/>
              </w:rPr>
              <w:br/>
              <w:t>[1.8%, 13%]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BADBEF2"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7.0% (713)</w:t>
            </w:r>
            <w:r w:rsidRPr="00083B9B">
              <w:rPr>
                <w:rFonts w:ascii="Times New Roman" w:eastAsia="Arial" w:hAnsi="Times New Roman" w:cs="Times New Roman"/>
                <w:color w:val="000000"/>
                <w:sz w:val="14"/>
                <w:szCs w:val="14"/>
              </w:rPr>
              <w:br/>
              <w:t>[6.4%, 7.7%]</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3832E9E"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78541B4D"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0112168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Ego inactif / Partenaire actif</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DF823C6"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2.8% (2)</w:t>
            </w:r>
            <w:r w:rsidRPr="00083B9B">
              <w:rPr>
                <w:rFonts w:ascii="Times New Roman" w:eastAsia="Arial" w:hAnsi="Times New Roman" w:cs="Times New Roman"/>
                <w:color w:val="000000"/>
                <w:sz w:val="14"/>
                <w:szCs w:val="14"/>
              </w:rPr>
              <w:br/>
              <w:t>[0.48%, 15%]</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38122C6"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26.1% (14)</w:t>
            </w:r>
            <w:r w:rsidRPr="00083B9B">
              <w:rPr>
                <w:rFonts w:ascii="Times New Roman" w:eastAsia="Arial" w:hAnsi="Times New Roman" w:cs="Times New Roman"/>
                <w:color w:val="000000"/>
                <w:sz w:val="14"/>
                <w:szCs w:val="14"/>
              </w:rPr>
              <w:br/>
              <w:t>[15%, 42%]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C1FBB9E"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13.7% (1,137)</w:t>
            </w:r>
            <w:r w:rsidRPr="00083B9B">
              <w:rPr>
                <w:rFonts w:ascii="Times New Roman" w:eastAsia="Arial" w:hAnsi="Times New Roman" w:cs="Times New Roman"/>
                <w:color w:val="000000"/>
                <w:sz w:val="14"/>
                <w:szCs w:val="14"/>
              </w:rPr>
              <w:br/>
              <w:t>[13%, 15%]</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86D68A3"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72809B30" w14:textId="77777777" w:rsidTr="0018419C">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4DA858A6"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sidRPr="00083B9B">
              <w:rPr>
                <w:rFonts w:ascii="Times New Roman" w:eastAsia="Arial" w:hAnsi="Times New Roman" w:cs="Times New Roman"/>
                <w:bCs/>
                <w:i/>
                <w:iCs/>
                <w:color w:val="000000"/>
                <w:sz w:val="14"/>
                <w:szCs w:val="14"/>
              </w:rPr>
              <w:t xml:space="preserve">Patrimoine comparé </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4E5DC5E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7E7EE4F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6522F00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086053EF"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0.013</w:t>
            </w:r>
          </w:p>
        </w:tc>
      </w:tr>
      <w:tr w:rsidR="00E2476B" w14:paraId="45539CB5"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4ACE7673"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Ni l'un ni l'autre n'a de patrimoine</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DA2F6E9"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23.1% (7)</w:t>
            </w:r>
            <w:r w:rsidRPr="00083B9B">
              <w:rPr>
                <w:rFonts w:ascii="Times New Roman" w:eastAsia="Arial" w:hAnsi="Times New Roman" w:cs="Times New Roman"/>
                <w:color w:val="000000"/>
                <w:sz w:val="14"/>
                <w:szCs w:val="14"/>
              </w:rPr>
              <w:br/>
              <w:t>[11%, 42%]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FE74062"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25.3% (15)</w:t>
            </w:r>
            <w:r w:rsidRPr="00083B9B">
              <w:rPr>
                <w:rFonts w:ascii="Times New Roman" w:eastAsia="Arial" w:hAnsi="Times New Roman" w:cs="Times New Roman"/>
                <w:color w:val="000000"/>
                <w:sz w:val="14"/>
                <w:szCs w:val="14"/>
              </w:rPr>
              <w:br/>
              <w:t>[14%, 41%]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59DAD4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19.2% (1,278)</w:t>
            </w:r>
            <w:r w:rsidRPr="00083B9B">
              <w:rPr>
                <w:rFonts w:ascii="Times New Roman" w:eastAsia="Arial" w:hAnsi="Times New Roman" w:cs="Times New Roman"/>
                <w:color w:val="000000"/>
                <w:sz w:val="14"/>
                <w:szCs w:val="14"/>
              </w:rPr>
              <w:br/>
              <w:t>[18%, 20%]</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D0CF65A"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63A21C49"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33AFA691"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Patrimoine commun</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495E83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35.5% (16)</w:t>
            </w:r>
            <w:r w:rsidRPr="00083B9B">
              <w:rPr>
                <w:rFonts w:ascii="Times New Roman" w:eastAsia="Arial" w:hAnsi="Times New Roman" w:cs="Times New Roman"/>
                <w:color w:val="000000"/>
                <w:sz w:val="14"/>
                <w:szCs w:val="14"/>
              </w:rPr>
              <w:br/>
              <w:t>[21%, 53%]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5FA29CC"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37.5% (17)</w:t>
            </w:r>
            <w:r w:rsidRPr="00083B9B">
              <w:rPr>
                <w:rFonts w:ascii="Times New Roman" w:eastAsia="Arial" w:hAnsi="Times New Roman" w:cs="Times New Roman"/>
                <w:color w:val="000000"/>
                <w:sz w:val="14"/>
                <w:szCs w:val="14"/>
              </w:rPr>
              <w:br/>
              <w:t>[22%, 56%]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9224A5A"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54.0% (5,126)</w:t>
            </w:r>
            <w:r w:rsidRPr="00083B9B">
              <w:rPr>
                <w:rFonts w:ascii="Times New Roman" w:eastAsia="Arial" w:hAnsi="Times New Roman" w:cs="Times New Roman"/>
                <w:color w:val="000000"/>
                <w:sz w:val="14"/>
                <w:szCs w:val="14"/>
              </w:rPr>
              <w:br/>
              <w:t>[53%, 55%]</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38B5755"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2278B70B"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5D24168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 xml:space="preserve">Patrimoine </w:t>
            </w:r>
            <w:r>
              <w:rPr>
                <w:rFonts w:ascii="Times New Roman" w:eastAsia="Arial" w:hAnsi="Times New Roman" w:cs="Times New Roman"/>
                <w:color w:val="000000"/>
                <w:sz w:val="14"/>
                <w:szCs w:val="14"/>
              </w:rPr>
              <w:t xml:space="preserve">ego </w:t>
            </w:r>
            <w:r w:rsidRPr="00083B9B">
              <w:rPr>
                <w:rFonts w:ascii="Times New Roman" w:eastAsia="Arial" w:hAnsi="Times New Roman" w:cs="Times New Roman"/>
                <w:color w:val="000000"/>
                <w:sz w:val="14"/>
                <w:szCs w:val="14"/>
              </w:rPr>
              <w:t xml:space="preserve">plus important </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C80219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15.7% (10)</w:t>
            </w:r>
            <w:r w:rsidRPr="00083B9B">
              <w:rPr>
                <w:rFonts w:ascii="Times New Roman" w:eastAsia="Arial" w:hAnsi="Times New Roman" w:cs="Times New Roman"/>
                <w:color w:val="000000"/>
                <w:sz w:val="14"/>
                <w:szCs w:val="14"/>
              </w:rPr>
              <w:br/>
              <w:t>[7.3%, 30%]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A965A33"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9.6% (8)</w:t>
            </w:r>
            <w:r w:rsidRPr="00083B9B">
              <w:rPr>
                <w:rFonts w:ascii="Times New Roman" w:eastAsia="Arial" w:hAnsi="Times New Roman" w:cs="Times New Roman"/>
                <w:color w:val="000000"/>
                <w:sz w:val="14"/>
                <w:szCs w:val="14"/>
              </w:rPr>
              <w:br/>
              <w:t>[4.2%, 21%]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50F5263"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5.6% (644)</w:t>
            </w:r>
            <w:r w:rsidRPr="00083B9B">
              <w:rPr>
                <w:rFonts w:ascii="Times New Roman" w:eastAsia="Arial" w:hAnsi="Times New Roman" w:cs="Times New Roman"/>
                <w:color w:val="000000"/>
                <w:sz w:val="14"/>
                <w:szCs w:val="14"/>
              </w:rPr>
              <w:br/>
              <w:t>[5.1%, 6.2%]</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7D85D1B"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74D7E7B3"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0C12D97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Patrimoine équivalent</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A2E8EF7"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9.9% (5)</w:t>
            </w:r>
            <w:r w:rsidRPr="00083B9B">
              <w:rPr>
                <w:rFonts w:ascii="Times New Roman" w:eastAsia="Arial" w:hAnsi="Times New Roman" w:cs="Times New Roman"/>
                <w:color w:val="000000"/>
                <w:sz w:val="14"/>
                <w:szCs w:val="14"/>
              </w:rPr>
              <w:br/>
              <w:t>[3.6%, 24%]</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72F6B8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4.4% (2)</w:t>
            </w:r>
            <w:r w:rsidRPr="00083B9B">
              <w:rPr>
                <w:rFonts w:ascii="Times New Roman" w:eastAsia="Arial" w:hAnsi="Times New Roman" w:cs="Times New Roman"/>
                <w:color w:val="000000"/>
                <w:sz w:val="14"/>
                <w:szCs w:val="14"/>
              </w:rPr>
              <w:br/>
              <w:t>[1.1%, 16%]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13DE78C"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10.7% (1,034)</w:t>
            </w:r>
            <w:r w:rsidRPr="00083B9B">
              <w:rPr>
                <w:rFonts w:ascii="Times New Roman" w:eastAsia="Arial" w:hAnsi="Times New Roman" w:cs="Times New Roman"/>
                <w:color w:val="000000"/>
                <w:sz w:val="14"/>
                <w:szCs w:val="14"/>
              </w:rPr>
              <w:br/>
              <w:t>[9.9%, 11%]</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EE8D247"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4BFB8373"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9E0AC4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Patrimoine</w:t>
            </w:r>
            <w:r>
              <w:rPr>
                <w:rFonts w:ascii="Times New Roman" w:eastAsia="Arial" w:hAnsi="Times New Roman" w:cs="Times New Roman"/>
                <w:color w:val="000000"/>
                <w:sz w:val="14"/>
                <w:szCs w:val="14"/>
              </w:rPr>
              <w:t xml:space="preserve"> ego</w:t>
            </w:r>
            <w:r w:rsidRPr="00083B9B">
              <w:rPr>
                <w:rFonts w:ascii="Times New Roman" w:eastAsia="Arial" w:hAnsi="Times New Roman" w:cs="Times New Roman"/>
                <w:color w:val="000000"/>
                <w:sz w:val="14"/>
                <w:szCs w:val="14"/>
              </w:rPr>
              <w:t xml:space="preserve"> moins important</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B3CCE3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12.1% (5)</w:t>
            </w:r>
            <w:r w:rsidRPr="00083B9B">
              <w:rPr>
                <w:rFonts w:ascii="Times New Roman" w:eastAsia="Arial" w:hAnsi="Times New Roman" w:cs="Times New Roman"/>
                <w:color w:val="000000"/>
                <w:sz w:val="14"/>
                <w:szCs w:val="14"/>
              </w:rPr>
              <w:br/>
              <w:t>[4.4%, 29%]</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6C0124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23.2% (7)</w:t>
            </w:r>
            <w:r w:rsidRPr="00083B9B">
              <w:rPr>
                <w:rFonts w:ascii="Times New Roman" w:eastAsia="Arial" w:hAnsi="Times New Roman" w:cs="Times New Roman"/>
                <w:color w:val="000000"/>
                <w:sz w:val="14"/>
                <w:szCs w:val="14"/>
              </w:rPr>
              <w:br/>
              <w:t>[10%, 44%]</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518B43FA"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9.4% (866)</w:t>
            </w:r>
            <w:r w:rsidRPr="00083B9B">
              <w:rPr>
                <w:rFonts w:ascii="Times New Roman" w:eastAsia="Arial" w:hAnsi="Times New Roman" w:cs="Times New Roman"/>
                <w:color w:val="000000"/>
                <w:sz w:val="14"/>
                <w:szCs w:val="14"/>
              </w:rPr>
              <w:br/>
              <w:t>[8.7%, 10%]</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6BBC182"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3F6B5BDA"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0AEEA9D9"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NVPD/NSP</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00F69FDC"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3.7% (1)</w:t>
            </w:r>
            <w:r w:rsidRPr="00083B9B">
              <w:rPr>
                <w:rFonts w:ascii="Times New Roman" w:eastAsia="Arial" w:hAnsi="Times New Roman" w:cs="Times New Roman"/>
                <w:color w:val="000000"/>
                <w:sz w:val="14"/>
                <w:szCs w:val="14"/>
              </w:rPr>
              <w:br/>
              <w:t>[0.52%, 22%]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05F6CFA"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0.0% (0)</w:t>
            </w:r>
            <w:r w:rsidRPr="00083B9B">
              <w:rPr>
                <w:rFonts w:ascii="Times New Roman" w:eastAsia="Arial" w:hAnsi="Times New Roman" w:cs="Times New Roman"/>
                <w:color w:val="000000"/>
                <w:sz w:val="14"/>
                <w:szCs w:val="14"/>
              </w:rPr>
              <w:br/>
              <w:t>[0.00%, 0.00%]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7E4733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1.1% (98)</w:t>
            </w:r>
            <w:r w:rsidRPr="00083B9B">
              <w:rPr>
                <w:rFonts w:ascii="Times New Roman" w:eastAsia="Arial" w:hAnsi="Times New Roman" w:cs="Times New Roman"/>
                <w:color w:val="000000"/>
                <w:sz w:val="14"/>
                <w:szCs w:val="14"/>
              </w:rPr>
              <w:br/>
              <w:t>[0.87%, 1.4%]</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223B88A"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72316F11" w14:textId="77777777" w:rsidTr="0018419C">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14AF8C3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Pr>
                <w:rFonts w:ascii="Times New Roman" w:eastAsia="Arial" w:hAnsi="Times New Roman" w:cs="Times New Roman"/>
                <w:bCs/>
                <w:i/>
                <w:iCs/>
                <w:color w:val="000000"/>
                <w:sz w:val="14"/>
                <w:szCs w:val="14"/>
              </w:rPr>
              <w:t>PCS comparée</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2DA3FC6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07166851"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01AC92B1"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54844AAB"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0.018</w:t>
            </w:r>
          </w:p>
        </w:tc>
      </w:tr>
      <w:tr w:rsidR="00E2476B" w14:paraId="2BCA96E1"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D7ED41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Même PCS</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59A517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32.3% (19)</w:t>
            </w:r>
            <w:r w:rsidRPr="00083B9B">
              <w:rPr>
                <w:rFonts w:ascii="Times New Roman" w:eastAsia="Arial" w:hAnsi="Times New Roman" w:cs="Times New Roman"/>
                <w:color w:val="000000"/>
                <w:sz w:val="14"/>
                <w:szCs w:val="14"/>
              </w:rPr>
              <w:br/>
              <w:t>[20%, 47%]</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7C33179E"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29.4% (19)</w:t>
            </w:r>
            <w:r w:rsidRPr="00083B9B">
              <w:rPr>
                <w:rFonts w:ascii="Times New Roman" w:eastAsia="Arial" w:hAnsi="Times New Roman" w:cs="Times New Roman"/>
                <w:color w:val="000000"/>
                <w:sz w:val="14"/>
                <w:szCs w:val="14"/>
              </w:rPr>
              <w:br/>
              <w:t>[18%, 43%]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4F1DF1BF"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19.1% (1,921)</w:t>
            </w:r>
            <w:r w:rsidRPr="00083B9B">
              <w:rPr>
                <w:rFonts w:ascii="Times New Roman" w:eastAsia="Arial" w:hAnsi="Times New Roman" w:cs="Times New Roman"/>
                <w:color w:val="000000"/>
                <w:sz w:val="14"/>
                <w:szCs w:val="14"/>
              </w:rPr>
              <w:br/>
              <w:t>[18%, 20%]</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4AD01536"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3A2BAEC9"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160AFC8C" w14:textId="77777777" w:rsidR="00E2476B" w:rsidRPr="00340BB7"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PCS différente</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3E875349" w14:textId="77777777" w:rsidR="00E2476B" w:rsidRPr="00340BB7"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67.7% (46)</w:t>
            </w:r>
            <w:r w:rsidRPr="00340BB7">
              <w:rPr>
                <w:rFonts w:ascii="Times New Roman" w:eastAsia="Arial" w:hAnsi="Times New Roman" w:cs="Times New Roman"/>
                <w:color w:val="000000"/>
                <w:sz w:val="14"/>
                <w:szCs w:val="14"/>
              </w:rPr>
              <w:br/>
              <w:t>[53%, 80%]</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892FBD9" w14:textId="77777777" w:rsidR="00E2476B" w:rsidRPr="00340BB7"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70.6% (58)</w:t>
            </w:r>
            <w:r w:rsidRPr="00340BB7">
              <w:rPr>
                <w:rFonts w:ascii="Times New Roman" w:eastAsia="Arial" w:hAnsi="Times New Roman" w:cs="Times New Roman"/>
                <w:color w:val="000000"/>
                <w:sz w:val="14"/>
                <w:szCs w:val="14"/>
              </w:rPr>
              <w:br/>
              <w:t>[57%, 82%]</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69D495FC" w14:textId="77777777" w:rsidR="00E2476B" w:rsidRPr="00340BB7"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80.9% (8,275)</w:t>
            </w:r>
            <w:r w:rsidRPr="00340BB7">
              <w:rPr>
                <w:rFonts w:ascii="Times New Roman" w:eastAsia="Arial" w:hAnsi="Times New Roman" w:cs="Times New Roman"/>
                <w:color w:val="000000"/>
                <w:sz w:val="14"/>
                <w:szCs w:val="14"/>
              </w:rPr>
              <w:br/>
              <w:t>[80%, 82%]</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B8AE2CE"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7954A127" w14:textId="77777777" w:rsidTr="0018419C">
        <w:trPr>
          <w:trHeight w:val="227"/>
          <w:jc w:val="center"/>
        </w:trPr>
        <w:tc>
          <w:tcPr>
            <w:tcW w:w="1431" w:type="pct"/>
            <w:tcBorders>
              <w:left w:val="single" w:sz="4" w:space="0" w:color="auto"/>
              <w:right w:val="none" w:sz="0" w:space="0" w:color="000000"/>
            </w:tcBorders>
            <w:shd w:val="clear" w:color="auto" w:fill="FFFFFF"/>
            <w:tcMar>
              <w:top w:w="0" w:type="dxa"/>
              <w:left w:w="0" w:type="dxa"/>
              <w:bottom w:w="0" w:type="dxa"/>
              <w:right w:w="0" w:type="dxa"/>
            </w:tcMar>
          </w:tcPr>
          <w:p w14:paraId="38DD2678"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
                <w:color w:val="000000"/>
                <w:sz w:val="14"/>
                <w:szCs w:val="14"/>
              </w:rPr>
            </w:pPr>
            <w:r>
              <w:rPr>
                <w:rFonts w:ascii="Times New Roman" w:eastAsia="Arial" w:hAnsi="Times New Roman" w:cs="Times New Roman"/>
                <w:bCs/>
                <w:i/>
                <w:iCs/>
                <w:color w:val="000000"/>
                <w:sz w:val="14"/>
                <w:szCs w:val="14"/>
              </w:rPr>
              <w:t>Diplôme comparé</w:t>
            </w: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17198E1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4A6C6FDB"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16" w:type="pct"/>
            <w:tcBorders>
              <w:left w:val="none" w:sz="0" w:space="0" w:color="000000"/>
              <w:right w:val="none" w:sz="0" w:space="0" w:color="000000"/>
            </w:tcBorders>
            <w:shd w:val="clear" w:color="auto" w:fill="FFFFFF"/>
            <w:tcMar>
              <w:top w:w="0" w:type="dxa"/>
              <w:left w:w="0" w:type="dxa"/>
              <w:bottom w:w="0" w:type="dxa"/>
              <w:right w:w="0" w:type="dxa"/>
            </w:tcMar>
          </w:tcPr>
          <w:p w14:paraId="3D0BEF3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21" w:type="pct"/>
            <w:tcBorders>
              <w:top w:val="none" w:sz="0" w:space="0" w:color="000000"/>
              <w:left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0DE3DAFC"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330B9">
              <w:rPr>
                <w:rFonts w:ascii="Times New Roman" w:eastAsia="Arial" w:hAnsi="Times New Roman" w:cs="Times New Roman"/>
                <w:i/>
                <w:iCs/>
                <w:color w:val="000000"/>
                <w:sz w:val="14"/>
                <w:szCs w:val="14"/>
              </w:rPr>
              <w:t>0.5</w:t>
            </w:r>
          </w:p>
        </w:tc>
      </w:tr>
      <w:tr w:rsidR="00E2476B" w14:paraId="71A870FB"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3EB74A6E"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Même niveau de diplôme</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8AF4225"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48.2% (39)</w:t>
            </w:r>
            <w:r w:rsidRPr="00083B9B">
              <w:rPr>
                <w:rFonts w:ascii="Times New Roman" w:eastAsia="Arial" w:hAnsi="Times New Roman" w:cs="Times New Roman"/>
                <w:color w:val="000000"/>
                <w:sz w:val="14"/>
                <w:szCs w:val="14"/>
              </w:rPr>
              <w:br/>
              <w:t>[34%, 63%]</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1689334D"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58.7% (40)</w:t>
            </w:r>
            <w:r w:rsidRPr="00083B9B">
              <w:rPr>
                <w:rFonts w:ascii="Times New Roman" w:eastAsia="Arial" w:hAnsi="Times New Roman" w:cs="Times New Roman"/>
                <w:color w:val="000000"/>
                <w:sz w:val="14"/>
                <w:szCs w:val="14"/>
              </w:rPr>
              <w:br/>
              <w:t>[45%, 71%]</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881CABE"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rPr>
              <w:t>57.5% (5,568)</w:t>
            </w:r>
            <w:r w:rsidRPr="00083B9B">
              <w:rPr>
                <w:rFonts w:ascii="Times New Roman" w:eastAsia="Arial" w:hAnsi="Times New Roman" w:cs="Times New Roman"/>
                <w:color w:val="000000"/>
                <w:sz w:val="14"/>
                <w:szCs w:val="14"/>
              </w:rPr>
              <w:br/>
              <w:t>[56%, 59%]</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64BB697" w14:textId="77777777" w:rsidR="00E2476B" w:rsidRPr="00D330B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1CDEBFC5" w14:textId="77777777" w:rsidTr="0018419C">
        <w:trPr>
          <w:trHeight w:val="227"/>
          <w:jc w:val="center"/>
        </w:trPr>
        <w:tc>
          <w:tcPr>
            <w:tcW w:w="1431" w:type="pct"/>
            <w:tcBorders>
              <w:left w:val="single" w:sz="4" w:space="0" w:color="auto"/>
              <w:right w:val="single" w:sz="4" w:space="0" w:color="auto"/>
            </w:tcBorders>
            <w:shd w:val="clear" w:color="auto" w:fill="FFFFFF"/>
            <w:tcMar>
              <w:top w:w="0" w:type="dxa"/>
              <w:left w:w="0" w:type="dxa"/>
              <w:bottom w:w="0" w:type="dxa"/>
              <w:right w:w="0" w:type="dxa"/>
            </w:tcMar>
          </w:tcPr>
          <w:p w14:paraId="66033AE0" w14:textId="77777777" w:rsidR="00E2476B" w:rsidRPr="00340BB7"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Niveau de diplôme différent</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4F6A095" w14:textId="77777777" w:rsidR="00E2476B" w:rsidRPr="00340BB7"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51.8% (26)</w:t>
            </w:r>
            <w:r w:rsidRPr="00340BB7">
              <w:rPr>
                <w:rFonts w:ascii="Times New Roman" w:eastAsia="Arial" w:hAnsi="Times New Roman" w:cs="Times New Roman"/>
                <w:color w:val="000000"/>
                <w:sz w:val="14"/>
                <w:szCs w:val="14"/>
              </w:rPr>
              <w:br/>
              <w:t>[37%, 66%]</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47B3B9D" w14:textId="77777777" w:rsidR="00E2476B" w:rsidRPr="00340BB7"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41.3% (37)</w:t>
            </w:r>
            <w:r w:rsidRPr="00340BB7">
              <w:rPr>
                <w:rFonts w:ascii="Times New Roman" w:eastAsia="Arial" w:hAnsi="Times New Roman" w:cs="Times New Roman"/>
                <w:color w:val="000000"/>
                <w:sz w:val="14"/>
                <w:szCs w:val="14"/>
              </w:rPr>
              <w:br/>
              <w:t>[29%, 55%]</w:t>
            </w:r>
          </w:p>
        </w:tc>
        <w:tc>
          <w:tcPr>
            <w:tcW w:w="1016" w:type="pct"/>
            <w:tcBorders>
              <w:left w:val="single" w:sz="4" w:space="0" w:color="auto"/>
              <w:right w:val="single" w:sz="4" w:space="0" w:color="auto"/>
            </w:tcBorders>
            <w:shd w:val="clear" w:color="auto" w:fill="FFFFFF"/>
            <w:tcMar>
              <w:top w:w="0" w:type="dxa"/>
              <w:left w:w="0" w:type="dxa"/>
              <w:bottom w:w="0" w:type="dxa"/>
              <w:right w:w="0" w:type="dxa"/>
            </w:tcMar>
          </w:tcPr>
          <w:p w14:paraId="26AAB474" w14:textId="77777777" w:rsidR="00E2476B" w:rsidRPr="00340BB7"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340BB7">
              <w:rPr>
                <w:rFonts w:ascii="Times New Roman" w:eastAsia="Arial" w:hAnsi="Times New Roman" w:cs="Times New Roman"/>
                <w:color w:val="000000"/>
                <w:sz w:val="14"/>
                <w:szCs w:val="14"/>
              </w:rPr>
              <w:t>42.5% (4,628)</w:t>
            </w:r>
            <w:r w:rsidRPr="00340BB7">
              <w:rPr>
                <w:rFonts w:ascii="Times New Roman" w:eastAsia="Arial" w:hAnsi="Times New Roman" w:cs="Times New Roman"/>
                <w:color w:val="000000"/>
                <w:sz w:val="14"/>
                <w:szCs w:val="14"/>
              </w:rPr>
              <w:br/>
              <w:t>[41%, 44%]</w:t>
            </w:r>
          </w:p>
        </w:tc>
        <w:tc>
          <w:tcPr>
            <w:tcW w:w="521"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DD98560"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4250F84B" w14:textId="77777777" w:rsidTr="0018419C">
        <w:trPr>
          <w:trHeight w:val="1247"/>
          <w:jc w:val="center"/>
        </w:trPr>
        <w:tc>
          <w:tcPr>
            <w:tcW w:w="5000" w:type="pct"/>
            <w:gridSpan w:val="5"/>
            <w:tcBorders>
              <w:top w:val="single" w:sz="8" w:space="0" w:color="000000"/>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286FA0D7"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vertAlign w:val="superscript"/>
              </w:rPr>
              <w:lastRenderedPageBreak/>
              <w:t>1</w:t>
            </w:r>
            <w:r w:rsidRPr="00083B9B">
              <w:rPr>
                <w:rFonts w:ascii="Times New Roman" w:eastAsia="Arial" w:hAnsi="Times New Roman" w:cs="Times New Roman"/>
                <w:color w:val="000000"/>
                <w:sz w:val="14"/>
                <w:szCs w:val="14"/>
              </w:rPr>
              <w:t>Effectifs non-pondérés entre parenthèses.</w:t>
            </w:r>
          </w:p>
          <w:p w14:paraId="5D7A1B6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vertAlign w:val="superscript"/>
              </w:rPr>
              <w:t>2</w:t>
            </w:r>
            <w:r w:rsidRPr="00083B9B">
              <w:rPr>
                <w:rFonts w:ascii="Times New Roman" w:eastAsia="Arial" w:hAnsi="Times New Roman" w:cs="Times New Roman"/>
                <w:color w:val="000000"/>
                <w:sz w:val="14"/>
                <w:szCs w:val="14"/>
              </w:rPr>
              <w:t>Test du Chi-deux ajusté de Rao &amp; Scott pour données pondérées.</w:t>
            </w:r>
          </w:p>
          <w:p w14:paraId="3079A98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vertAlign w:val="superscript"/>
              </w:rPr>
              <w:t>3</w:t>
            </w:r>
            <w:r w:rsidRPr="00083B9B">
              <w:rPr>
                <w:rFonts w:ascii="Times New Roman" w:eastAsia="Arial" w:hAnsi="Times New Roman" w:cs="Times New Roman"/>
                <w:color w:val="000000"/>
                <w:sz w:val="14"/>
                <w:szCs w:val="14"/>
              </w:rPr>
              <w:t>Pourcentages pondérés (Effectifs non pondérés) [Intervalle de confiance à 95%].</w:t>
            </w:r>
          </w:p>
          <w:p w14:paraId="4668ECCB"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144FD7">
              <w:rPr>
                <w:rFonts w:ascii="Times New Roman" w:eastAsia="Arial" w:hAnsi="Times New Roman" w:cs="Times New Roman"/>
                <w:b/>
                <w:bCs/>
                <w:color w:val="000000"/>
                <w:sz w:val="14"/>
                <w:szCs w:val="14"/>
              </w:rPr>
              <w:t>Champ</w:t>
            </w:r>
            <w:r w:rsidRPr="00083B9B">
              <w:rPr>
                <w:rFonts w:ascii="Times New Roman" w:eastAsia="Arial" w:hAnsi="Times New Roman" w:cs="Times New Roman"/>
                <w:color w:val="000000"/>
                <w:sz w:val="14"/>
                <w:szCs w:val="14"/>
              </w:rPr>
              <w:t xml:space="preserve"> : Répondantes en couple, au moins 4 mois, au cours des 12 derniers mois de l'enquête Virage.</w:t>
            </w:r>
            <w:r>
              <w:rPr>
                <w:rFonts w:ascii="Times New Roman" w:eastAsia="Arial" w:hAnsi="Times New Roman" w:cs="Times New Roman"/>
                <w:color w:val="000000"/>
                <w:sz w:val="14"/>
                <w:szCs w:val="14"/>
              </w:rPr>
              <w:t xml:space="preserve"> Le revenu du ménage ne s’applique qu’aux femmes en couple cohabitant ou vivant avec une autre personne. Le patrimoine comparé ne s’applique qu’aux femmes en couple cohabitant. </w:t>
            </w:r>
            <w:r w:rsidRPr="00083B9B">
              <w:rPr>
                <w:rFonts w:ascii="Times New Roman" w:eastAsia="Arial" w:hAnsi="Times New Roman" w:cs="Times New Roman"/>
                <w:color w:val="000000"/>
                <w:sz w:val="14"/>
                <w:szCs w:val="14"/>
              </w:rPr>
              <w:br/>
            </w:r>
            <w:r w:rsidRPr="00144FD7">
              <w:rPr>
                <w:rFonts w:ascii="Times New Roman" w:eastAsia="Arial" w:hAnsi="Times New Roman" w:cs="Times New Roman"/>
                <w:b/>
                <w:bCs/>
                <w:color w:val="000000"/>
                <w:sz w:val="14"/>
                <w:szCs w:val="14"/>
              </w:rPr>
              <w:t>Lecture</w:t>
            </w:r>
            <w:r w:rsidRPr="00083B9B">
              <w:rPr>
                <w:rFonts w:ascii="Times New Roman" w:eastAsia="Arial" w:hAnsi="Times New Roman" w:cs="Times New Roman"/>
                <w:color w:val="000000"/>
                <w:sz w:val="14"/>
                <w:szCs w:val="14"/>
              </w:rPr>
              <w:t xml:space="preserve"> : Parmi les femmes bisexuelles en couple dans l'enquête Virage en population générale, 8,9% sont en couple de même sexe, avec un intervalle de confiance à 95% de [4,6% - 17%].</w:t>
            </w:r>
            <w:r w:rsidRPr="00083B9B">
              <w:rPr>
                <w:rFonts w:ascii="Times New Roman" w:eastAsia="Arial" w:hAnsi="Times New Roman" w:cs="Times New Roman"/>
                <w:color w:val="000000"/>
                <w:sz w:val="14"/>
                <w:szCs w:val="14"/>
              </w:rPr>
              <w:br/>
            </w:r>
            <w:r w:rsidRPr="00144FD7">
              <w:rPr>
                <w:rFonts w:ascii="Times New Roman" w:eastAsia="Arial" w:hAnsi="Times New Roman" w:cs="Times New Roman"/>
                <w:b/>
                <w:bCs/>
                <w:color w:val="000000"/>
                <w:sz w:val="14"/>
                <w:szCs w:val="14"/>
              </w:rPr>
              <w:t>Source</w:t>
            </w:r>
            <w:r w:rsidRPr="00083B9B">
              <w:rPr>
                <w:rFonts w:ascii="Times New Roman" w:eastAsia="Arial" w:hAnsi="Times New Roman" w:cs="Times New Roman"/>
                <w:color w:val="000000"/>
                <w:sz w:val="14"/>
                <w:szCs w:val="14"/>
              </w:rPr>
              <w:t xml:space="preserve"> : Enquête Virage PG, Ined, 2015.</w:t>
            </w:r>
          </w:p>
        </w:tc>
      </w:tr>
    </w:tbl>
    <w:p w14:paraId="37523934" w14:textId="77777777" w:rsidR="00E2476B" w:rsidRDefault="00E2476B" w:rsidP="00E2476B">
      <w:pPr>
        <w:pStyle w:val="Titre4"/>
        <w:spacing w:before="240"/>
      </w:pPr>
      <w:r>
        <w:t xml:space="preserve">L’alignement économique sur le modèle hétérosexuel </w:t>
      </w:r>
    </w:p>
    <w:p w14:paraId="68693F34" w14:textId="77777777" w:rsidR="00E2476B" w:rsidRDefault="00E2476B" w:rsidP="00E2476B">
      <w:pPr>
        <w:pStyle w:val="Corpsdetexte"/>
      </w:pPr>
      <w:r>
        <w:t xml:space="preserve">En matière de répartition des ressources économiques interne au couple, les femmes bisexuelles présentent un profil proche de celui des hétérosexuelles : 58,1 % d'entre elles déclarent un revenu inférieur à celui de leur conjoint, et seulement 15,5 % un revenu supérieur. Les femmes homosexuelles, quant à elles, se distinguent des hétérosexuelles : seules 33,2 % perçoivent un revenu inférieur à leur partenaire, et près d'un tiers (32,8 %) affichent un revenu supérieur. Ce résultat semble cohérent avec le fait que 9 </w:t>
      </w:r>
      <w:proofErr w:type="spellStart"/>
      <w:r>
        <w:t>bies</w:t>
      </w:r>
      <w:proofErr w:type="spellEnd"/>
      <w:r>
        <w:t xml:space="preserve"> en couple sur 10 le sont avec un homme : du point de vue économique, les couples des femmes bisexuelles semblent structurés par les mêmes rapports de genre que la conjugalité hétérosexuelle. En ce qui concerne le patrimoine, les femmes bisexuelles déclarent plus souvent des patrimoines inférieurs à leur partenaire que les hétérosexuelles (23,2% contre 9,4%). Elles sont plus souvent inactives alors que leur partenaire est actif (26,1%) que les hétérosexuelles (13,7%) et les lesbiennes (2,8%). La PCS comparée et le diplôme comparé ne sont pas significatifs. Nous abandonnons l’idée d’analyser l’homogamie de diplôme, de classe sociale et d’origine sociale des couples. Appréhender l’homogamie de PCS ou de diplôme en ne retenant que le niveau 1 des PCS en six catégories et le diplôme en trois catégories produit une classification extrêmement simplifiée (Bouchet-Valat, 2014) et ne saurait proposer des résultats fiables sur nos échantillons.  </w:t>
      </w:r>
    </w:p>
    <w:p w14:paraId="28AA9A63" w14:textId="77777777" w:rsidR="00E2476B" w:rsidRDefault="00E2476B" w:rsidP="00E2476B">
      <w:pPr>
        <w:pStyle w:val="Corpsdetexte"/>
      </w:pPr>
      <w:r>
        <w:t xml:space="preserve">La similitude des structures économiques des couples des femmes bisexuelles et hétérosexuelles semble montrer que la conjugalité des femmes </w:t>
      </w:r>
      <w:proofErr w:type="spellStart"/>
      <w:r>
        <w:t>bies</w:t>
      </w:r>
      <w:proofErr w:type="spellEnd"/>
      <w:r>
        <w:t xml:space="preserve"> en population générale est encadrée par des rapports de genre similaires. Étant à plus de 90 % en couple avec des hommes, elles subissent les effets des inégalités salariales et patrimoniales internes au couple (</w:t>
      </w:r>
      <w:proofErr w:type="spellStart"/>
      <w:r>
        <w:t>Bessière</w:t>
      </w:r>
      <w:proofErr w:type="spellEnd"/>
      <w:r>
        <w:t xml:space="preserve"> et Gollac 2020). L’observation du patrimoine et du statut d’activité semble indiquer une vulnérabilité économique spécifique des bisexuelles par rapport aux hétérosexuelles.  </w:t>
      </w:r>
    </w:p>
    <w:p w14:paraId="33F1A268" w14:textId="77777777" w:rsidR="00E2476B" w:rsidRPr="00F54FAA" w:rsidRDefault="00E2476B" w:rsidP="00E2476B">
      <w:pPr>
        <w:pStyle w:val="Tableauuser"/>
        <w:spacing w:before="0"/>
        <w:rPr>
          <w:rFonts w:eastAsia="Aptos"/>
        </w:rPr>
      </w:pPr>
      <w:r>
        <w:rPr>
          <w:rFonts w:ascii="Aptos" w:eastAsia="Aptos" w:hAnsi="Aptos"/>
        </w:rPr>
        <w:t xml:space="preserve">Table 2b : Les configurations conjugales des femmes en couple.  </w:t>
      </w:r>
    </w:p>
    <w:tbl>
      <w:tblPr>
        <w:tblW w:w="5053" w:type="pct"/>
        <w:jc w:val="center"/>
        <w:tblLook w:val="0420" w:firstRow="1" w:lastRow="0" w:firstColumn="0" w:lastColumn="0" w:noHBand="0" w:noVBand="1"/>
      </w:tblPr>
      <w:tblGrid>
        <w:gridCol w:w="2663"/>
        <w:gridCol w:w="799"/>
        <w:gridCol w:w="1109"/>
        <w:gridCol w:w="1908"/>
        <w:gridCol w:w="1561"/>
        <w:gridCol w:w="347"/>
        <w:gridCol w:w="1107"/>
      </w:tblGrid>
      <w:tr w:rsidR="00E2476B" w14:paraId="667A04D4" w14:textId="77777777" w:rsidTr="0018419C">
        <w:trPr>
          <w:tblHeader/>
          <w:jc w:val="center"/>
        </w:trPr>
        <w:tc>
          <w:tcPr>
            <w:tcW w:w="1823" w:type="pct"/>
            <w:gridSpan w:val="2"/>
            <w:tcBorders>
              <w:top w:val="single" w:sz="4" w:space="0" w:color="auto"/>
              <w:left w:val="single" w:sz="4" w:space="0" w:color="auto"/>
              <w:bottom w:val="single" w:sz="8" w:space="0" w:color="000000"/>
            </w:tcBorders>
            <w:shd w:val="clear" w:color="auto" w:fill="FFFFFF"/>
            <w:tcMar>
              <w:top w:w="0" w:type="dxa"/>
              <w:left w:w="0" w:type="dxa"/>
              <w:bottom w:w="0" w:type="dxa"/>
              <w:right w:w="0" w:type="dxa"/>
            </w:tcMar>
            <w:vAlign w:val="center"/>
          </w:tcPr>
          <w:p w14:paraId="57F02C7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6"/>
                <w:szCs w:val="16"/>
              </w:rPr>
            </w:pPr>
          </w:p>
        </w:tc>
        <w:tc>
          <w:tcPr>
            <w:tcW w:w="2411" w:type="pct"/>
            <w:gridSpan w:val="3"/>
            <w:tcBorders>
              <w:top w:val="single" w:sz="4" w:space="0" w:color="auto"/>
              <w:bottom w:val="single" w:sz="8" w:space="0" w:color="000000"/>
            </w:tcBorders>
            <w:shd w:val="clear" w:color="auto" w:fill="FFFFFF"/>
            <w:tcMar>
              <w:top w:w="0" w:type="dxa"/>
              <w:left w:w="0" w:type="dxa"/>
              <w:bottom w:w="0" w:type="dxa"/>
              <w:right w:w="0" w:type="dxa"/>
            </w:tcMar>
            <w:vAlign w:val="center"/>
          </w:tcPr>
          <w:p w14:paraId="33E6FCB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Virage PG — Femmes en couple</w:t>
            </w:r>
          </w:p>
        </w:tc>
        <w:tc>
          <w:tcPr>
            <w:tcW w:w="766" w:type="pct"/>
            <w:gridSpan w:val="2"/>
            <w:tcBorders>
              <w:top w:val="single" w:sz="4" w:space="0" w:color="auto"/>
              <w:bottom w:val="single" w:sz="8" w:space="0" w:color="000000"/>
              <w:right w:val="single" w:sz="4" w:space="0" w:color="auto"/>
            </w:tcBorders>
            <w:shd w:val="clear" w:color="auto" w:fill="FFFFFF"/>
            <w:tcMar>
              <w:top w:w="0" w:type="dxa"/>
              <w:left w:w="0" w:type="dxa"/>
              <w:bottom w:w="0" w:type="dxa"/>
              <w:right w:w="0" w:type="dxa"/>
            </w:tcMar>
            <w:vAlign w:val="center"/>
          </w:tcPr>
          <w:p w14:paraId="3F7AD63F"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color w:val="000000"/>
                <w:sz w:val="16"/>
                <w:szCs w:val="16"/>
              </w:rPr>
              <w:t xml:space="preserve"> </w:t>
            </w:r>
          </w:p>
        </w:tc>
      </w:tr>
      <w:tr w:rsidR="00E2476B" w14:paraId="188C4AA9" w14:textId="77777777" w:rsidTr="0018419C">
        <w:trPr>
          <w:tblHeader/>
          <w:jc w:val="center"/>
        </w:trPr>
        <w:tc>
          <w:tcPr>
            <w:tcW w:w="1402" w:type="pct"/>
            <w:tcBorders>
              <w:top w:val="single" w:sz="8" w:space="0" w:color="000000"/>
              <w:left w:val="single" w:sz="4" w:space="0" w:color="auto"/>
              <w:bottom w:val="single" w:sz="8" w:space="0" w:color="000000"/>
            </w:tcBorders>
            <w:shd w:val="clear" w:color="auto" w:fill="FFFFFF"/>
            <w:tcMar>
              <w:top w:w="0" w:type="dxa"/>
              <w:left w:w="0" w:type="dxa"/>
              <w:bottom w:w="0" w:type="dxa"/>
              <w:right w:w="0" w:type="dxa"/>
            </w:tcMar>
            <w:vAlign w:val="center"/>
          </w:tcPr>
          <w:p w14:paraId="72181FF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6"/>
                <w:szCs w:val="16"/>
              </w:rPr>
            </w:pPr>
          </w:p>
        </w:tc>
        <w:tc>
          <w:tcPr>
            <w:tcW w:w="1005" w:type="pct"/>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228F369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Homo</w:t>
            </w:r>
            <w:r w:rsidRPr="00F54FAA">
              <w:rPr>
                <w:rFonts w:ascii="Times New Roman" w:eastAsia="Arial" w:hAnsi="Times New Roman" w:cs="Times New Roman"/>
                <w:color w:val="000000"/>
                <w:sz w:val="16"/>
                <w:szCs w:val="16"/>
              </w:rPr>
              <w:br/>
              <w:t>(n = 65)</w:t>
            </w:r>
            <w:r w:rsidRPr="00F54FAA">
              <w:rPr>
                <w:rFonts w:ascii="Times New Roman" w:eastAsia="Arial" w:hAnsi="Times New Roman" w:cs="Times New Roman"/>
                <w:color w:val="000000"/>
                <w:sz w:val="16"/>
                <w:szCs w:val="16"/>
                <w:vertAlign w:val="superscript"/>
              </w:rPr>
              <w:t>1</w:t>
            </w:r>
          </w:p>
        </w:tc>
        <w:tc>
          <w:tcPr>
            <w:tcW w:w="1005" w:type="pct"/>
            <w:tcBorders>
              <w:top w:val="single" w:sz="8" w:space="0" w:color="000000"/>
              <w:bottom w:val="single" w:sz="8" w:space="0" w:color="000000"/>
            </w:tcBorders>
            <w:shd w:val="clear" w:color="auto" w:fill="FFFFFF"/>
            <w:tcMar>
              <w:top w:w="0" w:type="dxa"/>
              <w:left w:w="0" w:type="dxa"/>
              <w:bottom w:w="0" w:type="dxa"/>
              <w:right w:w="0" w:type="dxa"/>
            </w:tcMar>
            <w:vAlign w:val="center"/>
          </w:tcPr>
          <w:p w14:paraId="6B2E6CC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Bi</w:t>
            </w:r>
            <w:r w:rsidRPr="00F54FAA">
              <w:rPr>
                <w:rFonts w:ascii="Times New Roman" w:eastAsia="Arial" w:hAnsi="Times New Roman" w:cs="Times New Roman"/>
                <w:color w:val="000000"/>
                <w:sz w:val="16"/>
                <w:szCs w:val="16"/>
              </w:rPr>
              <w:br/>
              <w:t>(n = 77)</w:t>
            </w:r>
            <w:r w:rsidRPr="00F54FAA">
              <w:rPr>
                <w:rFonts w:ascii="Times New Roman" w:eastAsia="Arial" w:hAnsi="Times New Roman" w:cs="Times New Roman"/>
                <w:color w:val="000000"/>
                <w:sz w:val="16"/>
                <w:szCs w:val="16"/>
                <w:vertAlign w:val="superscript"/>
              </w:rPr>
              <w:t>1</w:t>
            </w:r>
          </w:p>
        </w:tc>
        <w:tc>
          <w:tcPr>
            <w:tcW w:w="1005" w:type="pct"/>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6F0F653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Hétéro</w:t>
            </w:r>
            <w:r w:rsidRPr="00F54FAA">
              <w:rPr>
                <w:rFonts w:ascii="Times New Roman" w:eastAsia="Arial" w:hAnsi="Times New Roman" w:cs="Times New Roman"/>
                <w:color w:val="000000"/>
                <w:sz w:val="16"/>
                <w:szCs w:val="16"/>
              </w:rPr>
              <w:br/>
              <w:t>(n = 10196)</w:t>
            </w:r>
            <w:r w:rsidRPr="00F54FAA">
              <w:rPr>
                <w:rFonts w:ascii="Times New Roman" w:eastAsia="Arial" w:hAnsi="Times New Roman" w:cs="Times New Roman"/>
                <w:color w:val="000000"/>
                <w:sz w:val="16"/>
                <w:szCs w:val="16"/>
                <w:vertAlign w:val="superscript"/>
              </w:rPr>
              <w:t>1</w:t>
            </w:r>
          </w:p>
        </w:tc>
        <w:tc>
          <w:tcPr>
            <w:tcW w:w="583" w:type="pct"/>
            <w:tcBorders>
              <w:top w:val="single" w:sz="8" w:space="0" w:color="000000"/>
              <w:bottom w:val="single" w:sz="8" w:space="0" w:color="000000"/>
              <w:right w:val="single" w:sz="4" w:space="0" w:color="auto"/>
            </w:tcBorders>
            <w:shd w:val="clear" w:color="auto" w:fill="FFFFFF"/>
            <w:tcMar>
              <w:top w:w="0" w:type="dxa"/>
              <w:left w:w="0" w:type="dxa"/>
              <w:bottom w:w="0" w:type="dxa"/>
              <w:right w:w="0" w:type="dxa"/>
            </w:tcMar>
            <w:vAlign w:val="center"/>
          </w:tcPr>
          <w:p w14:paraId="3CAB73F5"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6"/>
                <w:szCs w:val="16"/>
              </w:rPr>
            </w:pPr>
            <w:r w:rsidRPr="00F54FAA">
              <w:rPr>
                <w:rFonts w:ascii="Times New Roman" w:eastAsia="Arial" w:hAnsi="Times New Roman" w:cs="Times New Roman"/>
                <w:b/>
                <w:color w:val="000000"/>
                <w:sz w:val="16"/>
                <w:szCs w:val="16"/>
              </w:rPr>
              <w:t>P-value</w:t>
            </w:r>
            <w:r w:rsidRPr="00F54FAA">
              <w:rPr>
                <w:rFonts w:ascii="Times New Roman" w:eastAsia="Arial" w:hAnsi="Times New Roman" w:cs="Times New Roman"/>
                <w:color w:val="000000"/>
                <w:sz w:val="16"/>
                <w:szCs w:val="16"/>
                <w:vertAlign w:val="superscript"/>
              </w:rPr>
              <w:t>2</w:t>
            </w:r>
          </w:p>
        </w:tc>
      </w:tr>
      <w:tr w:rsidR="00E2476B" w14:paraId="3DDB0128" w14:textId="77777777" w:rsidTr="0018419C">
        <w:trPr>
          <w:trHeight w:val="283"/>
          <w:jc w:val="center"/>
        </w:trPr>
        <w:tc>
          <w:tcPr>
            <w:tcW w:w="1402" w:type="pct"/>
            <w:tcBorders>
              <w:top w:val="single" w:sz="8" w:space="0" w:color="000000"/>
              <w:left w:val="single" w:sz="4" w:space="0" w:color="auto"/>
            </w:tcBorders>
            <w:shd w:val="clear" w:color="auto" w:fill="FFFFFF"/>
            <w:tcMar>
              <w:top w:w="0" w:type="dxa"/>
              <w:left w:w="0" w:type="dxa"/>
              <w:bottom w:w="0" w:type="dxa"/>
              <w:right w:w="0" w:type="dxa"/>
            </w:tcMar>
          </w:tcPr>
          <w:p w14:paraId="5918E1E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Type de couple</w:t>
            </w:r>
          </w:p>
        </w:tc>
        <w:tc>
          <w:tcPr>
            <w:tcW w:w="1005" w:type="pct"/>
            <w:gridSpan w:val="2"/>
            <w:tcBorders>
              <w:top w:val="single" w:sz="8" w:space="0" w:color="000000"/>
            </w:tcBorders>
            <w:shd w:val="clear" w:color="auto" w:fill="FFFFFF"/>
            <w:tcMar>
              <w:top w:w="0" w:type="dxa"/>
              <w:left w:w="0" w:type="dxa"/>
              <w:bottom w:w="0" w:type="dxa"/>
              <w:right w:w="0" w:type="dxa"/>
            </w:tcMar>
          </w:tcPr>
          <w:p w14:paraId="2A9F30B6"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tcBorders>
              <w:top w:val="single" w:sz="8" w:space="0" w:color="000000"/>
            </w:tcBorders>
            <w:shd w:val="clear" w:color="auto" w:fill="FFFFFF"/>
            <w:tcMar>
              <w:top w:w="0" w:type="dxa"/>
              <w:left w:w="0" w:type="dxa"/>
              <w:bottom w:w="0" w:type="dxa"/>
              <w:right w:w="0" w:type="dxa"/>
            </w:tcMar>
          </w:tcPr>
          <w:p w14:paraId="381C8F2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tcBorders>
              <w:top w:val="single" w:sz="8" w:space="0" w:color="000000"/>
            </w:tcBorders>
            <w:shd w:val="clear" w:color="auto" w:fill="FFFFFF"/>
            <w:tcMar>
              <w:top w:w="0" w:type="dxa"/>
              <w:left w:w="0" w:type="dxa"/>
              <w:bottom w:w="0" w:type="dxa"/>
              <w:right w:w="0" w:type="dxa"/>
            </w:tcMar>
          </w:tcPr>
          <w:p w14:paraId="3AABDD1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single" w:sz="8" w:space="0" w:color="000000"/>
              <w:bottom w:val="none" w:sz="0" w:space="0" w:color="000000"/>
              <w:right w:val="single" w:sz="4" w:space="0" w:color="auto"/>
            </w:tcBorders>
            <w:shd w:val="clear" w:color="auto" w:fill="FFFFFF"/>
            <w:tcMar>
              <w:top w:w="0" w:type="dxa"/>
              <w:left w:w="0" w:type="dxa"/>
              <w:bottom w:w="0" w:type="dxa"/>
              <w:right w:w="0" w:type="dxa"/>
            </w:tcMar>
          </w:tcPr>
          <w:p w14:paraId="6E4DE87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E2476B" w14:paraId="7BC590FA"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5C827BC"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En couple de même sexe</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AA926B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99.4% (64)</w:t>
            </w:r>
            <w:r w:rsidRPr="00F54FAA">
              <w:rPr>
                <w:rFonts w:ascii="Times New Roman" w:eastAsia="Arial" w:hAnsi="Times New Roman" w:cs="Times New Roman"/>
                <w:color w:val="000000"/>
                <w:sz w:val="14"/>
                <w:szCs w:val="14"/>
              </w:rPr>
              <w:br/>
              <w:t>[96%, 100%]</w:t>
            </w:r>
            <w:r w:rsidRPr="00F54FAA">
              <w:rPr>
                <w:rFonts w:ascii="Times New Roman" w:eastAsia="Arial" w:hAnsi="Times New Roman" w:cs="Times New Roman"/>
                <w:color w:val="000000"/>
                <w:sz w:val="14"/>
                <w:szCs w:val="14"/>
                <w:vertAlign w:val="superscript"/>
              </w:rPr>
              <w:t>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063F4F5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8.9% (13)</w:t>
            </w:r>
            <w:r w:rsidRPr="00F54FAA">
              <w:rPr>
                <w:rFonts w:ascii="Times New Roman" w:eastAsia="Arial" w:hAnsi="Times New Roman" w:cs="Times New Roman"/>
                <w:color w:val="000000"/>
                <w:sz w:val="14"/>
                <w:szCs w:val="14"/>
              </w:rPr>
              <w:br/>
              <w:t>[4.6%, 17%]</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5D4798D"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0.5% (43)</w:t>
            </w:r>
            <w:r w:rsidRPr="00F54FAA">
              <w:rPr>
                <w:rFonts w:ascii="Times New Roman" w:eastAsia="Arial" w:hAnsi="Times New Roman" w:cs="Times New Roman"/>
                <w:color w:val="000000"/>
                <w:sz w:val="14"/>
                <w:szCs w:val="14"/>
              </w:rPr>
              <w:br/>
              <w:t>[0.34%, 0.70%]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347FD1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61759D9E"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6557D26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En couple de sexe différent</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530063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0.6% (1)</w:t>
            </w:r>
            <w:r w:rsidRPr="00F54FAA">
              <w:rPr>
                <w:rFonts w:ascii="Times New Roman" w:eastAsia="Arial" w:hAnsi="Times New Roman" w:cs="Times New Roman"/>
                <w:color w:val="000000"/>
                <w:sz w:val="14"/>
                <w:szCs w:val="14"/>
              </w:rPr>
              <w:br/>
              <w:t>[0.08%, 4.3%]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4E6A964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91.1% (64)</w:t>
            </w:r>
            <w:r w:rsidRPr="00F54FAA">
              <w:rPr>
                <w:rFonts w:ascii="Times New Roman" w:eastAsia="Arial" w:hAnsi="Times New Roman" w:cs="Times New Roman"/>
                <w:color w:val="000000"/>
                <w:sz w:val="14"/>
                <w:szCs w:val="14"/>
              </w:rPr>
              <w:br/>
              <w:t>[83%, 95%]</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A1369F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99.5% (10,153)</w:t>
            </w:r>
            <w:r w:rsidRPr="00F54FAA">
              <w:rPr>
                <w:rFonts w:ascii="Times New Roman" w:eastAsia="Arial" w:hAnsi="Times New Roman" w:cs="Times New Roman"/>
                <w:color w:val="000000"/>
                <w:sz w:val="14"/>
                <w:szCs w:val="14"/>
              </w:rPr>
              <w:br/>
              <w:t>[99%, 100%]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5D542F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1C19FE9C" w14:textId="77777777" w:rsidTr="0018419C">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782CAB95"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Cohabitation</w:t>
            </w:r>
          </w:p>
        </w:tc>
        <w:tc>
          <w:tcPr>
            <w:tcW w:w="1005" w:type="pct"/>
            <w:gridSpan w:val="2"/>
            <w:shd w:val="clear" w:color="auto" w:fill="FFFFFF"/>
            <w:tcMar>
              <w:top w:w="0" w:type="dxa"/>
              <w:left w:w="0" w:type="dxa"/>
              <w:bottom w:w="0" w:type="dxa"/>
              <w:right w:w="0" w:type="dxa"/>
            </w:tcMar>
          </w:tcPr>
          <w:p w14:paraId="64BF76A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2036CFF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71D3EEA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6A78171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E2476B" w14:paraId="02DF209B"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2C495DD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color w:val="000000"/>
                <w:sz w:val="14"/>
                <w:szCs w:val="14"/>
              </w:rPr>
              <w:t>En couple cohabitant</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5A10F24"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76.0% (44)</w:t>
            </w:r>
            <w:r w:rsidRPr="00F54FAA">
              <w:rPr>
                <w:rFonts w:ascii="Times New Roman" w:eastAsia="Arial" w:hAnsi="Times New Roman" w:cs="Times New Roman"/>
                <w:color w:val="000000"/>
                <w:sz w:val="14"/>
                <w:szCs w:val="14"/>
              </w:rPr>
              <w:br/>
              <w:t>[63%, 86%]</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5ECEA75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73.1% (51)</w:t>
            </w:r>
            <w:r w:rsidRPr="00F54FAA">
              <w:rPr>
                <w:rFonts w:ascii="Times New Roman" w:eastAsia="Arial" w:hAnsi="Times New Roman" w:cs="Times New Roman"/>
                <w:color w:val="000000"/>
                <w:sz w:val="14"/>
                <w:szCs w:val="14"/>
              </w:rPr>
              <w:br/>
              <w:t>[59%, 84%]</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8F7084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90.0% (9,061)</w:t>
            </w:r>
            <w:r w:rsidRPr="00F54FAA">
              <w:rPr>
                <w:rFonts w:ascii="Times New Roman" w:eastAsia="Arial" w:hAnsi="Times New Roman" w:cs="Times New Roman"/>
                <w:color w:val="000000"/>
                <w:sz w:val="14"/>
                <w:szCs w:val="14"/>
              </w:rPr>
              <w:br/>
              <w:t>[89%, 91%]</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8056ACD"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p>
        </w:tc>
      </w:tr>
      <w:tr w:rsidR="00E2476B" w14:paraId="17E28E8C"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44F27D9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color w:val="000000"/>
                <w:sz w:val="14"/>
                <w:szCs w:val="14"/>
              </w:rPr>
              <w:t>En couple non cohabitant</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5C945A1"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24.0% (21)</w:t>
            </w:r>
            <w:r w:rsidRPr="00F54FAA">
              <w:rPr>
                <w:rFonts w:ascii="Times New Roman" w:eastAsia="Arial" w:hAnsi="Times New Roman" w:cs="Times New Roman"/>
                <w:color w:val="000000"/>
                <w:sz w:val="14"/>
                <w:szCs w:val="14"/>
              </w:rPr>
              <w:br/>
              <w:t>[14%, 37%]</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3581035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26.9% (26)</w:t>
            </w:r>
            <w:r w:rsidRPr="00F54FAA">
              <w:rPr>
                <w:rFonts w:ascii="Times New Roman" w:eastAsia="Arial" w:hAnsi="Times New Roman" w:cs="Times New Roman"/>
                <w:color w:val="000000"/>
                <w:sz w:val="14"/>
                <w:szCs w:val="14"/>
              </w:rPr>
              <w:br/>
              <w:t>[16%, 41%]</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168D50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10.0% (1,135)</w:t>
            </w:r>
            <w:r w:rsidRPr="00F54FAA">
              <w:rPr>
                <w:rFonts w:ascii="Times New Roman" w:eastAsia="Arial" w:hAnsi="Times New Roman" w:cs="Times New Roman"/>
                <w:color w:val="000000"/>
                <w:sz w:val="14"/>
                <w:szCs w:val="14"/>
              </w:rPr>
              <w:br/>
              <w:t>[9.3%, 11%]</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DC1338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p>
        </w:tc>
      </w:tr>
      <w:tr w:rsidR="00E2476B" w14:paraId="7C25199A" w14:textId="77777777" w:rsidTr="0018419C">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698355C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 xml:space="preserve">Ecart d'âge </w:t>
            </w:r>
          </w:p>
        </w:tc>
        <w:tc>
          <w:tcPr>
            <w:tcW w:w="1005" w:type="pct"/>
            <w:gridSpan w:val="2"/>
            <w:shd w:val="clear" w:color="auto" w:fill="FFFFFF"/>
            <w:tcMar>
              <w:top w:w="0" w:type="dxa"/>
              <w:left w:w="0" w:type="dxa"/>
              <w:bottom w:w="0" w:type="dxa"/>
              <w:right w:w="0" w:type="dxa"/>
            </w:tcMar>
          </w:tcPr>
          <w:p w14:paraId="6E7F2AC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1F9912ED"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4E77C0AC"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632777A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E2476B" w14:paraId="4772A42C"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3654190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Conjoint·e</w:t>
            </w:r>
            <w:proofErr w:type="spellEnd"/>
            <w:r w:rsidRPr="00F54FAA">
              <w:rPr>
                <w:rFonts w:ascii="Times New Roman" w:eastAsia="Arial" w:hAnsi="Times New Roman" w:cs="Times New Roman"/>
                <w:color w:val="000000"/>
                <w:sz w:val="14"/>
                <w:szCs w:val="14"/>
              </w:rPr>
              <w:t xml:space="preserve"> plus </w:t>
            </w:r>
            <w:proofErr w:type="spellStart"/>
            <w:r w:rsidRPr="00F54FAA">
              <w:rPr>
                <w:rFonts w:ascii="Times New Roman" w:eastAsia="Arial" w:hAnsi="Times New Roman" w:cs="Times New Roman"/>
                <w:color w:val="000000"/>
                <w:sz w:val="14"/>
                <w:szCs w:val="14"/>
              </w:rPr>
              <w:t>âgé·e</w:t>
            </w:r>
            <w:proofErr w:type="spellEnd"/>
            <w:r w:rsidRPr="00F54FAA">
              <w:rPr>
                <w:rFonts w:ascii="Times New Roman" w:eastAsia="Arial" w:hAnsi="Times New Roman" w:cs="Times New Roman"/>
                <w:color w:val="000000"/>
                <w:sz w:val="14"/>
                <w:szCs w:val="14"/>
              </w:rPr>
              <w:t xml:space="preserve"> (10+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351644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3.6% (3)</w:t>
            </w:r>
            <w:r w:rsidRPr="00F54FAA">
              <w:rPr>
                <w:rFonts w:ascii="Times New Roman" w:eastAsia="Arial" w:hAnsi="Times New Roman" w:cs="Times New Roman"/>
                <w:color w:val="000000"/>
                <w:sz w:val="14"/>
                <w:szCs w:val="14"/>
              </w:rPr>
              <w:br/>
              <w:t>[0.71%, 16%]</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7480FB3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10.5% (7)</w:t>
            </w:r>
            <w:r w:rsidRPr="00F54FAA">
              <w:rPr>
                <w:rFonts w:ascii="Times New Roman" w:eastAsia="Arial" w:hAnsi="Times New Roman" w:cs="Times New Roman"/>
                <w:color w:val="000000"/>
                <w:sz w:val="14"/>
                <w:szCs w:val="14"/>
              </w:rPr>
              <w:br/>
              <w:t>[3.5%, 28%]</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3325DC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8.1% (760)</w:t>
            </w:r>
            <w:r w:rsidRPr="00F54FAA">
              <w:rPr>
                <w:rFonts w:ascii="Times New Roman" w:eastAsia="Arial" w:hAnsi="Times New Roman" w:cs="Times New Roman"/>
                <w:color w:val="000000"/>
                <w:sz w:val="14"/>
                <w:szCs w:val="14"/>
              </w:rPr>
              <w:br/>
              <w:t>[7.4%, 8.9%]</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E43507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6386D9A0"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410F5A4"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Conjoint·e</w:t>
            </w:r>
            <w:proofErr w:type="spellEnd"/>
            <w:r w:rsidRPr="00F54FAA">
              <w:rPr>
                <w:rFonts w:ascii="Times New Roman" w:eastAsia="Arial" w:hAnsi="Times New Roman" w:cs="Times New Roman"/>
                <w:color w:val="000000"/>
                <w:sz w:val="14"/>
                <w:szCs w:val="14"/>
              </w:rPr>
              <w:t xml:space="preserve"> plus </w:t>
            </w:r>
            <w:proofErr w:type="spellStart"/>
            <w:r w:rsidRPr="00F54FAA">
              <w:rPr>
                <w:rFonts w:ascii="Times New Roman" w:eastAsia="Arial" w:hAnsi="Times New Roman" w:cs="Times New Roman"/>
                <w:color w:val="000000"/>
                <w:sz w:val="14"/>
                <w:szCs w:val="14"/>
              </w:rPr>
              <w:t>âgé·e</w:t>
            </w:r>
            <w:proofErr w:type="spellEnd"/>
            <w:r w:rsidRPr="00F54FAA">
              <w:rPr>
                <w:rFonts w:ascii="Times New Roman" w:eastAsia="Arial" w:hAnsi="Times New Roman" w:cs="Times New Roman"/>
                <w:color w:val="000000"/>
                <w:sz w:val="14"/>
                <w:szCs w:val="14"/>
              </w:rPr>
              <w:t xml:space="preserve"> (5-9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9AC5D4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9.6% (6)</w:t>
            </w:r>
            <w:r w:rsidRPr="00F54FAA">
              <w:rPr>
                <w:rFonts w:ascii="Times New Roman" w:eastAsia="Arial" w:hAnsi="Times New Roman" w:cs="Times New Roman"/>
                <w:color w:val="000000"/>
                <w:sz w:val="14"/>
                <w:szCs w:val="14"/>
              </w:rPr>
              <w:br/>
              <w:t>[3.6%, 23%]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14828E2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11.8% (9)</w:t>
            </w:r>
            <w:r w:rsidRPr="00F54FAA">
              <w:rPr>
                <w:rFonts w:ascii="Times New Roman" w:eastAsia="Arial" w:hAnsi="Times New Roman" w:cs="Times New Roman"/>
                <w:color w:val="000000"/>
                <w:sz w:val="14"/>
                <w:szCs w:val="14"/>
              </w:rPr>
              <w:br/>
              <w:t>[5.4%, 24%]</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F9484EC"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19.0% (1,850)</w:t>
            </w:r>
            <w:r w:rsidRPr="00F54FAA">
              <w:rPr>
                <w:rFonts w:ascii="Times New Roman" w:eastAsia="Arial" w:hAnsi="Times New Roman" w:cs="Times New Roman"/>
                <w:color w:val="000000"/>
                <w:sz w:val="14"/>
                <w:szCs w:val="14"/>
              </w:rPr>
              <w:br/>
              <w:t>[18%, 20%]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2FBC3D4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57DD276A"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4757C85C"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Du même âge (± 4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0DAE473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70.3% (43)</w:t>
            </w:r>
            <w:r w:rsidRPr="00F54FAA">
              <w:rPr>
                <w:rFonts w:ascii="Times New Roman" w:eastAsia="Arial" w:hAnsi="Times New Roman" w:cs="Times New Roman"/>
                <w:color w:val="000000"/>
                <w:sz w:val="14"/>
                <w:szCs w:val="14"/>
              </w:rPr>
              <w:br/>
              <w:t>[55%, 82%]</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71EEE1F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66.1% (50)</w:t>
            </w:r>
            <w:r w:rsidRPr="00F54FAA">
              <w:rPr>
                <w:rFonts w:ascii="Times New Roman" w:eastAsia="Arial" w:hAnsi="Times New Roman" w:cs="Times New Roman"/>
                <w:color w:val="000000"/>
                <w:sz w:val="14"/>
                <w:szCs w:val="14"/>
              </w:rPr>
              <w:br/>
              <w:t>[51%, 79%]</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460C561"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68.8% (7,084)</w:t>
            </w:r>
            <w:r w:rsidRPr="00F54FAA">
              <w:rPr>
                <w:rFonts w:ascii="Times New Roman" w:eastAsia="Arial" w:hAnsi="Times New Roman" w:cs="Times New Roman"/>
                <w:color w:val="000000"/>
                <w:sz w:val="14"/>
                <w:szCs w:val="14"/>
              </w:rPr>
              <w:br/>
              <w:t>[68%, 70%]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F81210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00A86911"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5A3E02D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Conjoint·e</w:t>
            </w:r>
            <w:proofErr w:type="spellEnd"/>
            <w:r w:rsidRPr="00F54FAA">
              <w:rPr>
                <w:rFonts w:ascii="Times New Roman" w:eastAsia="Arial" w:hAnsi="Times New Roman" w:cs="Times New Roman"/>
                <w:color w:val="000000"/>
                <w:sz w:val="14"/>
                <w:szCs w:val="14"/>
              </w:rPr>
              <w:t xml:space="preserve"> plus jeune (5-9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800038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8.5% (7)</w:t>
            </w:r>
            <w:r w:rsidRPr="00F54FAA">
              <w:rPr>
                <w:rFonts w:ascii="Times New Roman" w:eastAsia="Arial" w:hAnsi="Times New Roman" w:cs="Times New Roman"/>
                <w:color w:val="000000"/>
                <w:sz w:val="14"/>
                <w:szCs w:val="14"/>
              </w:rPr>
              <w:br/>
              <w:t>[3.4%, 20%]</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5394B4A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9.0% (7)</w:t>
            </w:r>
            <w:r w:rsidRPr="00F54FAA">
              <w:rPr>
                <w:rFonts w:ascii="Times New Roman" w:eastAsia="Arial" w:hAnsi="Times New Roman" w:cs="Times New Roman"/>
                <w:color w:val="000000"/>
                <w:sz w:val="14"/>
                <w:szCs w:val="14"/>
              </w:rPr>
              <w:br/>
              <w:t>[3.5%, 21%]</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0AE242C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2.9% (313)</w:t>
            </w:r>
            <w:r w:rsidRPr="00F54FAA">
              <w:rPr>
                <w:rFonts w:ascii="Times New Roman" w:eastAsia="Arial" w:hAnsi="Times New Roman" w:cs="Times New Roman"/>
                <w:color w:val="000000"/>
                <w:sz w:val="14"/>
                <w:szCs w:val="14"/>
              </w:rPr>
              <w:br/>
              <w:t>[2.5%, 3.3%]</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2527BDC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304490AD"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57D3689F"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Conjoint·e</w:t>
            </w:r>
            <w:proofErr w:type="spellEnd"/>
            <w:r w:rsidRPr="00F54FAA">
              <w:rPr>
                <w:rFonts w:ascii="Times New Roman" w:eastAsia="Arial" w:hAnsi="Times New Roman" w:cs="Times New Roman"/>
                <w:color w:val="000000"/>
                <w:sz w:val="14"/>
                <w:szCs w:val="14"/>
              </w:rPr>
              <w:t xml:space="preserve"> plus jeune (10+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461857C"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7.9% (5)</w:t>
            </w:r>
            <w:r w:rsidRPr="00F54FAA">
              <w:rPr>
                <w:rFonts w:ascii="Times New Roman" w:eastAsia="Arial" w:hAnsi="Times New Roman" w:cs="Times New Roman"/>
                <w:color w:val="000000"/>
                <w:sz w:val="14"/>
                <w:szCs w:val="14"/>
              </w:rPr>
              <w:br/>
              <w:t>[2.8%, 20%]</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0C4AD6A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2.7% (2)</w:t>
            </w:r>
            <w:r w:rsidRPr="00F54FAA">
              <w:rPr>
                <w:rFonts w:ascii="Times New Roman" w:eastAsia="Arial" w:hAnsi="Times New Roman" w:cs="Times New Roman"/>
                <w:color w:val="000000"/>
                <w:sz w:val="14"/>
                <w:szCs w:val="14"/>
              </w:rPr>
              <w:br/>
              <w:t>[0.52%, 13%]</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E1A11D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1.2% (127)</w:t>
            </w:r>
            <w:r w:rsidRPr="00F54FAA">
              <w:rPr>
                <w:rFonts w:ascii="Times New Roman" w:eastAsia="Arial" w:hAnsi="Times New Roman" w:cs="Times New Roman"/>
                <w:color w:val="000000"/>
                <w:sz w:val="14"/>
                <w:szCs w:val="14"/>
              </w:rPr>
              <w:br/>
              <w:t>[0.94%, 1.5%]</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92A8BD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59909F0A" w14:textId="77777777" w:rsidTr="0018419C">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516F0C3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Situation de couple actuelle</w:t>
            </w:r>
          </w:p>
        </w:tc>
        <w:tc>
          <w:tcPr>
            <w:tcW w:w="1005" w:type="pct"/>
            <w:gridSpan w:val="2"/>
            <w:shd w:val="clear" w:color="auto" w:fill="FFFFFF"/>
            <w:tcMar>
              <w:top w:w="0" w:type="dxa"/>
              <w:left w:w="0" w:type="dxa"/>
              <w:bottom w:w="0" w:type="dxa"/>
              <w:right w:w="0" w:type="dxa"/>
            </w:tcMar>
          </w:tcPr>
          <w:p w14:paraId="2C33C1B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589B645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5C6650A6"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5C30DCB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E2476B" w14:paraId="2F01B272"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C3229D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Pas en couple</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B7AC89C"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13.9% (7)</w:t>
            </w:r>
            <w:r w:rsidRPr="00F54FAA">
              <w:rPr>
                <w:rFonts w:ascii="Times New Roman" w:eastAsia="Arial" w:hAnsi="Times New Roman" w:cs="Times New Roman"/>
                <w:color w:val="000000"/>
                <w:sz w:val="14"/>
                <w:szCs w:val="14"/>
              </w:rPr>
              <w:br/>
              <w:t>[6.0%, 29%]</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406EDD6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10.2% (6)</w:t>
            </w:r>
            <w:r w:rsidRPr="00F54FAA">
              <w:rPr>
                <w:rFonts w:ascii="Times New Roman" w:eastAsia="Arial" w:hAnsi="Times New Roman" w:cs="Times New Roman"/>
                <w:color w:val="000000"/>
                <w:sz w:val="14"/>
                <w:szCs w:val="14"/>
              </w:rPr>
              <w:br/>
              <w:t>[4.1%, 23%]</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831160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2.7% (270)</w:t>
            </w:r>
            <w:r w:rsidRPr="00F54FAA">
              <w:rPr>
                <w:rFonts w:ascii="Times New Roman" w:eastAsia="Arial" w:hAnsi="Times New Roman" w:cs="Times New Roman"/>
                <w:color w:val="000000"/>
                <w:sz w:val="14"/>
                <w:szCs w:val="14"/>
              </w:rPr>
              <w:br/>
              <w:t>[2.3%, 3.2%]</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E27FC2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3BA63669"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6F279B6C"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Marié.e</w:t>
            </w:r>
            <w:proofErr w:type="spellEnd"/>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D82808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21.5% (15)</w:t>
            </w:r>
            <w:r w:rsidRPr="00F54FAA">
              <w:rPr>
                <w:rFonts w:ascii="Times New Roman" w:eastAsia="Arial" w:hAnsi="Times New Roman" w:cs="Times New Roman"/>
                <w:color w:val="000000"/>
                <w:sz w:val="14"/>
                <w:szCs w:val="14"/>
              </w:rPr>
              <w:br/>
              <w:t>[12%, 36%]</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7289DCCF"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25.3% (19)</w:t>
            </w:r>
            <w:r w:rsidRPr="00F54FAA">
              <w:rPr>
                <w:rFonts w:ascii="Times New Roman" w:eastAsia="Arial" w:hAnsi="Times New Roman" w:cs="Times New Roman"/>
                <w:color w:val="000000"/>
                <w:sz w:val="14"/>
                <w:szCs w:val="14"/>
              </w:rPr>
              <w:br/>
              <w:t>[15%, 40%]</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DE8F79F"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65.1% (6,807)</w:t>
            </w:r>
            <w:r w:rsidRPr="00F54FAA">
              <w:rPr>
                <w:rFonts w:ascii="Times New Roman" w:eastAsia="Arial" w:hAnsi="Times New Roman" w:cs="Times New Roman"/>
                <w:color w:val="000000"/>
                <w:sz w:val="14"/>
                <w:szCs w:val="14"/>
              </w:rPr>
              <w:br/>
              <w:t>[64%, 66%]</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D706381"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3B465945"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72823F3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proofErr w:type="spellStart"/>
            <w:r w:rsidRPr="00F54FAA">
              <w:rPr>
                <w:rFonts w:ascii="Times New Roman" w:eastAsia="Arial" w:hAnsi="Times New Roman" w:cs="Times New Roman"/>
                <w:color w:val="000000"/>
                <w:sz w:val="14"/>
                <w:szCs w:val="14"/>
              </w:rPr>
              <w:t>Pacsé.e</w:t>
            </w:r>
            <w:proofErr w:type="spellEnd"/>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09C048D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23.7% (14)</w:t>
            </w:r>
            <w:r w:rsidRPr="00F54FAA">
              <w:rPr>
                <w:rFonts w:ascii="Times New Roman" w:eastAsia="Arial" w:hAnsi="Times New Roman" w:cs="Times New Roman"/>
                <w:color w:val="000000"/>
                <w:sz w:val="14"/>
                <w:szCs w:val="14"/>
              </w:rPr>
              <w:br/>
              <w:t>[14%, 38%]</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30B67555"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7.6% (7)</w:t>
            </w:r>
            <w:r w:rsidRPr="00F54FAA">
              <w:rPr>
                <w:rFonts w:ascii="Times New Roman" w:eastAsia="Arial" w:hAnsi="Times New Roman" w:cs="Times New Roman"/>
                <w:color w:val="000000"/>
                <w:sz w:val="14"/>
                <w:szCs w:val="14"/>
              </w:rPr>
              <w:br/>
              <w:t>[3.3%, 17%]</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62C01DEF"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6.1% (616)</w:t>
            </w:r>
            <w:r w:rsidRPr="00F54FAA">
              <w:rPr>
                <w:rFonts w:ascii="Times New Roman" w:eastAsia="Arial" w:hAnsi="Times New Roman" w:cs="Times New Roman"/>
                <w:color w:val="000000"/>
                <w:sz w:val="14"/>
                <w:szCs w:val="14"/>
              </w:rPr>
              <w:br/>
              <w:t>[5.5%, 6.7%]</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F4954C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09F3705E"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4DB730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Union libre</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1D8878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40.0% (28)</w:t>
            </w:r>
            <w:r w:rsidRPr="00F54FAA">
              <w:rPr>
                <w:rFonts w:ascii="Times New Roman" w:eastAsia="Arial" w:hAnsi="Times New Roman" w:cs="Times New Roman"/>
                <w:color w:val="000000"/>
                <w:sz w:val="14"/>
                <w:szCs w:val="14"/>
              </w:rPr>
              <w:br/>
              <w:t>[27%, 55%]</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2AD4BB96"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56.9% (45)</w:t>
            </w:r>
            <w:r w:rsidRPr="00F54FAA">
              <w:rPr>
                <w:rFonts w:ascii="Times New Roman" w:eastAsia="Arial" w:hAnsi="Times New Roman" w:cs="Times New Roman"/>
                <w:color w:val="000000"/>
                <w:sz w:val="14"/>
                <w:szCs w:val="14"/>
              </w:rPr>
              <w:br/>
              <w:t>[43%, 70%]</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E2D260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25.9% (2,488)</w:t>
            </w:r>
            <w:r w:rsidRPr="00F54FAA">
              <w:rPr>
                <w:rFonts w:ascii="Times New Roman" w:eastAsia="Arial" w:hAnsi="Times New Roman" w:cs="Times New Roman"/>
                <w:color w:val="000000"/>
                <w:sz w:val="14"/>
                <w:szCs w:val="14"/>
              </w:rPr>
              <w:br/>
              <w:t>[25%, 27%]</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6518F81D"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370199AC"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5B2A74F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NVPD/NSP</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06D688D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0.9% (1)</w:t>
            </w:r>
            <w:r w:rsidRPr="00F54FAA">
              <w:rPr>
                <w:rFonts w:ascii="Times New Roman" w:eastAsia="Arial" w:hAnsi="Times New Roman" w:cs="Times New Roman"/>
                <w:color w:val="000000"/>
                <w:sz w:val="14"/>
                <w:szCs w:val="14"/>
              </w:rPr>
              <w:br/>
              <w:t>[0.12%, 5.9%]</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6F4B8646"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0.0% (0)</w:t>
            </w:r>
            <w:r w:rsidRPr="00F54FAA">
              <w:rPr>
                <w:rFonts w:ascii="Times New Roman" w:eastAsia="Arial" w:hAnsi="Times New Roman" w:cs="Times New Roman"/>
                <w:color w:val="000000"/>
                <w:sz w:val="14"/>
                <w:szCs w:val="14"/>
              </w:rPr>
              <w:br/>
              <w:t>[0.00%, 0.00%]</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F6B2F2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0.2% (15)</w:t>
            </w:r>
            <w:r w:rsidRPr="00F54FAA">
              <w:rPr>
                <w:rFonts w:ascii="Times New Roman" w:eastAsia="Arial" w:hAnsi="Times New Roman" w:cs="Times New Roman"/>
                <w:color w:val="000000"/>
                <w:sz w:val="14"/>
                <w:szCs w:val="14"/>
              </w:rPr>
              <w:br/>
              <w:t>[0.10%, 0.39%]</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0DFCD19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15C16FA7" w14:textId="77777777" w:rsidTr="0018419C">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5371331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 xml:space="preserve">Durée relation </w:t>
            </w:r>
          </w:p>
        </w:tc>
        <w:tc>
          <w:tcPr>
            <w:tcW w:w="1005" w:type="pct"/>
            <w:gridSpan w:val="2"/>
            <w:shd w:val="clear" w:color="auto" w:fill="FFFFFF"/>
            <w:tcMar>
              <w:top w:w="0" w:type="dxa"/>
              <w:left w:w="0" w:type="dxa"/>
              <w:bottom w:w="0" w:type="dxa"/>
              <w:right w:w="0" w:type="dxa"/>
            </w:tcMar>
          </w:tcPr>
          <w:p w14:paraId="38C146B4"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69C2495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5D83B82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213BFF64"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E2476B" w14:paraId="263679D5"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38E528B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Moins de 1 an</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A57E685"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10.4% (7)</w:t>
            </w:r>
            <w:r w:rsidRPr="00F54FAA">
              <w:rPr>
                <w:rFonts w:ascii="Times New Roman" w:eastAsia="Arial" w:hAnsi="Times New Roman" w:cs="Times New Roman"/>
                <w:color w:val="000000"/>
                <w:sz w:val="14"/>
                <w:szCs w:val="14"/>
              </w:rPr>
              <w:br/>
              <w:t>[4.2%, 23%]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293367B1"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20.8% (10)</w:t>
            </w:r>
            <w:r w:rsidRPr="00F54FAA">
              <w:rPr>
                <w:rFonts w:ascii="Times New Roman" w:eastAsia="Arial" w:hAnsi="Times New Roman" w:cs="Times New Roman"/>
                <w:color w:val="000000"/>
                <w:sz w:val="14"/>
                <w:szCs w:val="14"/>
              </w:rPr>
              <w:br/>
              <w:t>[11%, 36%]</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41DAFF1"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2.6% (235)</w:t>
            </w:r>
            <w:r w:rsidRPr="00F54FAA">
              <w:rPr>
                <w:rFonts w:ascii="Times New Roman" w:eastAsia="Arial" w:hAnsi="Times New Roman" w:cs="Times New Roman"/>
                <w:color w:val="000000"/>
                <w:sz w:val="14"/>
                <w:szCs w:val="14"/>
              </w:rPr>
              <w:br/>
              <w:t>[2.2%, 3.0%]</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1F384B1"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58C49344"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12EC99D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1-4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9D6FFE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30.3% (17)</w:t>
            </w:r>
            <w:r w:rsidRPr="00F54FAA">
              <w:rPr>
                <w:rFonts w:ascii="Times New Roman" w:eastAsia="Arial" w:hAnsi="Times New Roman" w:cs="Times New Roman"/>
                <w:color w:val="000000"/>
                <w:sz w:val="14"/>
                <w:szCs w:val="14"/>
              </w:rPr>
              <w:br/>
              <w:t>[19%, 45%]</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68236A1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30.9% (24)</w:t>
            </w:r>
            <w:r w:rsidRPr="00F54FAA">
              <w:rPr>
                <w:rFonts w:ascii="Times New Roman" w:eastAsia="Arial" w:hAnsi="Times New Roman" w:cs="Times New Roman"/>
                <w:color w:val="000000"/>
                <w:sz w:val="14"/>
                <w:szCs w:val="14"/>
              </w:rPr>
              <w:br/>
              <w:t>[19%, 46%]</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1A9471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12.3% (1,043)</w:t>
            </w:r>
            <w:r w:rsidRPr="00F54FAA">
              <w:rPr>
                <w:rFonts w:ascii="Times New Roman" w:eastAsia="Arial" w:hAnsi="Times New Roman" w:cs="Times New Roman"/>
                <w:color w:val="000000"/>
                <w:sz w:val="14"/>
                <w:szCs w:val="14"/>
              </w:rPr>
              <w:br/>
              <w:t>[11%, 13%]</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46196F0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16F0EC21"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085274F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5-9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E5EED3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33.1% (17)</w:t>
            </w:r>
            <w:r w:rsidRPr="00F54FAA">
              <w:rPr>
                <w:rFonts w:ascii="Times New Roman" w:eastAsia="Arial" w:hAnsi="Times New Roman" w:cs="Times New Roman"/>
                <w:color w:val="000000"/>
                <w:sz w:val="14"/>
                <w:szCs w:val="14"/>
              </w:rPr>
              <w:br/>
              <w:t>[21%, 48%]</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7ABF58F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9.7% (8)</w:t>
            </w:r>
            <w:r w:rsidRPr="00F54FAA">
              <w:rPr>
                <w:rFonts w:ascii="Times New Roman" w:eastAsia="Arial" w:hAnsi="Times New Roman" w:cs="Times New Roman"/>
                <w:color w:val="000000"/>
                <w:sz w:val="14"/>
                <w:szCs w:val="14"/>
              </w:rPr>
              <w:br/>
              <w:t>[4.6%, 19%]</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9C574A5"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13.7% (1,175)</w:t>
            </w:r>
            <w:r w:rsidRPr="00F54FAA">
              <w:rPr>
                <w:rFonts w:ascii="Times New Roman" w:eastAsia="Arial" w:hAnsi="Times New Roman" w:cs="Times New Roman"/>
                <w:color w:val="000000"/>
                <w:sz w:val="14"/>
                <w:szCs w:val="14"/>
              </w:rPr>
              <w:br/>
              <w:t>[13%, 15%]</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4718A14D"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4555139F"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339F69B5"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10-19 ans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05A715A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20.0% (15)</w:t>
            </w:r>
            <w:r w:rsidRPr="00F54FAA">
              <w:rPr>
                <w:rFonts w:ascii="Times New Roman" w:eastAsia="Arial" w:hAnsi="Times New Roman" w:cs="Times New Roman"/>
                <w:color w:val="000000"/>
                <w:sz w:val="14"/>
                <w:szCs w:val="14"/>
              </w:rPr>
              <w:br/>
              <w:t>[11%, 34%]</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75F76E4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20.4% (18)</w:t>
            </w:r>
            <w:r w:rsidRPr="00F54FAA">
              <w:rPr>
                <w:rFonts w:ascii="Times New Roman" w:eastAsia="Arial" w:hAnsi="Times New Roman" w:cs="Times New Roman"/>
                <w:color w:val="000000"/>
                <w:sz w:val="14"/>
                <w:szCs w:val="14"/>
              </w:rPr>
              <w:br/>
              <w:t>[12%, 32%]</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304E913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24.2% (2,304)</w:t>
            </w:r>
            <w:r w:rsidRPr="00F54FAA">
              <w:rPr>
                <w:rFonts w:ascii="Times New Roman" w:eastAsia="Arial" w:hAnsi="Times New Roman" w:cs="Times New Roman"/>
                <w:color w:val="000000"/>
                <w:sz w:val="14"/>
                <w:szCs w:val="14"/>
              </w:rPr>
              <w:br/>
              <w:t>[23%, 25%]</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51264C9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7FBA194B"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6BDEA1A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 ans ou plus</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56EBD31D"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6.2% (9)</w:t>
            </w:r>
            <w:r w:rsidRPr="00F54FAA">
              <w:rPr>
                <w:rFonts w:ascii="Times New Roman" w:eastAsia="Arial" w:hAnsi="Times New Roman" w:cs="Times New Roman"/>
                <w:color w:val="000000"/>
                <w:sz w:val="14"/>
                <w:szCs w:val="14"/>
              </w:rPr>
              <w:br/>
              <w:t>[2.9%, 13%]</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300EE4C4"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18.1% (16)</w:t>
            </w:r>
            <w:r w:rsidRPr="00F54FAA">
              <w:rPr>
                <w:rFonts w:ascii="Times New Roman" w:eastAsia="Arial" w:hAnsi="Times New Roman" w:cs="Times New Roman"/>
                <w:color w:val="000000"/>
                <w:sz w:val="14"/>
                <w:szCs w:val="14"/>
              </w:rPr>
              <w:br/>
              <w:t>[9.0%, 33%]</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66AF5E4"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47.3% (5,389)</w:t>
            </w:r>
            <w:r w:rsidRPr="00F54FAA">
              <w:rPr>
                <w:rFonts w:ascii="Times New Roman" w:eastAsia="Arial" w:hAnsi="Times New Roman" w:cs="Times New Roman"/>
                <w:color w:val="000000"/>
                <w:sz w:val="14"/>
                <w:szCs w:val="14"/>
              </w:rPr>
              <w:br/>
              <w:t>[46%, 49%]</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1067F8A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06B49822" w14:textId="77777777" w:rsidTr="0018419C">
        <w:trPr>
          <w:trHeight w:val="283"/>
          <w:jc w:val="center"/>
        </w:trPr>
        <w:tc>
          <w:tcPr>
            <w:tcW w:w="1402" w:type="pct"/>
            <w:tcBorders>
              <w:left w:val="single" w:sz="4" w:space="0" w:color="auto"/>
            </w:tcBorders>
            <w:shd w:val="clear" w:color="auto" w:fill="FFFFFF"/>
            <w:tcMar>
              <w:top w:w="0" w:type="dxa"/>
              <w:left w:w="0" w:type="dxa"/>
              <w:bottom w:w="0" w:type="dxa"/>
              <w:right w:w="0" w:type="dxa"/>
            </w:tcMar>
          </w:tcPr>
          <w:p w14:paraId="2169462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54FAA">
              <w:rPr>
                <w:rFonts w:ascii="Times New Roman" w:eastAsia="Arial" w:hAnsi="Times New Roman" w:cs="Times New Roman"/>
                <w:bCs/>
                <w:i/>
                <w:iCs/>
                <w:color w:val="000000"/>
                <w:sz w:val="14"/>
                <w:szCs w:val="14"/>
              </w:rPr>
              <w:t>Situation parentale</w:t>
            </w:r>
          </w:p>
        </w:tc>
        <w:tc>
          <w:tcPr>
            <w:tcW w:w="1005" w:type="pct"/>
            <w:gridSpan w:val="2"/>
            <w:shd w:val="clear" w:color="auto" w:fill="FFFFFF"/>
            <w:tcMar>
              <w:top w:w="0" w:type="dxa"/>
              <w:left w:w="0" w:type="dxa"/>
              <w:bottom w:w="0" w:type="dxa"/>
              <w:right w:w="0" w:type="dxa"/>
            </w:tcMar>
          </w:tcPr>
          <w:p w14:paraId="5EB56CB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shd w:val="clear" w:color="auto" w:fill="FFFFFF"/>
            <w:tcMar>
              <w:top w:w="0" w:type="dxa"/>
              <w:left w:w="0" w:type="dxa"/>
              <w:bottom w:w="0" w:type="dxa"/>
              <w:right w:w="0" w:type="dxa"/>
            </w:tcMar>
          </w:tcPr>
          <w:p w14:paraId="711939F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1005" w:type="pct"/>
            <w:gridSpan w:val="2"/>
            <w:shd w:val="clear" w:color="auto" w:fill="FFFFFF"/>
            <w:tcMar>
              <w:top w:w="0" w:type="dxa"/>
              <w:left w:w="0" w:type="dxa"/>
              <w:bottom w:w="0" w:type="dxa"/>
              <w:right w:w="0" w:type="dxa"/>
            </w:tcMar>
          </w:tcPr>
          <w:p w14:paraId="6FD1B87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c>
          <w:tcPr>
            <w:tcW w:w="583" w:type="pct"/>
            <w:tcBorders>
              <w:top w:val="none" w:sz="0" w:space="0" w:color="000000"/>
              <w:bottom w:val="none" w:sz="0" w:space="0" w:color="000000"/>
              <w:right w:val="single" w:sz="4" w:space="0" w:color="auto"/>
            </w:tcBorders>
            <w:shd w:val="clear" w:color="auto" w:fill="FFFFFF"/>
            <w:tcMar>
              <w:top w:w="0" w:type="dxa"/>
              <w:left w:w="0" w:type="dxa"/>
              <w:bottom w:w="0" w:type="dxa"/>
              <w:right w:w="0" w:type="dxa"/>
            </w:tcMar>
          </w:tcPr>
          <w:p w14:paraId="5B9F3B5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b/>
                <w:bCs/>
                <w:i/>
                <w:iCs/>
                <w:color w:val="000000"/>
                <w:sz w:val="14"/>
                <w:szCs w:val="14"/>
              </w:rPr>
            </w:pPr>
            <w:r w:rsidRPr="00F54FAA">
              <w:rPr>
                <w:rFonts w:ascii="Times New Roman" w:eastAsia="Arial" w:hAnsi="Times New Roman" w:cs="Times New Roman"/>
                <w:b/>
                <w:bCs/>
                <w:i/>
                <w:iCs/>
                <w:color w:val="000000"/>
                <w:sz w:val="14"/>
                <w:szCs w:val="14"/>
              </w:rPr>
              <w:t>&lt;0.001</w:t>
            </w:r>
          </w:p>
        </w:tc>
      </w:tr>
      <w:tr w:rsidR="00E2476B" w14:paraId="2507C507"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593CF8D0"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lastRenderedPageBreak/>
              <w:t>Sans enfant</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132220B4"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76.3% (51)</w:t>
            </w:r>
            <w:r w:rsidRPr="00F54FAA">
              <w:rPr>
                <w:rFonts w:ascii="Times New Roman" w:eastAsia="Arial" w:hAnsi="Times New Roman" w:cs="Times New Roman"/>
                <w:color w:val="000000"/>
                <w:sz w:val="14"/>
                <w:szCs w:val="14"/>
              </w:rPr>
              <w:br/>
              <w:t>[61%, 87%]</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1F4D4467"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45.4% (35)</w:t>
            </w:r>
            <w:r w:rsidRPr="00F54FAA">
              <w:rPr>
                <w:rFonts w:ascii="Times New Roman" w:eastAsia="Arial" w:hAnsi="Times New Roman" w:cs="Times New Roman"/>
                <w:color w:val="000000"/>
                <w:sz w:val="14"/>
                <w:szCs w:val="14"/>
              </w:rPr>
              <w:br/>
              <w:t>[32%, 60%]</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7245E0EE"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20.3% (1,785)</w:t>
            </w:r>
            <w:r w:rsidRPr="00F54FAA">
              <w:rPr>
                <w:rFonts w:ascii="Times New Roman" w:eastAsia="Arial" w:hAnsi="Times New Roman" w:cs="Times New Roman"/>
                <w:color w:val="000000"/>
                <w:sz w:val="14"/>
                <w:szCs w:val="14"/>
              </w:rPr>
              <w:br/>
              <w:t>[19%, 21%]</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7DD30F8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32EBAE43" w14:textId="77777777" w:rsidTr="0018419C">
        <w:trPr>
          <w:trHeight w:val="283"/>
          <w:jc w:val="center"/>
        </w:trPr>
        <w:tc>
          <w:tcPr>
            <w:tcW w:w="1402" w:type="pct"/>
            <w:tcBorders>
              <w:left w:val="single" w:sz="4" w:space="0" w:color="auto"/>
              <w:right w:val="single" w:sz="4" w:space="0" w:color="auto"/>
            </w:tcBorders>
            <w:shd w:val="clear" w:color="auto" w:fill="FFFFFF"/>
            <w:tcMar>
              <w:top w:w="0" w:type="dxa"/>
              <w:left w:w="0" w:type="dxa"/>
              <w:bottom w:w="0" w:type="dxa"/>
              <w:right w:w="0" w:type="dxa"/>
            </w:tcMar>
          </w:tcPr>
          <w:p w14:paraId="361E515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Enfant(s) dans le couple</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44227DF9"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19.7% (10)</w:t>
            </w:r>
            <w:r w:rsidRPr="00F54FAA">
              <w:rPr>
                <w:rFonts w:ascii="Times New Roman" w:eastAsia="Arial" w:hAnsi="Times New Roman" w:cs="Times New Roman"/>
                <w:color w:val="000000"/>
                <w:sz w:val="14"/>
                <w:szCs w:val="14"/>
              </w:rPr>
              <w:br/>
              <w:t>[10%, 35%]</w:t>
            </w:r>
          </w:p>
        </w:tc>
        <w:tc>
          <w:tcPr>
            <w:tcW w:w="1005" w:type="pct"/>
            <w:tcBorders>
              <w:left w:val="single" w:sz="4" w:space="0" w:color="auto"/>
              <w:right w:val="single" w:sz="4" w:space="0" w:color="auto"/>
            </w:tcBorders>
            <w:shd w:val="clear" w:color="auto" w:fill="FFFFFF"/>
            <w:tcMar>
              <w:top w:w="0" w:type="dxa"/>
              <w:left w:w="0" w:type="dxa"/>
              <w:bottom w:w="0" w:type="dxa"/>
              <w:right w:w="0" w:type="dxa"/>
            </w:tcMar>
          </w:tcPr>
          <w:p w14:paraId="7A47825C"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39.2% (27)</w:t>
            </w:r>
            <w:r w:rsidRPr="00F54FAA">
              <w:rPr>
                <w:rFonts w:ascii="Times New Roman" w:eastAsia="Arial" w:hAnsi="Times New Roman" w:cs="Times New Roman"/>
                <w:color w:val="000000"/>
                <w:sz w:val="14"/>
                <w:szCs w:val="14"/>
              </w:rPr>
              <w:br/>
              <w:t>[26%, 54%]</w:t>
            </w:r>
          </w:p>
        </w:tc>
        <w:tc>
          <w:tcPr>
            <w:tcW w:w="1005"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460F98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70.6% (7,290)</w:t>
            </w:r>
            <w:r w:rsidRPr="00F54FAA">
              <w:rPr>
                <w:rFonts w:ascii="Times New Roman" w:eastAsia="Arial" w:hAnsi="Times New Roman" w:cs="Times New Roman"/>
                <w:color w:val="000000"/>
                <w:sz w:val="14"/>
                <w:szCs w:val="14"/>
              </w:rPr>
              <w:br/>
              <w:t>[69%, 72%]</w:t>
            </w:r>
          </w:p>
        </w:tc>
        <w:tc>
          <w:tcPr>
            <w:tcW w:w="583" w:type="pct"/>
            <w:tcBorders>
              <w:top w:val="none" w:sz="0" w:space="0" w:color="000000"/>
              <w:left w:val="single" w:sz="4" w:space="0" w:color="auto"/>
              <w:bottom w:val="none" w:sz="0" w:space="0" w:color="000000"/>
              <w:right w:val="single" w:sz="4" w:space="0" w:color="auto"/>
            </w:tcBorders>
            <w:shd w:val="clear" w:color="auto" w:fill="FFFFFF"/>
            <w:tcMar>
              <w:top w:w="0" w:type="dxa"/>
              <w:left w:w="0" w:type="dxa"/>
              <w:bottom w:w="0" w:type="dxa"/>
              <w:right w:w="0" w:type="dxa"/>
            </w:tcMar>
          </w:tcPr>
          <w:p w14:paraId="3750D442"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73BFDD57" w14:textId="77777777" w:rsidTr="0018419C">
        <w:trPr>
          <w:trHeight w:val="283"/>
          <w:jc w:val="center"/>
        </w:trPr>
        <w:tc>
          <w:tcPr>
            <w:tcW w:w="1402"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1689025B"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Enfant(s) d'une précédente union</w:t>
            </w:r>
          </w:p>
        </w:tc>
        <w:tc>
          <w:tcPr>
            <w:tcW w:w="1005" w:type="pct"/>
            <w:gridSpan w:val="2"/>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212C118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4.0% (4)</w:t>
            </w:r>
            <w:r w:rsidRPr="00F54FAA">
              <w:rPr>
                <w:rFonts w:ascii="Times New Roman" w:eastAsia="Arial" w:hAnsi="Times New Roman" w:cs="Times New Roman"/>
                <w:color w:val="000000"/>
                <w:sz w:val="14"/>
                <w:szCs w:val="14"/>
              </w:rPr>
              <w:br/>
              <w:t>[1.3%, 12%]</w:t>
            </w:r>
          </w:p>
        </w:tc>
        <w:tc>
          <w:tcPr>
            <w:tcW w:w="100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32A887C3"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15.4% (15)</w:t>
            </w:r>
            <w:r w:rsidRPr="00F54FAA">
              <w:rPr>
                <w:rFonts w:ascii="Times New Roman" w:eastAsia="Arial" w:hAnsi="Times New Roman" w:cs="Times New Roman"/>
                <w:color w:val="000000"/>
                <w:sz w:val="14"/>
                <w:szCs w:val="14"/>
              </w:rPr>
              <w:br/>
              <w:t>[8.3%, 27%]</w:t>
            </w:r>
          </w:p>
        </w:tc>
        <w:tc>
          <w:tcPr>
            <w:tcW w:w="1005" w:type="pct"/>
            <w:gridSpan w:val="2"/>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066D0E06"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rPr>
              <w:t>9.1% (1,120)</w:t>
            </w:r>
            <w:r w:rsidRPr="00F54FAA">
              <w:rPr>
                <w:rFonts w:ascii="Times New Roman" w:eastAsia="Arial" w:hAnsi="Times New Roman" w:cs="Times New Roman"/>
                <w:color w:val="000000"/>
                <w:sz w:val="14"/>
                <w:szCs w:val="14"/>
              </w:rPr>
              <w:br/>
              <w:t>[8.5%, 9.8%]</w:t>
            </w:r>
          </w:p>
        </w:tc>
        <w:tc>
          <w:tcPr>
            <w:tcW w:w="583" w:type="pct"/>
            <w:tcBorders>
              <w:top w:val="none" w:sz="0" w:space="0" w:color="000000"/>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20BFA8EA"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7D8C71F3" w14:textId="77777777" w:rsidTr="0018419C">
        <w:trPr>
          <w:trHeight w:val="1191"/>
          <w:jc w:val="center"/>
        </w:trPr>
        <w:tc>
          <w:tcPr>
            <w:tcW w:w="5000" w:type="pct"/>
            <w:gridSpan w:val="7"/>
            <w:tcBorders>
              <w:top w:val="single" w:sz="8" w:space="0" w:color="000000"/>
              <w:left w:val="single" w:sz="4" w:space="0" w:color="auto"/>
              <w:bottom w:val="single" w:sz="4" w:space="0" w:color="auto"/>
              <w:right w:val="single" w:sz="4" w:space="0" w:color="auto"/>
            </w:tcBorders>
            <w:shd w:val="clear" w:color="auto" w:fill="FFFFFF"/>
            <w:tcMar>
              <w:top w:w="0" w:type="dxa"/>
              <w:left w:w="0" w:type="dxa"/>
              <w:bottom w:w="0" w:type="dxa"/>
              <w:right w:w="0" w:type="dxa"/>
            </w:tcMar>
            <w:vAlign w:val="center"/>
          </w:tcPr>
          <w:p w14:paraId="229B459F"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vertAlign w:val="superscript"/>
              </w:rPr>
              <w:t>1</w:t>
            </w:r>
            <w:r w:rsidRPr="00F54FAA">
              <w:rPr>
                <w:rFonts w:ascii="Times New Roman" w:eastAsia="Arial" w:hAnsi="Times New Roman" w:cs="Times New Roman"/>
                <w:color w:val="000000"/>
                <w:sz w:val="14"/>
                <w:szCs w:val="14"/>
              </w:rPr>
              <w:t>Effectifs non-pondérés entre parenthèses.</w:t>
            </w:r>
          </w:p>
          <w:p w14:paraId="39CAB7B5"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F54FAA">
              <w:rPr>
                <w:rFonts w:ascii="Times New Roman" w:eastAsia="Arial" w:hAnsi="Times New Roman" w:cs="Times New Roman"/>
                <w:color w:val="000000"/>
                <w:sz w:val="14"/>
                <w:szCs w:val="14"/>
                <w:vertAlign w:val="superscript"/>
              </w:rPr>
              <w:t>2</w:t>
            </w:r>
            <w:r w:rsidRPr="00F54FAA">
              <w:rPr>
                <w:rFonts w:ascii="Times New Roman" w:eastAsia="Arial" w:hAnsi="Times New Roman" w:cs="Times New Roman"/>
                <w:color w:val="000000"/>
                <w:sz w:val="14"/>
                <w:szCs w:val="14"/>
              </w:rPr>
              <w:t>Test du Chi-deux ajusté de Rao &amp; Scott pour données pondérées.</w:t>
            </w:r>
          </w:p>
          <w:p w14:paraId="30F67784" w14:textId="77777777" w:rsidR="00E2476B" w:rsidRPr="00083B9B" w:rsidRDefault="00E2476B" w:rsidP="0018419C">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083B9B">
              <w:rPr>
                <w:rFonts w:ascii="Times New Roman" w:eastAsia="Arial" w:hAnsi="Times New Roman" w:cs="Times New Roman"/>
                <w:color w:val="000000"/>
                <w:sz w:val="14"/>
                <w:szCs w:val="14"/>
                <w:vertAlign w:val="superscript"/>
              </w:rPr>
              <w:t>3</w:t>
            </w:r>
            <w:r w:rsidRPr="00083B9B">
              <w:rPr>
                <w:rFonts w:ascii="Times New Roman" w:eastAsia="Arial" w:hAnsi="Times New Roman" w:cs="Times New Roman"/>
                <w:color w:val="000000"/>
                <w:sz w:val="14"/>
                <w:szCs w:val="14"/>
              </w:rPr>
              <w:t>Pourcentages pondérés (Effectifs non pondérés) [Intervalle de confiance à 95%].</w:t>
            </w:r>
          </w:p>
          <w:p w14:paraId="7A53D7D8" w14:textId="77777777" w:rsidR="00E2476B" w:rsidRPr="00F54FAA" w:rsidRDefault="00E2476B" w:rsidP="0018419C">
            <w:pPr>
              <w:pBdr>
                <w:top w:val="none" w:sz="0" w:space="0" w:color="000000"/>
                <w:left w:val="none" w:sz="0" w:space="0" w:color="000000"/>
                <w:bottom w:val="none" w:sz="0" w:space="0" w:color="000000"/>
                <w:right w:val="none" w:sz="0" w:space="0" w:color="000000"/>
              </w:pBdr>
              <w:spacing w:after="0"/>
              <w:ind w:left="100" w:right="100"/>
              <w:rPr>
                <w:rFonts w:ascii="Times New Roman" w:eastAsia="Arial" w:hAnsi="Times New Roman" w:cs="Times New Roman"/>
                <w:color w:val="000000"/>
                <w:sz w:val="14"/>
                <w:szCs w:val="14"/>
              </w:rPr>
            </w:pPr>
            <w:r w:rsidRPr="00F54FAA">
              <w:rPr>
                <w:rFonts w:ascii="Times New Roman" w:eastAsia="Arial" w:hAnsi="Times New Roman" w:cs="Times New Roman"/>
                <w:b/>
                <w:bCs/>
                <w:color w:val="000000"/>
                <w:sz w:val="14"/>
                <w:szCs w:val="14"/>
              </w:rPr>
              <w:t>Champ</w:t>
            </w:r>
            <w:r w:rsidRPr="00F54FAA">
              <w:rPr>
                <w:rFonts w:ascii="Times New Roman" w:eastAsia="Arial" w:hAnsi="Times New Roman" w:cs="Times New Roman"/>
                <w:color w:val="000000"/>
                <w:sz w:val="14"/>
                <w:szCs w:val="14"/>
              </w:rPr>
              <w:t xml:space="preserve"> : Répondantes en couple, au moins 4 mois, au cours des 12 derniers mois de l'enquête Virage.</w:t>
            </w:r>
            <w:r w:rsidRPr="00F54FAA">
              <w:rPr>
                <w:rFonts w:ascii="Times New Roman" w:eastAsia="Arial" w:hAnsi="Times New Roman" w:cs="Times New Roman"/>
                <w:color w:val="000000"/>
                <w:sz w:val="14"/>
                <w:szCs w:val="14"/>
              </w:rPr>
              <w:br/>
            </w:r>
            <w:r w:rsidRPr="00F54FAA">
              <w:rPr>
                <w:rFonts w:ascii="Times New Roman" w:eastAsia="Arial" w:hAnsi="Times New Roman" w:cs="Times New Roman"/>
                <w:b/>
                <w:bCs/>
                <w:color w:val="000000"/>
                <w:sz w:val="14"/>
                <w:szCs w:val="14"/>
              </w:rPr>
              <w:t>Lecture</w:t>
            </w:r>
            <w:r w:rsidRPr="00F54FAA">
              <w:rPr>
                <w:rFonts w:ascii="Times New Roman" w:eastAsia="Arial" w:hAnsi="Times New Roman" w:cs="Times New Roman"/>
                <w:color w:val="000000"/>
                <w:sz w:val="14"/>
                <w:szCs w:val="14"/>
              </w:rPr>
              <w:t xml:space="preserve"> : Parmi les femmes bisexuelles en couple dans l'enquête Virage en population générale, 8,9% sont en couple de même sexe, avec un intervalle de confiance à 95% de [4,6% - 17%].</w:t>
            </w:r>
            <w:r w:rsidRPr="00F54FAA">
              <w:rPr>
                <w:rFonts w:ascii="Times New Roman" w:eastAsia="Arial" w:hAnsi="Times New Roman" w:cs="Times New Roman"/>
                <w:color w:val="000000"/>
                <w:sz w:val="14"/>
                <w:szCs w:val="14"/>
              </w:rPr>
              <w:br/>
            </w:r>
            <w:r w:rsidRPr="00F54FAA">
              <w:rPr>
                <w:rFonts w:ascii="Times New Roman" w:eastAsia="Arial" w:hAnsi="Times New Roman" w:cs="Times New Roman"/>
                <w:b/>
                <w:bCs/>
                <w:color w:val="000000"/>
                <w:sz w:val="14"/>
                <w:szCs w:val="14"/>
              </w:rPr>
              <w:t>Source</w:t>
            </w:r>
            <w:r w:rsidRPr="00F54FAA">
              <w:rPr>
                <w:rFonts w:ascii="Times New Roman" w:eastAsia="Arial" w:hAnsi="Times New Roman" w:cs="Times New Roman"/>
                <w:color w:val="000000"/>
                <w:sz w:val="14"/>
                <w:szCs w:val="14"/>
              </w:rPr>
              <w:t xml:space="preserve"> : Enquête Virage PG, Ined, 2015.</w:t>
            </w:r>
          </w:p>
        </w:tc>
      </w:tr>
    </w:tbl>
    <w:p w14:paraId="0FFC7A7B" w14:textId="77777777" w:rsidR="00E2476B" w:rsidRDefault="00E2476B" w:rsidP="00E2476B">
      <w:pPr>
        <w:pStyle w:val="Titre4"/>
        <w:spacing w:before="240"/>
      </w:pPr>
      <w:r>
        <w:t xml:space="preserve">Une institutionnalisation juridique du couple moins fréquente </w:t>
      </w:r>
    </w:p>
    <w:p w14:paraId="63F37641" w14:textId="77777777" w:rsidR="00E2476B" w:rsidRDefault="00E2476B" w:rsidP="00E2476B">
      <w:pPr>
        <w:pStyle w:val="Corpsdetexte"/>
      </w:pPr>
      <w:r>
        <w:t xml:space="preserve">C’est en ce qui concerne le statut de couple actuel que les écarts sont les plus nets. Seules 25,3% des femmes bisexuelles en couple sont mariées contre 65,1% des hétérosexuelles. Les bisexuelles investissent massivement l’union libre (56,9% contre 25,9% des hétérosexuelles). Les homosexuelles privilégient quant à elles le pacs (23,7% contre 6,1% chez les hétérosexuelles). </w:t>
      </w:r>
    </w:p>
    <w:p w14:paraId="0E0C96F3" w14:textId="77777777" w:rsidR="00E2476B" w:rsidRDefault="00E2476B" w:rsidP="00E2476B">
      <w:pPr>
        <w:pStyle w:val="Corpsdetexte"/>
      </w:pPr>
      <w:r>
        <w:t>Les résultats concernant le patrimoine conjugués au moindre recours au mariage au profit de l'union libre, accrédite l'hypothèse d'une distance singulière à l'égard de l'institution matrimoniale classique, que nous allons tester à l'aide d’une régression logistique.</w:t>
      </w:r>
    </w:p>
    <w:p w14:paraId="14079B02" w14:textId="77777777" w:rsidR="00E2476B" w:rsidRDefault="00E2476B" w:rsidP="00E2476B">
      <w:pPr>
        <w:pStyle w:val="Titre4"/>
      </w:pPr>
      <w:r>
        <w:t xml:space="preserve">Des relations plus courtes et moins souvent cohabitantes </w:t>
      </w:r>
    </w:p>
    <w:p w14:paraId="02D24E15" w14:textId="77777777" w:rsidR="00E2476B" w:rsidRDefault="00E2476B" w:rsidP="00E2476B">
      <w:pPr>
        <w:pStyle w:val="Corpsdetexte"/>
      </w:pPr>
      <w:r>
        <w:t>La cohabitation suit la même logique : les femmes bisexuelles cohabitent significativement moins souvent avec leur partenaire que les hétérosexuelles (73,1% contre 90,0%). Enfin, leurs unions comme celles des homosexuelles s'avèrent beaucoup plus récentes : à peine 18,1% des bisexuelles et 6,2% des homosexuelles déclarent une relation installée depuis 20 ans ou plus, contre 47,3 % des femmes hétérosexuelles. A l’inverse on observe une claire sur-représentation des relations de moins d’un an. La durée de relation plus courte peut refléter, au moins en partie, un effet d’âge qu’il convient de contrôler.</w:t>
      </w:r>
    </w:p>
    <w:p w14:paraId="590A3180" w14:textId="77777777" w:rsidR="00E2476B" w:rsidRDefault="00E2476B" w:rsidP="00E2476B">
      <w:pPr>
        <w:pStyle w:val="Corpsdetexte"/>
      </w:pPr>
      <w:r>
        <w:t xml:space="preserve">L’écart d’âge avec </w:t>
      </w:r>
      <w:proofErr w:type="spellStart"/>
      <w:r>
        <w:t>le·la</w:t>
      </w:r>
      <w:proofErr w:type="spellEnd"/>
      <w:r>
        <w:t xml:space="preserve"> </w:t>
      </w:r>
      <w:proofErr w:type="spellStart"/>
      <w:r>
        <w:t>conjoint·e</w:t>
      </w:r>
      <w:proofErr w:type="spellEnd"/>
      <w:r>
        <w:t xml:space="preserve"> distingue les bisexuelles des hétérosexuelles sur la modalité « </w:t>
      </w:r>
      <w:proofErr w:type="spellStart"/>
      <w:r>
        <w:t>conjoint·e</w:t>
      </w:r>
      <w:proofErr w:type="spellEnd"/>
      <w:r>
        <w:t xml:space="preserve"> plus jeune (5-9 ans) » (9,0 % contre 2,9). Les lesbiennes sont plus souvent sans enfant (76,3%) que les bisexuelles qui le sont plus souvent que les hétérosexuelles (45,4% contre 20,3%). Ici encore ces indicateurs d’écart d’âge et de parentalité semblent distinguer les bisexuelles des hétérosexuelles dans le couple. </w:t>
      </w:r>
    </w:p>
    <w:p w14:paraId="7719EC57" w14:textId="77777777" w:rsidR="00E2476B" w:rsidRDefault="00E2476B" w:rsidP="00E2476B">
      <w:pPr>
        <w:pStyle w:val="Titre3"/>
      </w:pPr>
      <w:bookmarkStart w:id="56" w:name="_Toc236751584"/>
      <w:bookmarkEnd w:id="55"/>
      <w:r>
        <w:lastRenderedPageBreak/>
        <w:t>Une moindre institutionnalisation du couple</w:t>
      </w:r>
      <w:bookmarkStart w:id="57" w:name="Xee52bb62696a3464f43f02e9815206e8ed21f17"/>
      <w:bookmarkStart w:id="58" w:name="Xdf8f04177617fcec97ca36a20b2fa633c9c84ac"/>
      <w:bookmarkEnd w:id="56"/>
    </w:p>
    <w:p w14:paraId="388CCB94" w14:textId="77777777" w:rsidR="00E2476B" w:rsidRDefault="00E2476B" w:rsidP="00E2476B">
      <w:pPr>
        <w:pStyle w:val="Corpsdetexte"/>
      </w:pPr>
      <w:r>
        <w:t xml:space="preserve">Pour creuser l’idée d’une spécificité relationnelle chez les femmes bisexuelles, nous avons effectué une régression logistique sur trois dimensions clés de l’institutionnalisation conjugale : le mariage, la cohabitation et la durée de la relation. Nous choisissons le mariage car c’est la forme d'officialisation la plus engageante juridiquement ; la cohabitation car c’est désormais elle qui institue le couple et la durée de relation comme indication d’un couple stabilisé. On cherche ici à vérifier si les femmes bisexuelles, bien qu'en couple très majoritairement avec des hommes, investissent des formes moins institutionnalisées de conjugalité que les femmes hétérosexuelles, à âge, type de couple, situation financière et statut parental égaux. Les résultats sont présentés ci-dessous, et le tableau détaillé est reporté en </w:t>
      </w:r>
      <w:hyperlink w:anchor="X148e7e3ab6dde3cb9666d238763c9d8f27cdb71">
        <w:r>
          <w:rPr>
            <w:rStyle w:val="Lienhypertexte"/>
          </w:rPr>
          <w:t>annexe n°2</w:t>
        </w:r>
      </w:hyperlink>
      <w:r>
        <w:t xml:space="preserve">. </w:t>
      </w:r>
    </w:p>
    <w:tbl>
      <w:tblPr>
        <w:tblStyle w:val="Table"/>
        <w:tblW w:w="5000" w:type="pct"/>
        <w:tblInd w:w="108" w:type="dxa"/>
        <w:tblLayout w:type="fixed"/>
        <w:tblLook w:val="0000" w:firstRow="0" w:lastRow="0" w:firstColumn="0" w:lastColumn="0" w:noHBand="0" w:noVBand="0"/>
      </w:tblPr>
      <w:tblGrid>
        <w:gridCol w:w="9404"/>
      </w:tblGrid>
      <w:tr w:rsidR="00E2476B" w14:paraId="3E59BF3F" w14:textId="77777777" w:rsidTr="0018419C">
        <w:tc>
          <w:tcPr>
            <w:tcW w:w="9404" w:type="dxa"/>
          </w:tcPr>
          <w:p w14:paraId="0C6ABDEB" w14:textId="77777777" w:rsidR="00E2476B" w:rsidRDefault="00E2476B" w:rsidP="0018419C">
            <w:pPr>
              <w:pStyle w:val="Tableauuser"/>
              <w:spacing w:before="0"/>
              <w:rPr>
                <w:rFonts w:eastAsia="Aptos"/>
              </w:rPr>
            </w:pPr>
            <w:r>
              <w:rPr>
                <w:rFonts w:ascii="Aptos" w:eastAsia="Aptos" w:hAnsi="Aptos"/>
              </w:rPr>
              <w:t>Figure 4 : Institutionnalisation du couple chez les femmes bisexuelles en couple dans l’année (régression logistique).</w:t>
            </w:r>
          </w:p>
          <w:p w14:paraId="760488FB" w14:textId="77777777" w:rsidR="00E2476B" w:rsidRDefault="00E2476B" w:rsidP="0018419C">
            <w:pPr>
              <w:pStyle w:val="Compact"/>
              <w:rPr>
                <w:rFonts w:eastAsia="Aptos"/>
              </w:rPr>
            </w:pPr>
            <w:r>
              <w:rPr>
                <w:noProof/>
              </w:rPr>
              <w:lastRenderedPageBreak/>
              <w:drawing>
                <wp:inline distT="0" distB="0" distL="0" distR="0" wp14:anchorId="0F7480DC" wp14:editId="03802D6D">
                  <wp:extent cx="5908072" cy="5908072"/>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14220" cy="5914220"/>
                          </a:xfrm>
                          <a:prstGeom prst="rect">
                            <a:avLst/>
                          </a:prstGeom>
                          <a:noFill/>
                        </pic:spPr>
                      </pic:pic>
                    </a:graphicData>
                  </a:graphic>
                </wp:inline>
              </w:drawing>
            </w:r>
            <w:bookmarkStart w:id="59" w:name="X6c3d426a4aa5f6f5677caf8e073109c7169f522"/>
            <w:bookmarkEnd w:id="59"/>
          </w:p>
          <w:p w14:paraId="2707F042"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Variables de contrôle :  identification sexuelle, âge, type de couple, situation financière, statut conjugal et parental. </w:t>
            </w:r>
          </w:p>
          <w:p w14:paraId="7698DD2E" w14:textId="77777777" w:rsidR="00E2476B"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Champ </w:t>
            </w:r>
            <w:r>
              <w:rPr>
                <w:rFonts w:ascii="Times New Roman" w:eastAsia="Arial" w:hAnsi="Times New Roman" w:cs="Times New Roman"/>
                <w:color w:val="000000"/>
                <w:sz w:val="14"/>
                <w:szCs w:val="14"/>
              </w:rPr>
              <w:t xml:space="preserve">: Ensemble des répondantes en couple, au moins 4 mois, au cours des douze mois précédant l’enquête Virage PG. Données pondérées. </w:t>
            </w:r>
            <w:r>
              <w:rPr>
                <w:rFonts w:ascii="Times New Roman" w:eastAsia="Arial" w:hAnsi="Times New Roman" w:cs="Times New Roman"/>
                <w:color w:val="000000"/>
                <w:sz w:val="14"/>
                <w:szCs w:val="14"/>
              </w:rPr>
              <w:br/>
            </w: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ont une probabilité significativement plus faible d’être mariées que les femmes hétérosexuelles (à variables de contrôle équivalentes).</w:t>
            </w:r>
          </w:p>
          <w:p w14:paraId="616A194E" w14:textId="77777777" w:rsidR="00E2476B" w:rsidRPr="00D3611F" w:rsidRDefault="00E2476B" w:rsidP="0018419C">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b/>
                <w:bCs/>
                <w:color w:val="000000"/>
                <w:sz w:val="14"/>
                <w:szCs w:val="14"/>
              </w:rPr>
              <w:t xml:space="preserve">Source : </w:t>
            </w:r>
            <w:r>
              <w:rPr>
                <w:rFonts w:ascii="Times New Roman" w:eastAsia="Arial" w:hAnsi="Times New Roman" w:cs="Times New Roman"/>
                <w:color w:val="000000"/>
                <w:sz w:val="14"/>
                <w:szCs w:val="14"/>
              </w:rPr>
              <w:t>Enquête Virage PG, Ined, 2015</w:t>
            </w:r>
          </w:p>
        </w:tc>
      </w:tr>
    </w:tbl>
    <w:p w14:paraId="140A9BAC" w14:textId="77777777" w:rsidR="00E2476B" w:rsidRDefault="00E2476B" w:rsidP="00E2476B">
      <w:pPr>
        <w:pStyle w:val="Corpsdetexte"/>
      </w:pPr>
      <w:bookmarkStart w:id="60" w:name="Xed8216ba60a7555fbc298aa740731002e3e1429"/>
      <w:bookmarkEnd w:id="57"/>
      <w:bookmarkEnd w:id="58"/>
      <w:bookmarkEnd w:id="60"/>
      <w:r>
        <w:t>Sur le graphique, les points situés à gauche de 0 indiquent une probabilité plus faible par rapport aux femmes hétérosexuelles que l'événement considéré se produise (être mariée, cohabiter, être en couple depuis plus de cinq ans). L'intervalle de confiance est significatif au seuil de 5 % dès lors qu'il ne chevauche pas 0.</w:t>
      </w:r>
    </w:p>
    <w:p w14:paraId="7602C968" w14:textId="77777777" w:rsidR="00E2476B" w:rsidRDefault="00E2476B" w:rsidP="00E2476B">
      <w:pPr>
        <w:pStyle w:val="Titre4"/>
      </w:pPr>
      <w:r>
        <w:lastRenderedPageBreak/>
        <w:t xml:space="preserve">Une mise à distance du mariage </w:t>
      </w:r>
    </w:p>
    <w:p w14:paraId="63F59643" w14:textId="77777777" w:rsidR="00E2476B" w:rsidRDefault="00E2476B" w:rsidP="00E2476B">
      <w:pPr>
        <w:pStyle w:val="Corpsdetexte"/>
      </w:pPr>
      <w:r>
        <w:t xml:space="preserve">Les femmes </w:t>
      </w:r>
      <w:proofErr w:type="spellStart"/>
      <w:r>
        <w:t>bies</w:t>
      </w:r>
      <w:proofErr w:type="spellEnd"/>
      <w:r>
        <w:t xml:space="preserve"> en couple ont une probabilité significativement plus faible d'être mariées que les hétérosexuelles, à âge, type de couple, situation financière et statut parental égaux. Les homosexuelles affichent un rapport de chance de même sens mais non significatif. Les difficultés financières réduisent la probabilité d'être mariée et le fait d’avoir des enfants l'augmente fortement.</w:t>
      </w:r>
    </w:p>
    <w:p w14:paraId="5F926F5D" w14:textId="77777777" w:rsidR="00E2476B" w:rsidRDefault="00E2476B" w:rsidP="00E2476B">
      <w:pPr>
        <w:pStyle w:val="Titre4"/>
      </w:pPr>
      <w:r>
        <w:t xml:space="preserve">Des durées d’union plus courtes </w:t>
      </w:r>
    </w:p>
    <w:p w14:paraId="0FC739A0" w14:textId="77777777" w:rsidR="00E2476B" w:rsidRDefault="00E2476B" w:rsidP="00E2476B">
      <w:pPr>
        <w:pStyle w:val="Corpsdetexte"/>
      </w:pPr>
      <w:r>
        <w:t xml:space="preserve">A caractéristiques égales, les femmes bisexuelles ont une probabilité plus faible d’être dans une relation depuis plus de 5 ans que les hétérosexuelles. L'effet reste non significatif pour les homosexuelles. Le statut conjugal (mariée ou pacsée) est l’indicateur qui a le plus d’effet sur la durée de l’union. </w:t>
      </w:r>
    </w:p>
    <w:p w14:paraId="68FA65BF" w14:textId="77777777" w:rsidR="00E2476B" w:rsidRDefault="00E2476B" w:rsidP="00E2476B">
      <w:pPr>
        <w:pStyle w:val="Titre4"/>
      </w:pPr>
      <w:r>
        <w:t>La cohabitation comme reflet du statut juridique de l’union</w:t>
      </w:r>
    </w:p>
    <w:p w14:paraId="691E3A2F" w14:textId="77777777" w:rsidR="00E2476B" w:rsidRDefault="00E2476B" w:rsidP="00E2476B">
      <w:pPr>
        <w:pStyle w:val="Corpsdetexte"/>
      </w:pPr>
      <w:r>
        <w:t>Le lien entre l'identification sexuelle et la cohabitation n’est pas significatif. Ce résultat est intéressant en soi : une fois contrôlé par le statut juridique du couple, qui capte l'essentiel de la variance, l'identification sexuelle n'explique plus la cohabitation. La moindre cohabitation constatée en analyse descriptive découle du fait que les femmes bisexuelles sont moins souvent mariées. Ce résultat est cohérent avec l’enquête Envie qui ne montre pas de différenciation de la cohabitation selon l’identification sexuelle (Rault et Régnier-</w:t>
      </w:r>
      <w:proofErr w:type="spellStart"/>
      <w:r>
        <w:t>Loilier</w:t>
      </w:r>
      <w:proofErr w:type="spellEnd"/>
      <w:r>
        <w:t xml:space="preserve"> 2025). </w:t>
      </w:r>
    </w:p>
    <w:p w14:paraId="47AB0932" w14:textId="77777777" w:rsidR="00E2476B" w:rsidRDefault="00E2476B" w:rsidP="00E2476B">
      <w:pPr>
        <w:pStyle w:val="Corpsdetexte"/>
      </w:pPr>
      <w:r>
        <w:t xml:space="preserve">Pris ensemble, ces trois modèles confirment l’hypothèse selon laquelle les femmes bisexuelles sont dans des situations conjugales moins institutionnalisées et qu’elles s’écartent de l’hétérosexualité, y compris quand elles sont en couple avec un homme : elles se marient moins et sont dans des relations plus courtes que les hétérosexuelles, en revanche rien n’indique qu’elles cohabitent moins souvent une fois en couple. A la fin des années 1970 les standards d’un mariage réussi ont évolué : il est désormais possible d’être marié sans enfant et avec deux comptes bancaires faisant perdre son importance à la fonction économique et procréative du mariage. Les époux doivent désormais être attirés l’un par l’autre, sexuellement actifs et se considérer comme meilleurs amis mutuels. L’affichage d’une attirance pour l’autre sexe devient une part de la féminité/masculinité et les rôles de père/mari et mère/femme définissent moins hommes et femmes que ce n’était le cas un siècle plus tôt (Rust, 2002). L’institution du mariage s’est transformée et elle n’intervient plus au même stade du couple. Florence </w:t>
      </w:r>
      <w:proofErr w:type="spellStart"/>
      <w:r>
        <w:t>Maillochon</w:t>
      </w:r>
      <w:proofErr w:type="spellEnd"/>
      <w:r>
        <w:t xml:space="preserve"> le montre, le mariage contemporain n’a plus la même fonction symbolique : de seuil d’accès à la vie de couple il sert désormais d’acte de valorisation et </w:t>
      </w:r>
      <w:r>
        <w:lastRenderedPageBreak/>
        <w:t>de reconnaissance publique d’une union déjà installée (</w:t>
      </w:r>
      <w:proofErr w:type="spellStart"/>
      <w:r>
        <w:t>Maillochon</w:t>
      </w:r>
      <w:proofErr w:type="spellEnd"/>
      <w:r>
        <w:t xml:space="preserve"> 2019). La cohabitation prénuptiale, en très forte hausse entre 1960 et 1980 (Bozon 2006c), devient le véritable marqueur de la vie commune. </w:t>
      </w:r>
    </w:p>
    <w:p w14:paraId="078CA121" w14:textId="77777777" w:rsidR="00E2476B" w:rsidRDefault="00E2476B" w:rsidP="00E2476B">
      <w:pPr>
        <w:pStyle w:val="Corpsdetexte"/>
      </w:pPr>
      <w:r>
        <w:t>Ce résultat pose la question de la signification du mariage pour les femmes bisexuelles. Nous proposons plus pistes d’interprétations : on peut tout d’abord y lire une mise à distance vis-à-vis d’une institution régie par un principe hétérosexuelle dyadique (</w:t>
      </w:r>
      <w:proofErr w:type="spellStart"/>
      <w:r>
        <w:t>Klesse</w:t>
      </w:r>
      <w:proofErr w:type="spellEnd"/>
      <w:r>
        <w:t xml:space="preserve"> 2018), lui préférant l’union libre cohabitante. En introduisant au cœur de leur identité la multiplicité (</w:t>
      </w:r>
      <w:proofErr w:type="spellStart"/>
      <w:r>
        <w:t>Dusseau</w:t>
      </w:r>
      <w:proofErr w:type="spellEnd"/>
      <w:r>
        <w:t xml:space="preserve"> 2017), les femmes bisexuelles peuvent vouloir rejeter une institution matrimoniale qui efface leur identification sexuelle. La moindre institutionnalisation matrimoniale observée ici pourrait alors être une expression, parmi d'autres, de cette distance au modèle conjugal hétéronormé. Cette piste doit toutefois être nuancée : aux États-Unis, les femmes </w:t>
      </w:r>
      <w:proofErr w:type="spellStart"/>
      <w:r>
        <w:t>bies</w:t>
      </w:r>
      <w:proofErr w:type="spellEnd"/>
      <w:r>
        <w:t xml:space="preserve"> sont les plus souvent en couple parmi les personnes LGB et invoquent les mêmes raisons de se marier que la population hétérosexuelle (Gates 2015).</w:t>
      </w:r>
    </w:p>
    <w:p w14:paraId="390E19EC" w14:textId="77777777" w:rsidR="00E2476B" w:rsidRDefault="00E2476B" w:rsidP="00E2476B">
      <w:pPr>
        <w:pStyle w:val="Corpsdetexte"/>
      </w:pPr>
      <w:r>
        <w:t xml:space="preserve">Le moindre recours au mariage peut aussi se lire à la lumière du constat de Rault et Lambert selon lequel les personnes ayant eu des pratiques sexuelles avec une personne de même sexe, et en particulier les femmes, associent moins sexualité, sentiment amoureux et conjugalité que les personnes ayant uniquement eu des pratiques hétérosexuelles (Rault et Lambert 2019). On l’a vu, les femmes bisexuelles sont plus souvent en couple que leurs homologues masculins. Cela peut être expliquée par une meilleure acceptabilité de la bisexualité féminine mais aussi par un poids différent de la conjugalité chez les femmes. L’éloignement vis-à-vis du mariage peut alors être une stratégie pour maintenir des possibilités amoureuses et sexuelles plus larges, même en couple. </w:t>
      </w:r>
    </w:p>
    <w:p w14:paraId="6D054FA5" w14:textId="77777777" w:rsidR="00E2476B" w:rsidRDefault="00E2476B" w:rsidP="00E2476B">
      <w:pPr>
        <w:pStyle w:val="Corpsdetexte"/>
      </w:pPr>
      <w:r>
        <w:t xml:space="preserve">Concernant la longévité des relations, beaucoup de stéréotypes sur les personnes bisexuelles concerne leur prétendue incapacité à avoir un engagement de long terme avec un partenaire amoureux parce qu’elles auraient besoin à la fois de partenaires hommes et femmes. Dans la recherche anglophone, seule une faible proportion des personnes qui se disent </w:t>
      </w:r>
      <w:proofErr w:type="spellStart"/>
      <w:r>
        <w:t>bies</w:t>
      </w:r>
      <w:proofErr w:type="spellEnd"/>
      <w:r>
        <w:t xml:space="preserve"> sont dans ce cas. Un tiers ont eu des relations d’au moins dix ans et la durée moyenne de mariage des hommes bis ayant été marié est de 8 ans (Rust 2002). Chez les hommes et les femmes la plus longue relation est avec quelqu’un de l’autre sexe. Les hétéros reportent les plus longues relations, suivis des bis, des lesbiennes et des gays. Selon Paula Rust, cette longévité a plus à voir avec l’approbation sociale et la reconnaissance légale via le mariage qu’avec l’orientation sexuelle. </w:t>
      </w:r>
    </w:p>
    <w:p w14:paraId="7FCD4FC5" w14:textId="5D25E003" w:rsidR="00E2476B" w:rsidRDefault="00E2476B" w:rsidP="00E2476B">
      <w:pPr>
        <w:pStyle w:val="Corpsdetexte"/>
      </w:pPr>
      <w:r>
        <w:lastRenderedPageBreak/>
        <w:t xml:space="preserve">Les hypothèses formulées concernant le moindre recours au mariage des femmes bisexuelles et le plus grand célibat des hommes bis se rejoignent en partie : dans une approche identitaire de la bisexualité, qui est celle qui prévaut ici avec le critère de l’identification, le couple invisibilise la bisexualité. Comment faire vivre son identité bisexuelle dans une forme relationnelle qui fige l’attention amoureuse et sexuelle sur une personne. Dans cette perspective, le célibat et l’union libre peuvent être des stratégies d’appropriation de la bisexualité. Attention toutefois à ne pas le penser comme unique piste explicative : il y a plusieurs bisexualités et plusieurs rapports au couple dans la bisexualité. Une approche plus matérielle montre aussi une vulnérabilité économique spécifique des femmes bisexuelles dans le couple. Cet éloignement vis-à-vis du mariage et de relations longues et instituées peut aussi être synonyme de plus grande précarité, puisqu’elles évoluent tout de même dans des relations où les rapports de genre sont à leur défaveur. </w:t>
      </w:r>
    </w:p>
    <w:p w14:paraId="21CBB3BD" w14:textId="77777777" w:rsidR="00E2476B" w:rsidRDefault="00E2476B" w:rsidP="00E2476B">
      <w:pPr>
        <w:pStyle w:val="Titre1"/>
      </w:pPr>
      <w:bookmarkStart w:id="61" w:name="__RefHeading___Toc52638_3216639541"/>
      <w:r>
        <w:t>Chapitre II : Qualité des relations, conflits et styles de conjugalités bisexuelles</w:t>
      </w:r>
      <w:bookmarkEnd w:id="61"/>
    </w:p>
    <w:p w14:paraId="1EBB1A07" w14:textId="77777777" w:rsidR="00E2476B" w:rsidRDefault="00E2476B" w:rsidP="00E2476B">
      <w:pPr>
        <w:pStyle w:val="Textbody"/>
      </w:pPr>
      <w:r>
        <w:t xml:space="preserve">Après avoir cerné les configurations conjugales dans lesquelles se trouvent les </w:t>
      </w:r>
      <w:proofErr w:type="spellStart"/>
      <w:r>
        <w:t>bisexuel∙les</w:t>
      </w:r>
      <w:proofErr w:type="spellEnd"/>
      <w:r>
        <w:t xml:space="preserve">, nous étudions maintenant la nature de leurs relations. Nous nous basons sur le concept des styles d’interactions conjugales définit notamment par Jean Kellerhals (Kellerhals, </w:t>
      </w:r>
      <w:proofErr w:type="spellStart"/>
      <w:r>
        <w:t>Coenen-Huther</w:t>
      </w:r>
      <w:proofErr w:type="spellEnd"/>
      <w:r>
        <w:t xml:space="preserve"> et </w:t>
      </w:r>
      <w:proofErr w:type="spellStart"/>
      <w:r>
        <w:t>Modak</w:t>
      </w:r>
      <w:proofErr w:type="spellEnd"/>
      <w:r>
        <w:t xml:space="preserve"> </w:t>
      </w:r>
      <w:proofErr w:type="gramStart"/>
      <w:r>
        <w:t>1987;</w:t>
      </w:r>
      <w:proofErr w:type="gramEnd"/>
      <w:r>
        <w:t xml:space="preserve"> Widmer, Kellerhals et Lévy 2004) à partir de plusieurs dimensions : le degré d'autonomie des conjoints dans le couple, l’ouverture du couple à son environnement, le degré de sexuation des rôles conjugaux et domestiques et la différenciation du pouvoir décisionnel. Ces dimensions de cohésion et régulation du couple permettent d'établir différents styles d'interactions conjugales, fortement corrélés à la position du couple dans la structure sociale. Contrairement aux théories qui postulent la fin de la famille traditionnelle et l'avènement du couple moderne standardisé et fondé sur la norme d'égalité, ces recherches montrent qu'il existe une diversité de modèles conjugaux et familiaux. Si la norme conjugale persiste, elle s’accompagne à partir de la deuxième partie du XXème siècle d’un ethos égalitaire et de l’émergence de l’autonomie individuelle au sein du couple (Clair </w:t>
      </w:r>
      <w:proofErr w:type="gramStart"/>
      <w:r>
        <w:t>2011;</w:t>
      </w:r>
      <w:proofErr w:type="gramEnd"/>
      <w:r>
        <w:t xml:space="preserve"> Singly 2003). Les styles d'interactions décrivent les rapports qu’entretiennent les individus à ces dimensions structurantes du couple. Ils influencent la nature et la fréquence des conflits, leurs modes de résolution ainsi que l'évaluation de la qualité des relations conjugales.</w:t>
      </w:r>
    </w:p>
    <w:p w14:paraId="0AE23325" w14:textId="77777777" w:rsidR="00E2476B" w:rsidRDefault="00E2476B" w:rsidP="00E2476B">
      <w:pPr>
        <w:pStyle w:val="Textbody"/>
      </w:pPr>
      <w:r>
        <w:lastRenderedPageBreak/>
        <w:t>Contrairement aux travaux de Kellerhals, l'enquête Virage n'est pas pensée pour étudier des couples mais bien des individus au sein de couples, limitant l’étude des interactions. Nous parlerons ainsi de styles de conjugalités, en étudiant les conceptions liées au couple, la sociabilité externe au couple et les représentations conjugales et familiales héritées des parents. L’objectif n’est pas ici de produire des typologies de styles de conjugalités mais plutôt de soulever certaines spécificités des conjugalités bisexuelles.</w:t>
      </w:r>
    </w:p>
    <w:p w14:paraId="22D0D98D" w14:textId="77777777" w:rsidR="00E2476B" w:rsidRDefault="00E2476B" w:rsidP="00E2476B">
      <w:pPr>
        <w:pStyle w:val="Textbody"/>
      </w:pPr>
      <w:r>
        <w:t>Nous formulons trois hypothèses pour guider ce travail.</w:t>
      </w:r>
    </w:p>
    <w:p w14:paraId="4136B829" w14:textId="77777777" w:rsidR="00E2476B" w:rsidRDefault="00E2476B" w:rsidP="00E2476B">
      <w:pPr>
        <w:pStyle w:val="Textbody"/>
        <w:numPr>
          <w:ilvl w:val="0"/>
          <w:numId w:val="15"/>
        </w:numPr>
      </w:pPr>
      <w:r>
        <w:rPr>
          <w:b/>
          <w:bCs/>
        </w:rPr>
        <w:t>Première hypothèse</w:t>
      </w:r>
      <w:r>
        <w:t xml:space="preserve"> : </w:t>
      </w:r>
      <w:r>
        <w:rPr>
          <w:i/>
          <w:iCs/>
        </w:rPr>
        <w:t>les styles de conjugalités sont influencés par l'appartenance sociale des individus</w:t>
      </w:r>
      <w:r>
        <w:t xml:space="preserve">. La valorisation de l’autonomie des conjoints est particulièrement forte dans les milieux dotés en capitaux économiques et culturels (Widmer, Kellerhals et Lévy </w:t>
      </w:r>
      <w:proofErr w:type="gramStart"/>
      <w:r>
        <w:t>2004;</w:t>
      </w:r>
      <w:proofErr w:type="gramEnd"/>
      <w:r>
        <w:t xml:space="preserve"> De Singly 2003) tandis que la valorisation du commun, du consensus, du similaire l’est davantage dans les couples moins dotés. L’autonomie s’accompagne d’une valorisation des échanges avec l’extérieur dans le cas des couples à forts capitaux, alors que le style fusionnel des couples des milieux populaires est associé à une plus grande fermeture par rapport à l’extérieur. La sexuation et la complémentarité des fonctionnement conjugaux et du pouvoir décisionnel est marquée dans les milieux populaires</w:t>
      </w:r>
    </w:p>
    <w:p w14:paraId="6B43D0BD" w14:textId="77777777" w:rsidR="00E2476B" w:rsidRDefault="00E2476B" w:rsidP="00E2476B">
      <w:pPr>
        <w:pStyle w:val="Textbody"/>
        <w:numPr>
          <w:ilvl w:val="0"/>
          <w:numId w:val="15"/>
        </w:numPr>
      </w:pPr>
      <w:r>
        <w:rPr>
          <w:b/>
          <w:bCs/>
        </w:rPr>
        <w:t>Deuxième hypothèse </w:t>
      </w:r>
      <w:r>
        <w:t xml:space="preserve">: </w:t>
      </w:r>
      <w:r>
        <w:rPr>
          <w:i/>
          <w:iCs/>
        </w:rPr>
        <w:t>L’âge et la phase de vie sont déterminants dans les styles de conjugalités.</w:t>
      </w:r>
      <w:r>
        <w:t xml:space="preserve"> Kellerhals soutient que la génération et la phase de vie n’ont pas d’effet sur les styles d’interactions. Nous pensons au contraire que l’ethos égalitaire du couple (Clair, 2011) et la norme de l’autonomie individuelle dans le couple (De Singly, 2003) s’expriment différemment selon les générations. Cet idéal du couple, quand il s’accompagne de la persistance d’inégalités domestiques et professionnelles est source de conflits spécifiques (Widmer, 2004). Ainsi nous observerons les effets de l’appartenance d’âge mais aussi du statut marital et parental sur les styles de conjugalité, toujours couplé à la position sociale.</w:t>
      </w:r>
    </w:p>
    <w:p w14:paraId="23ABC651" w14:textId="77777777" w:rsidR="00E2476B" w:rsidRDefault="00E2476B" w:rsidP="00E2476B">
      <w:pPr>
        <w:pStyle w:val="Textbody"/>
        <w:numPr>
          <w:ilvl w:val="0"/>
          <w:numId w:val="15"/>
        </w:numPr>
      </w:pPr>
      <w:r>
        <w:rPr>
          <w:b/>
          <w:bCs/>
        </w:rPr>
        <w:t>Troisième hypothèse </w:t>
      </w:r>
      <w:r>
        <w:t xml:space="preserve">: </w:t>
      </w:r>
      <w:r>
        <w:rPr>
          <w:i/>
          <w:iCs/>
        </w:rPr>
        <w:t xml:space="preserve">le genre du partenaire des personnes bisexuelles influence les styles de conjugalités, l’évaluation de la qualité de la relation et les sujets de conflit. </w:t>
      </w:r>
      <w:r>
        <w:t xml:space="preserve">Les représentations liées au couple et les modes de vie ne sont pas les mêmes entre couples homosexuels et hétérosexuels. Il conviendra d’étudier l’effet du type de couple chez </w:t>
      </w:r>
      <w:proofErr w:type="gramStart"/>
      <w:r>
        <w:t xml:space="preserve">les </w:t>
      </w:r>
      <w:proofErr w:type="spellStart"/>
      <w:r>
        <w:t>bisexuel</w:t>
      </w:r>
      <w:proofErr w:type="gramEnd"/>
      <w:r>
        <w:t>·les</w:t>
      </w:r>
      <w:proofErr w:type="spellEnd"/>
      <w:r>
        <w:t>.</w:t>
      </w:r>
    </w:p>
    <w:p w14:paraId="0FE3DB62" w14:textId="77777777" w:rsidR="00E2476B" w:rsidRDefault="00E2476B" w:rsidP="00E2476B">
      <w:pPr>
        <w:pStyle w:val="Textbody"/>
      </w:pPr>
      <w:r>
        <w:rPr>
          <w:b/>
          <w:bCs/>
          <w:i/>
          <w:iCs/>
        </w:rPr>
        <w:lastRenderedPageBreak/>
        <w:t>Question de recherche : Y a-t-il une spécificité des personnes bisexuelles dans les styles de conjugalités ?</w:t>
      </w:r>
    </w:p>
    <w:p w14:paraId="3363FCCB" w14:textId="77777777" w:rsidR="00E2476B" w:rsidRDefault="00E2476B" w:rsidP="00E2476B">
      <w:pPr>
        <w:pStyle w:val="Textbody"/>
      </w:pPr>
      <w:r>
        <w:t xml:space="preserve">Dans virage PG on a vu que les femmes bisexuelles étaient moins souvent mariées et dans des relations moins longues que les hétérosexuelles. Cela laisse supposer des styles de conjugalités différents. Les hommes bisexuels quant à eux, surtout célibataires, sont difficilement saisis dans leur rapport au couple. Nous mobiliserons certaines questions posées à l’ensemble des répondant∙es et creuserons les styles de conjugalités des hommes bisexuels grâce à l’échantillon de convenance de Virage LGBT.  </w:t>
      </w:r>
    </w:p>
    <w:p w14:paraId="1DE5C872" w14:textId="77777777" w:rsidR="00E2476B" w:rsidRDefault="00E2476B" w:rsidP="00E2476B">
      <w:pPr>
        <w:pStyle w:val="Textbody"/>
      </w:pPr>
      <w:r>
        <w:t>Les styles de conjugalités influencent l’évaluation de la qualité des relations et le conflit conjugal. Nous commencerons donc par étudier les styles de conjugalités au travers des conceptions liées au couple, de la sociabilité extérieure au couple et des représentations conjugales et familiales héritées dans l’enfance. Cela nous permettra de poursuivre sur la qualité des relations, évaluées grâce à différents critères : le degré de satisfaction conjugale, le sentiment amoureux, l’intention de rupture, la déclaration d’une dépression ou d’anxiété. Enfin nous conclurons ce chapitre par les sujets de conflits au sein des couples.</w:t>
      </w:r>
    </w:p>
    <w:p w14:paraId="134788F2" w14:textId="77777777" w:rsidR="00E2476B" w:rsidRDefault="00E2476B" w:rsidP="00E2476B">
      <w:pPr>
        <w:pStyle w:val="Titre2"/>
        <w:numPr>
          <w:ilvl w:val="0"/>
          <w:numId w:val="24"/>
        </w:numPr>
        <w:ind w:left="720" w:hanging="360"/>
      </w:pPr>
      <w:bookmarkStart w:id="62" w:name="__RefHeading___Toc52640_3216639541"/>
      <w:bookmarkStart w:id="63" w:name="_Toc237679773"/>
      <w:r>
        <w:t>Les styles de conjugalités</w:t>
      </w:r>
      <w:bookmarkEnd w:id="62"/>
    </w:p>
    <w:p w14:paraId="3A5D62FD" w14:textId="77777777" w:rsidR="00E2476B" w:rsidRDefault="00E2476B" w:rsidP="00E2476B">
      <w:pPr>
        <w:pStyle w:val="Titre3"/>
      </w:pPr>
      <w:bookmarkStart w:id="64" w:name="__RefHeading___Toc52642_3216639541"/>
      <w:r>
        <w:t>Les conceptions de la conjugalité</w:t>
      </w:r>
      <w:bookmarkEnd w:id="63"/>
      <w:bookmarkEnd w:id="64"/>
    </w:p>
    <w:p w14:paraId="2BAB4ACB" w14:textId="77777777" w:rsidR="00E2476B" w:rsidRDefault="00E2476B" w:rsidP="00E2476B">
      <w:pPr>
        <w:pStyle w:val="Textbody"/>
      </w:pPr>
      <w:r>
        <w:t>A partir du milieu du XXème siècle l’intimité familiale se transforme pour laisser place à une certaine intimité personnelle des membres du couple (Singly, 2003). L’indépendance et l’autonomie sont au cœur de l’identité individuelle et les individus ne se définissent plus à partir de leur appartenance au couple. Les conceptions de la conjugalité évoluent, intégrant les idéaux d’épanouissement et de liberté individuelle. En même temps, si les parcours conjugaux et les formes d’union se diversifient, la norme conjugale reste dominante (Bergström, 2019). Il ne s’agit pas de s’extraire du couple, il reste la condition d’une vie heureuse, mais de faire couple sans empiéter sur la réalisation individuelle.</w:t>
      </w:r>
    </w:p>
    <w:p w14:paraId="65612124" w14:textId="77777777" w:rsidR="00E2476B" w:rsidRDefault="00E2476B" w:rsidP="00E2476B">
      <w:pPr>
        <w:pStyle w:val="Textbody"/>
      </w:pPr>
      <w:r>
        <w:t>Pour cerner les conceptions de la conjugalité dans l’enquête Virage nous nous intéressons à deux questions :</w:t>
      </w:r>
    </w:p>
    <w:p w14:paraId="5A414249" w14:textId="77777777" w:rsidR="00E2476B" w:rsidRDefault="00E2476B" w:rsidP="00E2476B">
      <w:pPr>
        <w:pStyle w:val="Textbody"/>
        <w:pBdr>
          <w:top w:val="single" w:sz="4" w:space="1" w:color="000000"/>
          <w:left w:val="single" w:sz="4" w:space="4" w:color="000000"/>
          <w:bottom w:val="single" w:sz="4" w:space="1" w:color="000000"/>
          <w:right w:val="single" w:sz="4" w:space="4" w:color="000000"/>
        </w:pBdr>
      </w:pPr>
      <w:r>
        <w:rPr>
          <w:b/>
          <w:bCs/>
        </w:rPr>
        <w:t>Question 1 :</w:t>
      </w:r>
      <w:r>
        <w:t xml:space="preserve"> Dites-moi si vous êtes tout-à-fait d'accord, plutôt d'accord, plutôt pas d’accord, pas du tout d'accord avec cette proposition : </w:t>
      </w:r>
      <w:r>
        <w:rPr>
          <w:i/>
          <w:iCs/>
        </w:rPr>
        <w:t>« Dans un couple, il faut tout faire ensemble. »</w:t>
      </w:r>
    </w:p>
    <w:p w14:paraId="1498CD0E" w14:textId="77777777" w:rsidR="00E2476B" w:rsidRDefault="00E2476B" w:rsidP="00E2476B">
      <w:pPr>
        <w:pStyle w:val="Textbody"/>
        <w:pBdr>
          <w:top w:val="single" w:sz="4" w:space="1" w:color="000000"/>
          <w:left w:val="single" w:sz="4" w:space="4" w:color="000000"/>
          <w:bottom w:val="single" w:sz="4" w:space="1" w:color="000000"/>
          <w:right w:val="single" w:sz="4" w:space="4" w:color="000000"/>
        </w:pBdr>
      </w:pPr>
      <w:r>
        <w:rPr>
          <w:b/>
          <w:bCs/>
        </w:rPr>
        <w:lastRenderedPageBreak/>
        <w:t>Question 2 :</w:t>
      </w:r>
      <w:r>
        <w:t xml:space="preserve"> Dites-moi si vous êtes tout-à-fait d'accord, plutôt d'accord, plutôt pas d’accord, pas du tout d'accord avec cette proposition : </w:t>
      </w:r>
      <w:r>
        <w:rPr>
          <w:i/>
          <w:iCs/>
        </w:rPr>
        <w:t>« Dans un couple, il faut faire des compromis pour ne pas contrarier l'autre. »</w:t>
      </w:r>
    </w:p>
    <w:p w14:paraId="44FF4018" w14:textId="77777777" w:rsidR="00E2476B" w:rsidRDefault="00E2476B" w:rsidP="00E2476B">
      <w:pPr>
        <w:pStyle w:val="Textbody"/>
      </w:pPr>
      <w:r>
        <w:t>Les deux questions éclairent la dimension de fusion / autonomie du couple. D’une part via le temps passé ensemble, d’autre part à travers le rapport au compromis. Les questions sont posées à l'ensemble de l'échantillon, en couple ou non. Ici, les nuances dans les réponses ont été effacées, produisant deux catégories binaires « d’accord » / « pas d’accord » réductrices mais nécessaires à l’analyse statistique.</w:t>
      </w:r>
    </w:p>
    <w:p w14:paraId="0F4AA06E" w14:textId="77777777" w:rsidR="00E2476B" w:rsidRDefault="00E2476B" w:rsidP="00E2476B">
      <w:r>
        <w:t>Table 3 : Les conceptions de la conjugalité selon l’identification sexuelle et le genre.</w:t>
      </w:r>
    </w:p>
    <w:tbl>
      <w:tblPr>
        <w:tblW w:w="5000" w:type="pct"/>
        <w:jc w:val="center"/>
        <w:tblLayout w:type="fixed"/>
        <w:tblCellMar>
          <w:left w:w="10" w:type="dxa"/>
          <w:right w:w="10" w:type="dxa"/>
        </w:tblCellMar>
        <w:tblLook w:val="0000" w:firstRow="0" w:lastRow="0" w:firstColumn="0" w:lastColumn="0" w:noHBand="0" w:noVBand="0"/>
      </w:tblPr>
      <w:tblGrid>
        <w:gridCol w:w="1108"/>
        <w:gridCol w:w="829"/>
        <w:gridCol w:w="828"/>
        <w:gridCol w:w="841"/>
        <w:gridCol w:w="827"/>
        <w:gridCol w:w="829"/>
        <w:gridCol w:w="827"/>
        <w:gridCol w:w="827"/>
        <w:gridCol w:w="827"/>
        <w:gridCol w:w="827"/>
        <w:gridCol w:w="814"/>
      </w:tblGrid>
      <w:tr w:rsidR="00E2476B" w14:paraId="39E002D5" w14:textId="77777777" w:rsidTr="0018419C">
        <w:trPr>
          <w:tblHeader/>
          <w:jc w:val="center"/>
        </w:trPr>
        <w:tc>
          <w:tcPr>
            <w:tcW w:w="1109" w:type="dxa"/>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3CF948EB"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2502" w:type="dxa"/>
            <w:gridSpan w:val="3"/>
            <w:tcBorders>
              <w:top w:val="single" w:sz="8" w:space="0" w:color="000000"/>
              <w:bottom w:val="single" w:sz="8" w:space="0" w:color="000000"/>
            </w:tcBorders>
            <w:shd w:val="clear" w:color="auto" w:fill="FFFFFF"/>
            <w:tcMar>
              <w:top w:w="0" w:type="dxa"/>
              <w:left w:w="0" w:type="dxa"/>
              <w:bottom w:w="0" w:type="dxa"/>
              <w:right w:w="0" w:type="dxa"/>
            </w:tcMar>
            <w:vAlign w:val="center"/>
          </w:tcPr>
          <w:p w14:paraId="426F389C"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489" w:type="dxa"/>
            <w:gridSpan w:val="3"/>
            <w:tcBorders>
              <w:top w:val="single" w:sz="8" w:space="0" w:color="000000"/>
              <w:bottom w:val="single" w:sz="8" w:space="0" w:color="000000"/>
            </w:tcBorders>
            <w:shd w:val="clear" w:color="auto" w:fill="FFFFFF"/>
            <w:tcMar>
              <w:top w:w="0" w:type="dxa"/>
              <w:left w:w="0" w:type="dxa"/>
              <w:bottom w:w="0" w:type="dxa"/>
              <w:right w:w="0" w:type="dxa"/>
            </w:tcMar>
            <w:vAlign w:val="center"/>
          </w:tcPr>
          <w:p w14:paraId="3FDB9F53"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658" w:type="dxa"/>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677C072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LGBT — Femmes</w:t>
            </w:r>
          </w:p>
        </w:tc>
        <w:tc>
          <w:tcPr>
            <w:tcW w:w="1645" w:type="dxa"/>
            <w:gridSpan w:val="2"/>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C2B0809"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LGBT — Hommes</w:t>
            </w:r>
          </w:p>
        </w:tc>
      </w:tr>
      <w:tr w:rsidR="00E2476B" w14:paraId="452E65E2" w14:textId="77777777" w:rsidTr="0018419C">
        <w:trPr>
          <w:tblHeader/>
          <w:jc w:val="center"/>
        </w:trPr>
        <w:tc>
          <w:tcPr>
            <w:tcW w:w="1109" w:type="dxa"/>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61D97CBE"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830"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6F937D48"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083A2174"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(135)</w:t>
            </w:r>
            <w:r>
              <w:rPr>
                <w:rFonts w:ascii="Times New Roman" w:eastAsia="Arial" w:hAnsi="Times New Roman" w:cs="Times New Roman"/>
                <w:color w:val="000000"/>
                <w:sz w:val="14"/>
                <w:szCs w:val="14"/>
                <w:vertAlign w:val="superscript"/>
              </w:rPr>
              <w:t>1</w:t>
            </w:r>
          </w:p>
        </w:tc>
        <w:tc>
          <w:tcPr>
            <w:tcW w:w="843"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39222101"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(15 297)</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6D58F03D"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(180)</w:t>
            </w:r>
            <w:r>
              <w:rPr>
                <w:rFonts w:ascii="Times New Roman" w:eastAsia="Arial" w:hAnsi="Times New Roman" w:cs="Times New Roman"/>
                <w:color w:val="000000"/>
                <w:sz w:val="14"/>
                <w:szCs w:val="14"/>
                <w:vertAlign w:val="superscript"/>
              </w:rPr>
              <w:t>1</w:t>
            </w:r>
          </w:p>
        </w:tc>
        <w:tc>
          <w:tcPr>
            <w:tcW w:w="831"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08053BF1"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4BD92FB1"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(11 422)</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66077A68"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(2 362)</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47EFD13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(654)</w:t>
            </w:r>
            <w:r>
              <w:rPr>
                <w:rFonts w:ascii="Times New Roman" w:eastAsia="Arial" w:hAnsi="Times New Roman" w:cs="Times New Roman"/>
                <w:color w:val="000000"/>
                <w:sz w:val="14"/>
                <w:szCs w:val="14"/>
                <w:vertAlign w:val="superscript"/>
              </w:rPr>
              <w:t>1</w:t>
            </w:r>
          </w:p>
        </w:tc>
        <w:tc>
          <w:tcPr>
            <w:tcW w:w="82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5639A788"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(2 954)</w:t>
            </w:r>
            <w:r>
              <w:rPr>
                <w:rFonts w:ascii="Times New Roman" w:eastAsia="Arial" w:hAnsi="Times New Roman" w:cs="Times New Roman"/>
                <w:color w:val="000000"/>
                <w:sz w:val="14"/>
                <w:szCs w:val="14"/>
                <w:vertAlign w:val="superscript"/>
              </w:rPr>
              <w:t>1</w:t>
            </w:r>
          </w:p>
        </w:tc>
        <w:tc>
          <w:tcPr>
            <w:tcW w:w="816" w:type="dxa"/>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CDCFEF8"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(315)</w:t>
            </w:r>
            <w:r>
              <w:rPr>
                <w:rFonts w:ascii="Times New Roman" w:eastAsia="Arial" w:hAnsi="Times New Roman" w:cs="Times New Roman"/>
                <w:color w:val="000000"/>
                <w:sz w:val="14"/>
                <w:szCs w:val="14"/>
                <w:vertAlign w:val="superscript"/>
              </w:rPr>
              <w:t>1</w:t>
            </w:r>
          </w:p>
        </w:tc>
      </w:tr>
      <w:tr w:rsidR="00E2476B" w14:paraId="54AB55BE" w14:textId="77777777" w:rsidTr="0018419C">
        <w:trPr>
          <w:jc w:val="center"/>
        </w:trPr>
        <w:tc>
          <w:tcPr>
            <w:tcW w:w="9403" w:type="dxa"/>
            <w:gridSpan w:val="11"/>
            <w:tcBorders>
              <w:top w:val="single" w:sz="8" w:space="0" w:color="000000"/>
              <w:left w:val="single" w:sz="8" w:space="0" w:color="000000"/>
              <w:right w:val="single" w:sz="8" w:space="0" w:color="000000"/>
            </w:tcBorders>
            <w:shd w:val="clear" w:color="auto" w:fill="FFFFFF"/>
            <w:tcMar>
              <w:top w:w="0" w:type="dxa"/>
              <w:left w:w="0" w:type="dxa"/>
              <w:bottom w:w="0" w:type="dxa"/>
              <w:right w:w="0" w:type="dxa"/>
            </w:tcMar>
          </w:tcPr>
          <w:p w14:paraId="20075743"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Dans un couple, il faut tout faire ensemble</w:t>
            </w:r>
          </w:p>
        </w:tc>
      </w:tr>
      <w:tr w:rsidR="00E2476B" w14:paraId="7050C2EF" w14:textId="77777777" w:rsidTr="0018419C">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4C0540E6" w14:textId="77777777" w:rsidR="00E2476B" w:rsidRDefault="00E2476B" w:rsidP="0018419C">
            <w:pPr>
              <w:pStyle w:val="Standard"/>
              <w:spacing w:before="100" w:after="100"/>
              <w:ind w:left="300" w:right="100"/>
            </w:pPr>
            <w:r>
              <w:rPr>
                <w:rFonts w:ascii="Times New Roman" w:eastAsia="Arial" w:hAnsi="Times New Roman" w:cs="Times New Roman"/>
                <w:color w:val="000000"/>
                <w:sz w:val="14"/>
                <w:szCs w:val="14"/>
              </w:rPr>
              <w:t>D'accord</w:t>
            </w:r>
          </w:p>
        </w:tc>
        <w:tc>
          <w:tcPr>
            <w:tcW w:w="830" w:type="dxa"/>
            <w:tcBorders>
              <w:left w:val="single" w:sz="4" w:space="0" w:color="000000"/>
              <w:right w:val="single" w:sz="4" w:space="0" w:color="000000"/>
            </w:tcBorders>
            <w:shd w:val="clear" w:color="auto" w:fill="FFFFFF"/>
            <w:tcMar>
              <w:top w:w="0" w:type="dxa"/>
              <w:left w:w="0" w:type="dxa"/>
              <w:bottom w:w="0" w:type="dxa"/>
              <w:right w:w="0" w:type="dxa"/>
            </w:tcMar>
          </w:tcPr>
          <w:p w14:paraId="0097A07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53,5</w:t>
            </w:r>
            <w:r>
              <w:rPr>
                <w:rFonts w:ascii="Times New Roman" w:eastAsia="Arial" w:hAnsi="Times New Roman" w:cs="Times New Roman"/>
                <w:color w:val="000000"/>
                <w:sz w:val="14"/>
                <w:szCs w:val="14"/>
              </w:rPr>
              <w:br/>
              <w:t>[41-66]</w:t>
            </w:r>
            <w:r>
              <w:rPr>
                <w:rFonts w:ascii="Times New Roman" w:eastAsia="Arial" w:hAnsi="Times New Roman" w:cs="Times New Roman"/>
                <w:color w:val="000000"/>
                <w:sz w:val="14"/>
                <w:szCs w:val="14"/>
                <w:vertAlign w:val="superscript"/>
              </w:rPr>
              <w:t xml:space="preserve"> 4</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3F3675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52,2</w:t>
            </w:r>
            <w:r>
              <w:rPr>
                <w:rFonts w:ascii="Times New Roman" w:eastAsia="Arial" w:hAnsi="Times New Roman" w:cs="Times New Roman"/>
                <w:color w:val="000000"/>
                <w:sz w:val="14"/>
                <w:szCs w:val="14"/>
              </w:rPr>
              <w:br/>
              <w:t>[42-63]</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3BD16A3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68,5</w:t>
            </w:r>
            <w:r>
              <w:rPr>
                <w:rFonts w:ascii="Times New Roman" w:eastAsia="Arial" w:hAnsi="Times New Roman" w:cs="Times New Roman"/>
                <w:color w:val="000000"/>
                <w:sz w:val="14"/>
                <w:szCs w:val="14"/>
              </w:rPr>
              <w:br/>
              <w:t>[68-69]</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6BE3FEC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49,8</w:t>
            </w:r>
            <w:r>
              <w:rPr>
                <w:rFonts w:ascii="Times New Roman" w:eastAsia="Arial" w:hAnsi="Times New Roman" w:cs="Times New Roman"/>
                <w:color w:val="000000"/>
                <w:sz w:val="14"/>
                <w:szCs w:val="14"/>
              </w:rPr>
              <w:br/>
              <w:t>[41-59]</w:t>
            </w:r>
          </w:p>
        </w:tc>
        <w:tc>
          <w:tcPr>
            <w:tcW w:w="831" w:type="dxa"/>
            <w:tcBorders>
              <w:left w:val="single" w:sz="4" w:space="0" w:color="000000"/>
              <w:right w:val="single" w:sz="4" w:space="0" w:color="000000"/>
            </w:tcBorders>
            <w:shd w:val="clear" w:color="auto" w:fill="FFFFFF"/>
            <w:tcMar>
              <w:top w:w="0" w:type="dxa"/>
              <w:left w:w="0" w:type="dxa"/>
              <w:bottom w:w="0" w:type="dxa"/>
              <w:right w:w="0" w:type="dxa"/>
            </w:tcMar>
          </w:tcPr>
          <w:p w14:paraId="24B28A8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66,9</w:t>
            </w:r>
            <w:r>
              <w:rPr>
                <w:rFonts w:ascii="Times New Roman" w:eastAsia="Arial" w:hAnsi="Times New Roman" w:cs="Times New Roman"/>
                <w:color w:val="000000"/>
                <w:sz w:val="14"/>
                <w:szCs w:val="14"/>
              </w:rPr>
              <w:br/>
              <w:t>[53-78]</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70798D0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77,8</w:t>
            </w:r>
            <w:r>
              <w:rPr>
                <w:rFonts w:ascii="Times New Roman" w:eastAsia="Arial" w:hAnsi="Times New Roman" w:cs="Times New Roman"/>
                <w:color w:val="000000"/>
                <w:sz w:val="14"/>
                <w:szCs w:val="14"/>
              </w:rPr>
              <w:br/>
              <w:t>[77-79]</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0224F90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28,4</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F732C9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22,2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6082273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32,2</w:t>
            </w:r>
          </w:p>
        </w:tc>
        <w:tc>
          <w:tcPr>
            <w:tcW w:w="816" w:type="dxa"/>
            <w:tcBorders>
              <w:left w:val="single" w:sz="4" w:space="0" w:color="000000"/>
              <w:right w:val="single" w:sz="8" w:space="0" w:color="000000"/>
            </w:tcBorders>
            <w:shd w:val="clear" w:color="auto" w:fill="FFFFFF"/>
            <w:tcMar>
              <w:top w:w="0" w:type="dxa"/>
              <w:left w:w="0" w:type="dxa"/>
              <w:bottom w:w="0" w:type="dxa"/>
              <w:right w:w="0" w:type="dxa"/>
            </w:tcMar>
          </w:tcPr>
          <w:p w14:paraId="7C269C8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32,2</w:t>
            </w:r>
          </w:p>
        </w:tc>
      </w:tr>
      <w:tr w:rsidR="00E2476B" w14:paraId="06FB2C37" w14:textId="77777777" w:rsidTr="0018419C">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65533273" w14:textId="77777777" w:rsidR="00E2476B" w:rsidRDefault="00E2476B" w:rsidP="0018419C">
            <w:pPr>
              <w:pStyle w:val="Standard"/>
              <w:spacing w:before="100" w:after="100"/>
              <w:ind w:left="300" w:right="100"/>
            </w:pPr>
            <w:r>
              <w:rPr>
                <w:rFonts w:ascii="Times New Roman" w:eastAsia="Arial" w:hAnsi="Times New Roman" w:cs="Times New Roman"/>
                <w:color w:val="000000"/>
                <w:sz w:val="14"/>
                <w:szCs w:val="14"/>
              </w:rPr>
              <w:t>Pas d'accord</w:t>
            </w:r>
          </w:p>
        </w:tc>
        <w:tc>
          <w:tcPr>
            <w:tcW w:w="830" w:type="dxa"/>
            <w:tcBorders>
              <w:left w:val="single" w:sz="4" w:space="0" w:color="000000"/>
              <w:right w:val="single" w:sz="4" w:space="0" w:color="000000"/>
            </w:tcBorders>
            <w:shd w:val="clear" w:color="auto" w:fill="FFFFFF"/>
            <w:tcMar>
              <w:top w:w="0" w:type="dxa"/>
              <w:left w:w="0" w:type="dxa"/>
              <w:bottom w:w="0" w:type="dxa"/>
              <w:right w:w="0" w:type="dxa"/>
            </w:tcMar>
          </w:tcPr>
          <w:p w14:paraId="43C347B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46,5</w:t>
            </w:r>
            <w:r>
              <w:rPr>
                <w:rFonts w:ascii="Times New Roman" w:eastAsia="Arial" w:hAnsi="Times New Roman" w:cs="Times New Roman"/>
                <w:color w:val="000000"/>
                <w:sz w:val="14"/>
                <w:szCs w:val="14"/>
              </w:rPr>
              <w:br/>
              <w:t>[34-59]</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35A2D41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47,8</w:t>
            </w:r>
            <w:r>
              <w:rPr>
                <w:rFonts w:ascii="Times New Roman" w:eastAsia="Arial" w:hAnsi="Times New Roman" w:cs="Times New Roman"/>
                <w:color w:val="000000"/>
                <w:sz w:val="14"/>
                <w:szCs w:val="14"/>
              </w:rPr>
              <w:br/>
              <w:t>[37-58]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2AFD21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31,5</w:t>
            </w:r>
            <w:r>
              <w:rPr>
                <w:rFonts w:ascii="Times New Roman" w:eastAsia="Arial" w:hAnsi="Times New Roman" w:cs="Times New Roman"/>
                <w:color w:val="000000"/>
                <w:sz w:val="14"/>
                <w:szCs w:val="14"/>
              </w:rPr>
              <w:br/>
              <w:t>[31-32]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6E1CBF9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50,2</w:t>
            </w:r>
            <w:r>
              <w:rPr>
                <w:rFonts w:ascii="Times New Roman" w:eastAsia="Arial" w:hAnsi="Times New Roman" w:cs="Times New Roman"/>
                <w:color w:val="000000"/>
                <w:sz w:val="14"/>
                <w:szCs w:val="14"/>
              </w:rPr>
              <w:br/>
              <w:t>[41-59]</w:t>
            </w:r>
          </w:p>
        </w:tc>
        <w:tc>
          <w:tcPr>
            <w:tcW w:w="831" w:type="dxa"/>
            <w:tcBorders>
              <w:left w:val="single" w:sz="4" w:space="0" w:color="000000"/>
              <w:right w:val="single" w:sz="4" w:space="0" w:color="000000"/>
            </w:tcBorders>
            <w:shd w:val="clear" w:color="auto" w:fill="FFFFFF"/>
            <w:tcMar>
              <w:top w:w="0" w:type="dxa"/>
              <w:left w:w="0" w:type="dxa"/>
              <w:bottom w:w="0" w:type="dxa"/>
              <w:right w:w="0" w:type="dxa"/>
            </w:tcMar>
          </w:tcPr>
          <w:p w14:paraId="5FEEAC8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33,1</w:t>
            </w:r>
            <w:r>
              <w:rPr>
                <w:rFonts w:ascii="Times New Roman" w:eastAsia="Arial" w:hAnsi="Times New Roman" w:cs="Times New Roman"/>
                <w:color w:val="000000"/>
                <w:sz w:val="14"/>
                <w:szCs w:val="14"/>
              </w:rPr>
              <w:br/>
              <w:t>[22-47]</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625E1C3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22,2</w:t>
            </w:r>
            <w:r>
              <w:rPr>
                <w:rFonts w:ascii="Times New Roman" w:eastAsia="Arial" w:hAnsi="Times New Roman" w:cs="Times New Roman"/>
                <w:color w:val="000000"/>
                <w:sz w:val="14"/>
                <w:szCs w:val="14"/>
              </w:rPr>
              <w:br/>
              <w:t>[21-23]</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4F6E8F3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71,6</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F7984F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77,8</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53EE592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67,8</w:t>
            </w:r>
          </w:p>
        </w:tc>
        <w:tc>
          <w:tcPr>
            <w:tcW w:w="816" w:type="dxa"/>
            <w:tcBorders>
              <w:left w:val="single" w:sz="4" w:space="0" w:color="000000"/>
              <w:right w:val="single" w:sz="8" w:space="0" w:color="000000"/>
            </w:tcBorders>
            <w:shd w:val="clear" w:color="auto" w:fill="FFFFFF"/>
            <w:tcMar>
              <w:top w:w="0" w:type="dxa"/>
              <w:left w:w="0" w:type="dxa"/>
              <w:bottom w:w="0" w:type="dxa"/>
              <w:right w:w="0" w:type="dxa"/>
            </w:tcMar>
          </w:tcPr>
          <w:p w14:paraId="79DF4F8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67,8</w:t>
            </w:r>
          </w:p>
        </w:tc>
      </w:tr>
      <w:tr w:rsidR="00E2476B" w14:paraId="6A10625A" w14:textId="77777777" w:rsidTr="0018419C">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6CDBEDC1"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502"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4C3CF2A8"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r>
              <w:rPr>
                <w:rFonts w:ascii="Arial" w:eastAsia="Arial" w:hAnsi="Arial" w:cs="Arial"/>
                <w:color w:val="000000"/>
                <w:sz w:val="14"/>
                <w:szCs w:val="14"/>
                <w:vertAlign w:val="superscript"/>
              </w:rPr>
              <w:t>2</w:t>
            </w:r>
          </w:p>
        </w:tc>
        <w:tc>
          <w:tcPr>
            <w:tcW w:w="2489"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9360673"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r>
              <w:rPr>
                <w:rFonts w:ascii="Arial" w:eastAsia="Arial" w:hAnsi="Arial" w:cs="Arial"/>
                <w:color w:val="000000"/>
                <w:sz w:val="14"/>
                <w:szCs w:val="14"/>
                <w:vertAlign w:val="superscript"/>
              </w:rPr>
              <w:t>2</w:t>
            </w:r>
          </w:p>
        </w:tc>
        <w:tc>
          <w:tcPr>
            <w:tcW w:w="1658"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08A24771"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0,002</w:t>
            </w:r>
            <w:r>
              <w:rPr>
                <w:rFonts w:ascii="Arial" w:eastAsia="Arial" w:hAnsi="Arial" w:cs="Arial"/>
                <w:color w:val="000000"/>
                <w:sz w:val="14"/>
                <w:szCs w:val="14"/>
                <w:vertAlign w:val="superscript"/>
              </w:rPr>
              <w:t>3</w:t>
            </w:r>
          </w:p>
        </w:tc>
        <w:tc>
          <w:tcPr>
            <w:tcW w:w="1645" w:type="dxa"/>
            <w:gridSpan w:val="2"/>
            <w:tcBorders>
              <w:left w:val="single" w:sz="4" w:space="0" w:color="000000"/>
              <w:right w:val="single" w:sz="8" w:space="0" w:color="000000"/>
            </w:tcBorders>
            <w:shd w:val="clear" w:color="auto" w:fill="FFFFFF"/>
            <w:tcMar>
              <w:top w:w="0" w:type="dxa"/>
              <w:left w:w="0" w:type="dxa"/>
              <w:bottom w:w="0" w:type="dxa"/>
              <w:right w:w="0" w:type="dxa"/>
            </w:tcMar>
          </w:tcPr>
          <w:p w14:paraId="549B6F79"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&gt;0,9</w:t>
            </w:r>
            <w:r>
              <w:rPr>
                <w:rFonts w:ascii="Arial" w:eastAsia="Arial" w:hAnsi="Arial" w:cs="Arial"/>
                <w:color w:val="000000"/>
                <w:sz w:val="14"/>
                <w:szCs w:val="14"/>
                <w:vertAlign w:val="superscript"/>
              </w:rPr>
              <w:t>3</w:t>
            </w:r>
          </w:p>
        </w:tc>
      </w:tr>
      <w:tr w:rsidR="00E2476B" w14:paraId="5ACCFC82" w14:textId="77777777" w:rsidTr="0018419C">
        <w:trPr>
          <w:jc w:val="center"/>
        </w:trPr>
        <w:tc>
          <w:tcPr>
            <w:tcW w:w="9403" w:type="dxa"/>
            <w:gridSpan w:val="11"/>
            <w:tcBorders>
              <w:left w:val="single" w:sz="8" w:space="0" w:color="000000"/>
              <w:right w:val="single" w:sz="8" w:space="0" w:color="000000"/>
            </w:tcBorders>
            <w:shd w:val="clear" w:color="auto" w:fill="FFFFFF"/>
            <w:tcMar>
              <w:top w:w="0" w:type="dxa"/>
              <w:left w:w="0" w:type="dxa"/>
              <w:bottom w:w="0" w:type="dxa"/>
              <w:right w:w="0" w:type="dxa"/>
            </w:tcMar>
          </w:tcPr>
          <w:p w14:paraId="1199F808"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Dans un couple, il faut faire des compromis pour ne pas contrarier l'autre</w:t>
            </w:r>
          </w:p>
        </w:tc>
      </w:tr>
      <w:tr w:rsidR="00E2476B" w14:paraId="1F3F7DAD" w14:textId="77777777" w:rsidTr="0018419C">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04FFEA83" w14:textId="77777777" w:rsidR="00E2476B" w:rsidRDefault="00E2476B" w:rsidP="0018419C">
            <w:pPr>
              <w:pStyle w:val="Standard"/>
              <w:spacing w:before="100" w:after="100"/>
              <w:ind w:left="300" w:right="100"/>
            </w:pPr>
            <w:r>
              <w:rPr>
                <w:rFonts w:ascii="Times New Roman" w:eastAsia="Arial" w:hAnsi="Times New Roman" w:cs="Times New Roman"/>
                <w:color w:val="000000"/>
                <w:sz w:val="14"/>
                <w:szCs w:val="14"/>
              </w:rPr>
              <w:t>D'accord</w:t>
            </w:r>
          </w:p>
        </w:tc>
        <w:tc>
          <w:tcPr>
            <w:tcW w:w="830" w:type="dxa"/>
            <w:tcBorders>
              <w:left w:val="single" w:sz="4" w:space="0" w:color="000000"/>
              <w:right w:val="single" w:sz="4" w:space="0" w:color="000000"/>
            </w:tcBorders>
            <w:shd w:val="clear" w:color="auto" w:fill="FFFFFF"/>
            <w:tcMar>
              <w:top w:w="0" w:type="dxa"/>
              <w:left w:w="0" w:type="dxa"/>
              <w:bottom w:w="0" w:type="dxa"/>
              <w:right w:w="0" w:type="dxa"/>
            </w:tcMar>
          </w:tcPr>
          <w:p w14:paraId="68D44A8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89,0</w:t>
            </w:r>
            <w:r>
              <w:rPr>
                <w:rFonts w:ascii="Times New Roman" w:eastAsia="Arial" w:hAnsi="Times New Roman" w:cs="Times New Roman"/>
                <w:color w:val="000000"/>
                <w:sz w:val="14"/>
                <w:szCs w:val="14"/>
              </w:rPr>
              <w:br/>
              <w:t>[76-95]</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333CEE7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85,0</w:t>
            </w:r>
            <w:r>
              <w:rPr>
                <w:rFonts w:ascii="Times New Roman" w:eastAsia="Arial" w:hAnsi="Times New Roman" w:cs="Times New Roman"/>
                <w:color w:val="000000"/>
                <w:sz w:val="14"/>
                <w:szCs w:val="14"/>
              </w:rPr>
              <w:br/>
              <w:t>[77-91]</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394627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91,3</w:t>
            </w:r>
            <w:r>
              <w:rPr>
                <w:rFonts w:ascii="Times New Roman" w:eastAsia="Arial" w:hAnsi="Times New Roman" w:cs="Times New Roman"/>
                <w:color w:val="000000"/>
                <w:sz w:val="14"/>
                <w:szCs w:val="14"/>
              </w:rPr>
              <w:br/>
              <w:t>[91-92]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2E92E51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96,3</w:t>
            </w:r>
            <w:r>
              <w:rPr>
                <w:rFonts w:ascii="Times New Roman" w:eastAsia="Arial" w:hAnsi="Times New Roman" w:cs="Times New Roman"/>
                <w:color w:val="000000"/>
                <w:sz w:val="14"/>
                <w:szCs w:val="14"/>
              </w:rPr>
              <w:br/>
              <w:t>[91-98]</w:t>
            </w:r>
          </w:p>
        </w:tc>
        <w:tc>
          <w:tcPr>
            <w:tcW w:w="831" w:type="dxa"/>
            <w:tcBorders>
              <w:left w:val="single" w:sz="4" w:space="0" w:color="000000"/>
              <w:right w:val="single" w:sz="4" w:space="0" w:color="000000"/>
            </w:tcBorders>
            <w:shd w:val="clear" w:color="auto" w:fill="FFFFFF"/>
            <w:tcMar>
              <w:top w:w="0" w:type="dxa"/>
              <w:left w:w="0" w:type="dxa"/>
              <w:bottom w:w="0" w:type="dxa"/>
              <w:right w:w="0" w:type="dxa"/>
            </w:tcMar>
          </w:tcPr>
          <w:p w14:paraId="546ABBF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91,3</w:t>
            </w:r>
            <w:r>
              <w:rPr>
                <w:rFonts w:ascii="Times New Roman" w:eastAsia="Arial" w:hAnsi="Times New Roman" w:cs="Times New Roman"/>
                <w:color w:val="000000"/>
                <w:sz w:val="14"/>
                <w:szCs w:val="14"/>
              </w:rPr>
              <w:br/>
              <w:t>[80-97]</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1DB9665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94,4</w:t>
            </w:r>
            <w:r>
              <w:rPr>
                <w:rFonts w:ascii="Times New Roman" w:eastAsia="Arial" w:hAnsi="Times New Roman" w:cs="Times New Roman"/>
                <w:color w:val="000000"/>
                <w:sz w:val="14"/>
                <w:szCs w:val="14"/>
              </w:rPr>
              <w:br/>
              <w:t>[94-95]</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6C98FF1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81,8</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447FC2A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75,7</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745AF5F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90,5</w:t>
            </w:r>
          </w:p>
        </w:tc>
        <w:tc>
          <w:tcPr>
            <w:tcW w:w="816" w:type="dxa"/>
            <w:tcBorders>
              <w:left w:val="single" w:sz="4" w:space="0" w:color="000000"/>
              <w:right w:val="single" w:sz="8" w:space="0" w:color="000000"/>
            </w:tcBorders>
            <w:shd w:val="clear" w:color="auto" w:fill="FFFFFF"/>
            <w:tcMar>
              <w:top w:w="0" w:type="dxa"/>
              <w:left w:w="0" w:type="dxa"/>
              <w:bottom w:w="0" w:type="dxa"/>
              <w:right w:w="0" w:type="dxa"/>
            </w:tcMar>
          </w:tcPr>
          <w:p w14:paraId="609A6C7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82,5</w:t>
            </w:r>
          </w:p>
        </w:tc>
      </w:tr>
      <w:tr w:rsidR="00E2476B" w14:paraId="5998DE92" w14:textId="77777777" w:rsidTr="0018419C">
        <w:trPr>
          <w:jc w:val="center"/>
        </w:trPr>
        <w:tc>
          <w:tcPr>
            <w:tcW w:w="1109" w:type="dxa"/>
            <w:tcBorders>
              <w:left w:val="single" w:sz="8" w:space="0" w:color="000000"/>
              <w:right w:val="single" w:sz="4" w:space="0" w:color="000000"/>
            </w:tcBorders>
            <w:shd w:val="clear" w:color="auto" w:fill="FFFFFF"/>
            <w:tcMar>
              <w:top w:w="0" w:type="dxa"/>
              <w:left w:w="0" w:type="dxa"/>
              <w:bottom w:w="0" w:type="dxa"/>
              <w:right w:w="0" w:type="dxa"/>
            </w:tcMar>
          </w:tcPr>
          <w:p w14:paraId="61C52006" w14:textId="77777777" w:rsidR="00E2476B" w:rsidRDefault="00E2476B" w:rsidP="0018419C">
            <w:pPr>
              <w:pStyle w:val="Standard"/>
              <w:spacing w:before="100" w:after="100"/>
              <w:ind w:left="300" w:right="100"/>
            </w:pPr>
            <w:r>
              <w:rPr>
                <w:rFonts w:ascii="Times New Roman" w:eastAsia="Arial" w:hAnsi="Times New Roman" w:cs="Times New Roman"/>
                <w:color w:val="000000"/>
                <w:sz w:val="14"/>
                <w:szCs w:val="14"/>
              </w:rPr>
              <w:t>Pas d'accord</w:t>
            </w:r>
          </w:p>
        </w:tc>
        <w:tc>
          <w:tcPr>
            <w:tcW w:w="830" w:type="dxa"/>
            <w:tcBorders>
              <w:left w:val="single" w:sz="4" w:space="0" w:color="000000"/>
              <w:right w:val="single" w:sz="4" w:space="0" w:color="000000"/>
            </w:tcBorders>
            <w:shd w:val="clear" w:color="auto" w:fill="FFFFFF"/>
            <w:tcMar>
              <w:top w:w="0" w:type="dxa"/>
              <w:left w:w="0" w:type="dxa"/>
              <w:bottom w:w="0" w:type="dxa"/>
              <w:right w:w="0" w:type="dxa"/>
            </w:tcMar>
          </w:tcPr>
          <w:p w14:paraId="626A7FA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11,0</w:t>
            </w:r>
            <w:r>
              <w:rPr>
                <w:rFonts w:ascii="Times New Roman" w:eastAsia="Arial" w:hAnsi="Times New Roman" w:cs="Times New Roman"/>
                <w:color w:val="000000"/>
                <w:sz w:val="14"/>
                <w:szCs w:val="14"/>
              </w:rPr>
              <w:br/>
              <w:t>[4,6-24]</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2AAF7AE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15,0</w:t>
            </w:r>
            <w:r>
              <w:rPr>
                <w:rFonts w:ascii="Times New Roman" w:eastAsia="Arial" w:hAnsi="Times New Roman" w:cs="Times New Roman"/>
                <w:color w:val="000000"/>
                <w:sz w:val="14"/>
                <w:szCs w:val="14"/>
              </w:rPr>
              <w:br/>
              <w:t>[9,5-23]</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290B2FA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8,7</w:t>
            </w:r>
            <w:r>
              <w:rPr>
                <w:rFonts w:ascii="Times New Roman" w:eastAsia="Arial" w:hAnsi="Times New Roman" w:cs="Times New Roman"/>
                <w:color w:val="000000"/>
                <w:sz w:val="14"/>
                <w:szCs w:val="14"/>
              </w:rPr>
              <w:br/>
              <w:t>[8,1-9,3]</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2D30394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br/>
              <w:t>[1,5-8,8]</w:t>
            </w:r>
          </w:p>
        </w:tc>
        <w:tc>
          <w:tcPr>
            <w:tcW w:w="831" w:type="dxa"/>
            <w:tcBorders>
              <w:left w:val="single" w:sz="4" w:space="0" w:color="000000"/>
              <w:right w:val="single" w:sz="4" w:space="0" w:color="000000"/>
            </w:tcBorders>
            <w:shd w:val="clear" w:color="auto" w:fill="FFFFFF"/>
            <w:tcMar>
              <w:top w:w="0" w:type="dxa"/>
              <w:left w:w="0" w:type="dxa"/>
              <w:bottom w:w="0" w:type="dxa"/>
              <w:right w:w="0" w:type="dxa"/>
            </w:tcMar>
          </w:tcPr>
          <w:p w14:paraId="2E11BB7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8,7</w:t>
            </w:r>
            <w:r>
              <w:rPr>
                <w:rFonts w:ascii="Times New Roman" w:eastAsia="Arial" w:hAnsi="Times New Roman" w:cs="Times New Roman"/>
                <w:color w:val="000000"/>
                <w:sz w:val="14"/>
                <w:szCs w:val="14"/>
              </w:rPr>
              <w:br/>
              <w:t>[3,5-20]</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7952D02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[5,1-6,2]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790839E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18,2</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4BA2A67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24,3</w:t>
            </w:r>
          </w:p>
        </w:tc>
        <w:tc>
          <w:tcPr>
            <w:tcW w:w="829" w:type="dxa"/>
            <w:tcBorders>
              <w:left w:val="single" w:sz="4" w:space="0" w:color="000000"/>
              <w:right w:val="single" w:sz="4" w:space="0" w:color="000000"/>
            </w:tcBorders>
            <w:shd w:val="clear" w:color="auto" w:fill="FFFFFF"/>
            <w:tcMar>
              <w:top w:w="0" w:type="dxa"/>
              <w:left w:w="0" w:type="dxa"/>
              <w:bottom w:w="0" w:type="dxa"/>
              <w:right w:w="0" w:type="dxa"/>
            </w:tcMar>
          </w:tcPr>
          <w:p w14:paraId="39D80E3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9,5</w:t>
            </w:r>
          </w:p>
        </w:tc>
        <w:tc>
          <w:tcPr>
            <w:tcW w:w="816" w:type="dxa"/>
            <w:tcBorders>
              <w:left w:val="single" w:sz="4" w:space="0" w:color="000000"/>
              <w:right w:val="single" w:sz="8" w:space="0" w:color="000000"/>
            </w:tcBorders>
            <w:shd w:val="clear" w:color="auto" w:fill="FFFFFF"/>
            <w:tcMar>
              <w:top w:w="0" w:type="dxa"/>
              <w:left w:w="0" w:type="dxa"/>
              <w:bottom w:w="0" w:type="dxa"/>
              <w:right w:w="0" w:type="dxa"/>
            </w:tcMar>
          </w:tcPr>
          <w:p w14:paraId="30A5898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17,5</w:t>
            </w:r>
          </w:p>
        </w:tc>
      </w:tr>
      <w:tr w:rsidR="00E2476B" w14:paraId="05FA3D0D" w14:textId="77777777" w:rsidTr="0018419C">
        <w:trPr>
          <w:jc w:val="center"/>
        </w:trPr>
        <w:tc>
          <w:tcPr>
            <w:tcW w:w="1109" w:type="dxa"/>
            <w:tcBorders>
              <w:left w:val="single" w:sz="8" w:space="0" w:color="000000"/>
              <w:bottom w:val="single" w:sz="8" w:space="0" w:color="000000"/>
              <w:right w:val="single" w:sz="4" w:space="0" w:color="000000"/>
            </w:tcBorders>
            <w:shd w:val="clear" w:color="auto" w:fill="FFFFFF"/>
            <w:tcMar>
              <w:top w:w="0" w:type="dxa"/>
              <w:left w:w="0" w:type="dxa"/>
              <w:bottom w:w="0" w:type="dxa"/>
              <w:right w:w="0" w:type="dxa"/>
            </w:tcMar>
          </w:tcPr>
          <w:p w14:paraId="589F7688" w14:textId="77777777" w:rsidR="00E2476B" w:rsidRDefault="00E2476B" w:rsidP="0018419C">
            <w:pPr>
              <w:pStyle w:val="Standard"/>
              <w:spacing w:before="100" w:after="100"/>
              <w:ind w:left="102" w:right="102"/>
            </w:pPr>
            <w:r>
              <w:rPr>
                <w:rFonts w:ascii="Times New Roman" w:eastAsia="Arial" w:hAnsi="Times New Roman" w:cs="Times New Roman"/>
                <w:bCs/>
                <w:i/>
                <w:iCs/>
                <w:color w:val="000000"/>
                <w:sz w:val="14"/>
                <w:szCs w:val="14"/>
              </w:rPr>
              <w:t>P-valeur</w:t>
            </w:r>
          </w:p>
        </w:tc>
        <w:tc>
          <w:tcPr>
            <w:tcW w:w="2502" w:type="dxa"/>
            <w:gridSpan w:val="3"/>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78932408"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0,11</w:t>
            </w:r>
          </w:p>
        </w:tc>
        <w:tc>
          <w:tcPr>
            <w:tcW w:w="2489" w:type="dxa"/>
            <w:gridSpan w:val="3"/>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3FDA44F0"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1658" w:type="dxa"/>
            <w:gridSpan w:val="2"/>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339372BF"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p>
        </w:tc>
        <w:tc>
          <w:tcPr>
            <w:tcW w:w="1645" w:type="dxa"/>
            <w:gridSpan w:val="2"/>
            <w:tcBorders>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3AA5CEC5"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p>
        </w:tc>
      </w:tr>
      <w:tr w:rsidR="00E2476B" w14:paraId="624E5701" w14:textId="77777777" w:rsidTr="0018419C">
        <w:trPr>
          <w:trHeight w:val="1134"/>
          <w:jc w:val="center"/>
        </w:trPr>
        <w:tc>
          <w:tcPr>
            <w:tcW w:w="9403" w:type="dxa"/>
            <w:gridSpan w:val="11"/>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C04DB42" w14:textId="77777777" w:rsidR="00E2476B" w:rsidRDefault="00E2476B" w:rsidP="0018419C">
            <w:pPr>
              <w:pStyle w:val="Standard"/>
              <w:spacing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115C7462" w14:textId="77777777" w:rsidR="00E2476B" w:rsidRDefault="00E2476B" w:rsidP="0018419C">
            <w:pPr>
              <w:pStyle w:val="Standard"/>
              <w:spacing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22E97B64" w14:textId="77777777" w:rsidR="00E2476B" w:rsidRDefault="00E2476B" w:rsidP="0018419C">
            <w:pPr>
              <w:pStyle w:val="Standard"/>
              <w:spacing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722F701C" w14:textId="77777777" w:rsidR="00E2476B" w:rsidRDefault="00E2476B" w:rsidP="0018419C">
            <w:pPr>
              <w:pStyle w:val="Standard"/>
              <w:spacing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 xml:space="preserve"> [Intervalle de confiance à 95 %].</w:t>
            </w:r>
          </w:p>
          <w:p w14:paraId="20ECD8A3" w14:textId="77777777" w:rsidR="00E2476B" w:rsidRDefault="00E2476B" w:rsidP="0018419C">
            <w:pPr>
              <w:pStyle w:val="Standard"/>
              <w:spacing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répondant∙es de l'enquête Virage ; Répondant∙es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Pour Virage PG : pourcentages pondérés. Pour Virage LGBT : pourcentages et effectifs non pondérés.</w:t>
            </w:r>
          </w:p>
          <w:p w14:paraId="393F9F6F" w14:textId="77777777" w:rsidR="00E2476B" w:rsidRDefault="00E2476B" w:rsidP="0018419C">
            <w:pPr>
              <w:pStyle w:val="Standard"/>
              <w:spacing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53,5% des femmes homosexuelles dans l'enquête Virage en population générale sont d'accord avec la première affirmation, avec un intervalle de confiance à 95% de [41% - 66%].</w:t>
            </w:r>
          </w:p>
          <w:p w14:paraId="58D44455" w14:textId="77777777" w:rsidR="00E2476B" w:rsidRDefault="00E2476B" w:rsidP="0018419C">
            <w:pPr>
              <w:pStyle w:val="Standard"/>
              <w:spacing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726CB14E" w14:textId="77777777" w:rsidR="00E2476B" w:rsidRDefault="00E2476B" w:rsidP="00E2476B">
      <w:pPr>
        <w:pStyle w:val="Titre4"/>
      </w:pPr>
      <w:r>
        <w:t>Le compromis comme principe conjugal consensuel</w:t>
      </w:r>
    </w:p>
    <w:p w14:paraId="4EDAE569" w14:textId="77777777" w:rsidR="00E2476B" w:rsidRDefault="00E2476B" w:rsidP="00E2476B">
      <w:pPr>
        <w:pStyle w:val="Textbody"/>
      </w:pPr>
      <w:r>
        <w:t xml:space="preserve">Le lien avec l'identification sexuelle n'est pas significatif sur la question des compromis. En se fiant aux tendances du </w:t>
      </w:r>
      <w:hyperlink w:anchor="Tableau1|table" w:history="1">
        <w:r>
          <w:t>Tableau 3</w:t>
        </w:r>
      </w:hyperlink>
      <w:r>
        <w:t>, cet item récolte une adhésion très élevée (entre 85% et 96% d'accord). Dans Virage LGBT on observe une proportion légèrement plus faible de personnes bisexuelles d'accord avec l'affirmation : 75,7% des femmes et 82,5% des hommes contre 81,8% des lesbiennes et 90,5% des gays.</w:t>
      </w:r>
    </w:p>
    <w:p w14:paraId="3E9FD286" w14:textId="77777777" w:rsidR="00E2476B" w:rsidRDefault="00E2476B" w:rsidP="00E2476B">
      <w:pPr>
        <w:pStyle w:val="Textbody"/>
      </w:pPr>
      <w:r>
        <w:lastRenderedPageBreak/>
        <w:t xml:space="preserve">On retrouve l’adhésion au consensus, particulièrement chez les hommes, en </w:t>
      </w:r>
      <w:hyperlink w:anchor="Image 5|graphic" w:history="1">
        <w:r>
          <w:t>Figure 5</w:t>
        </w:r>
      </w:hyperlink>
      <w:r>
        <w:t xml:space="preserve"> qui observe le lien entre l’adhésion au compromis et le type de couple. Les bisexuels, en couple ou célibataire, restent moins souvent d’accord que les gays. Parmi les femmes, les bisexuelles en couple de sexe différent se démarquent, elles répondent le moins souvent par l'affirmative, derrières les </w:t>
      </w:r>
      <w:proofErr w:type="spellStart"/>
      <w:r>
        <w:t>bies</w:t>
      </w:r>
      <w:proofErr w:type="spellEnd"/>
      <w:r>
        <w:t xml:space="preserve"> et homos célibataires.</w:t>
      </w:r>
    </w:p>
    <w:p w14:paraId="145C2F4E" w14:textId="77777777" w:rsidR="00E2476B" w:rsidRDefault="00E2476B" w:rsidP="00E2476B">
      <w:pPr>
        <w:pStyle w:val="Textbody"/>
      </w:pPr>
      <w:r>
        <w:t xml:space="preserve">Plutôt qu'un marqueur de style conjugal, faire des compromis pour ne pas contrarier l'autre dans un couple semble être une affirmation consensuelle, un principe conjugal largement admis. Les personnes bisexuelles, malgré une grande majorité à y adhérer, sont moins souvent d’accord avec la nécessité du compromis que les homosexuels et hétérosexuels. C’est particulièrement le cas des femmes bisexuelles en couple avec un homme.  </w:t>
      </w:r>
    </w:p>
    <w:p w14:paraId="2F8F87E6" w14:textId="77777777" w:rsidR="00E2476B" w:rsidRDefault="00E2476B" w:rsidP="00E2476B">
      <w:pPr>
        <w:pStyle w:val="Titre4"/>
      </w:pPr>
      <w:r>
        <w:t>La fusion distingue des styles conjugaux : des femmes bisexuelles plus autonomes</w:t>
      </w:r>
    </w:p>
    <w:p w14:paraId="305D3DC0" w14:textId="77777777" w:rsidR="00E2476B" w:rsidRDefault="00E2476B" w:rsidP="00E2476B">
      <w:pPr>
        <w:pStyle w:val="Textbody"/>
      </w:pPr>
      <w:r>
        <w:t>L’adhésion à l’idée de tout faire ensemble quand on est en couple est, au global, beaucoup plus faible, cela démontre la force de la valeur de l’indépendance au sein de la vie conjugale contemporaine (</w:t>
      </w:r>
      <w:r>
        <w:rPr>
          <w:i/>
        </w:rPr>
        <w:t>Ibid.</w:t>
      </w:r>
      <w:r>
        <w:t xml:space="preserve">) Comme pour la question sur les compromis, elle récolte moins d’adhésion chez les femmes que chez les hommes. Les bisexuelles et lesbiennes sont moins souvent d'accord que les hétérosexuelles qu'il faut tout faire ensemble dans un couple (52,2% et 53,5% contre 68,5%). Chez les hommes en revanche, les bisexuels (66,9%) sont plus proches des hétérosexuels (77,8%), ce sont les gays qui se différencient (49,8%). L'écart entre hommes bis et femmes </w:t>
      </w:r>
      <w:proofErr w:type="spellStart"/>
      <w:r>
        <w:t>bies</w:t>
      </w:r>
      <w:proofErr w:type="spellEnd"/>
      <w:r>
        <w:t xml:space="preserve"> est le plus large de tous les couples hommes/femmes du tableau (non vérifié statistiquement). Dans Virage LGBT les répondant∙es sont globalement moins souvent d'accord avec l'affirmation. Les bisexuelles adhèrent à seulement 22,2% contre 28,4% des lesbiennes.</w:t>
      </w:r>
    </w:p>
    <w:p w14:paraId="0416B543" w14:textId="77777777" w:rsidR="00E2476B" w:rsidRDefault="00E2476B" w:rsidP="00E2476B">
      <w:pPr>
        <w:pStyle w:val="Textbody"/>
      </w:pPr>
      <w:r>
        <w:t>Quand on compare par type de couple (</w:t>
      </w:r>
      <w:hyperlink w:anchor="Image 5|graphic" w:history="1">
        <w:r>
          <w:t>Figure 5</w:t>
        </w:r>
      </w:hyperlink>
      <w:r>
        <w:t xml:space="preserve">), l'écart entre hommes est, ici encore, moins saillant. Les gays célibataires sont moins souvent d’accord. Chez les femmes ce sont les lesbiennes et </w:t>
      </w:r>
      <w:proofErr w:type="spellStart"/>
      <w:r>
        <w:t>bies</w:t>
      </w:r>
      <w:proofErr w:type="spellEnd"/>
      <w:r>
        <w:t xml:space="preserve"> célibataires. Le fait d'être célibataire semble corrélé à une plus grande distance vis-à-vis de l’approche fusionnelle du couple. Parmi les personnes en couple les </w:t>
      </w:r>
      <w:proofErr w:type="spellStart"/>
      <w:r>
        <w:t>bies</w:t>
      </w:r>
      <w:proofErr w:type="spellEnd"/>
      <w:r>
        <w:t xml:space="preserve"> en couple de sexe différent sont encore une fois les plus à distance de l'affirmation.</w:t>
      </w:r>
    </w:p>
    <w:p w14:paraId="76347BE4" w14:textId="77777777" w:rsidR="00E2476B" w:rsidRDefault="00E2476B" w:rsidP="00E2476B">
      <w:pPr>
        <w:pStyle w:val="Textbody"/>
      </w:pPr>
      <w:r>
        <w:t xml:space="preserve">Les femmes bisexuelles se distinguent à la fois des hétéros en population générale et des lesbiennes en échantillon LGBT sur cet item. Elles semblent privilégier l'autonomie à la fusion dans le couple, surtout si elles sont en couple avec des hommes. Cette première observation est cohérente : les </w:t>
      </w:r>
      <w:r>
        <w:lastRenderedPageBreak/>
        <w:t>personnes qui n'ont pas d'enfant et ne sont pas mariées favorisent les styles d'interactions conjugales fondés sur l'autonomie (Widmer, Kellerhals et Lévy 2004).</w:t>
      </w:r>
    </w:p>
    <w:p w14:paraId="5681CEA4" w14:textId="77777777" w:rsidR="00E2476B" w:rsidRDefault="00E2476B" w:rsidP="00E2476B">
      <w:pPr>
        <w:pStyle w:val="NormalWeb"/>
      </w:pPr>
      <w:r>
        <w:t xml:space="preserve">Caractère socialisateur de la vie hors couple, expérience du célibat se traduit par une plus grande indépendance au sein du couple, moins </w:t>
      </w:r>
      <w:proofErr w:type="spellStart"/>
      <w:r>
        <w:t>suceptibles</w:t>
      </w:r>
      <w:proofErr w:type="spellEnd"/>
      <w:r>
        <w:t xml:space="preserve"> de répondre qu’être en couple c’est tout faire à deux. Le célibat change les couples, nourrit la volonté d’être </w:t>
      </w:r>
      <w:r>
        <w:rPr>
          <w:rStyle w:val="Accentuation"/>
          <w:b/>
          <w:bCs/>
          <w:color w:val="EB52F7"/>
        </w:rPr>
        <w:t>“libre ensemble”</w:t>
      </w:r>
      <w:r>
        <w:t xml:space="preserve"> (</w:t>
      </w:r>
      <w:r>
        <w:rPr>
          <w:rStyle w:val="lev"/>
          <w:color w:val="7953E3"/>
        </w:rPr>
        <w:t>De Singly</w:t>
      </w:r>
      <w:r>
        <w:t xml:space="preserve">). – Bergström 2019 </w:t>
      </w:r>
    </w:p>
    <w:p w14:paraId="4CE14A4F" w14:textId="77777777" w:rsidR="00E2476B" w:rsidRDefault="00E2476B" w:rsidP="00E2476B">
      <w:pPr>
        <w:pStyle w:val="Textbody"/>
      </w:pPr>
    </w:p>
    <w:tbl>
      <w:tblPr>
        <w:tblW w:w="5000" w:type="pct"/>
        <w:tblInd w:w="108" w:type="dxa"/>
        <w:tblLayout w:type="fixed"/>
        <w:tblCellMar>
          <w:left w:w="10" w:type="dxa"/>
          <w:right w:w="10" w:type="dxa"/>
        </w:tblCellMar>
        <w:tblLook w:val="0000" w:firstRow="0" w:lastRow="0" w:firstColumn="0" w:lastColumn="0" w:noHBand="0" w:noVBand="0"/>
      </w:tblPr>
      <w:tblGrid>
        <w:gridCol w:w="9404"/>
      </w:tblGrid>
      <w:tr w:rsidR="00E2476B" w14:paraId="3DF1EC1C" w14:textId="77777777" w:rsidTr="0018419C">
        <w:trPr>
          <w:trHeight w:val="5102"/>
        </w:trPr>
        <w:tc>
          <w:tcPr>
            <w:tcW w:w="9404" w:type="dxa"/>
            <w:tcMar>
              <w:top w:w="0" w:type="dxa"/>
              <w:left w:w="108" w:type="dxa"/>
              <w:bottom w:w="0" w:type="dxa"/>
              <w:right w:w="108" w:type="dxa"/>
            </w:tcMar>
          </w:tcPr>
          <w:p w14:paraId="79ECA5A4" w14:textId="77777777" w:rsidR="00E2476B" w:rsidRDefault="00E2476B" w:rsidP="0018419C">
            <w:pPr>
              <w:rPr>
                <w:rFonts w:ascii="Aptos" w:eastAsia="Aptos" w:hAnsi="Aptos" w:cs="F"/>
              </w:rPr>
            </w:pPr>
            <w:r>
              <w:rPr>
                <w:rFonts w:ascii="Aptos" w:eastAsia="Aptos" w:hAnsi="Aptos" w:cs="F"/>
              </w:rPr>
              <w:t>Figure 5 : Les conceptions de la conjugalité selon le genre, le statut conjugal et le type de couple.</w:t>
            </w:r>
          </w:p>
          <w:p w14:paraId="069B88D5" w14:textId="77777777" w:rsidR="00E2476B" w:rsidRDefault="00E2476B" w:rsidP="0018419C">
            <w:pPr>
              <w:pStyle w:val="Compact"/>
            </w:pPr>
            <w:r>
              <w:rPr>
                <w:noProof/>
              </w:rPr>
              <w:lastRenderedPageBreak/>
              <w:drawing>
                <wp:inline distT="0" distB="0" distL="0" distR="0" wp14:anchorId="0910391C" wp14:editId="4E6BADE7">
                  <wp:extent cx="5834520" cy="5828760"/>
                  <wp:effectExtent l="19050" t="19050" r="13830" b="19590"/>
                  <wp:docPr id="1" name="Imag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t="43" b="43"/>
                          <a:stretch>
                            <a:fillRect/>
                          </a:stretch>
                        </pic:blipFill>
                        <pic:spPr>
                          <a:xfrm>
                            <a:off x="0" y="0"/>
                            <a:ext cx="5834520" cy="5828760"/>
                          </a:xfrm>
                          <a:prstGeom prst="rect">
                            <a:avLst/>
                          </a:prstGeom>
                          <a:noFill/>
                          <a:ln w="3302">
                            <a:solidFill>
                              <a:srgbClr val="E8E8E8"/>
                            </a:solidFill>
                            <a:prstDash val="solid"/>
                          </a:ln>
                        </pic:spPr>
                      </pic:pic>
                    </a:graphicData>
                  </a:graphic>
                </wp:inline>
              </w:drawing>
            </w:r>
          </w:p>
          <w:p w14:paraId="17DCF76C" w14:textId="77777777" w:rsidR="00E2476B" w:rsidRDefault="00E2476B" w:rsidP="0018419C">
            <w:pPr>
              <w:pStyle w:val="Standard"/>
              <w:spacing w:after="40"/>
              <w:ind w:left="102" w:right="102"/>
            </w:pPr>
            <w:r>
              <w:rPr>
                <w:rFonts w:ascii="Times New Roman" w:eastAsia="Arial" w:hAnsi="Times New Roman" w:cs="Times New Roman"/>
                <w:color w:val="000000"/>
                <w:sz w:val="16"/>
                <w:szCs w:val="16"/>
              </w:rPr>
              <w:t>Test du Chi2, p-valeur toutes significatives (&lt; 0,001)</w:t>
            </w:r>
          </w:p>
          <w:p w14:paraId="130CABE0" w14:textId="77777777" w:rsidR="00E2476B" w:rsidRDefault="00E2476B" w:rsidP="0018419C">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Répondant∙es de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 </w:t>
            </w:r>
            <w:r>
              <w:rPr>
                <w:rFonts w:ascii="Times New Roman" w:eastAsia="Arial" w:hAnsi="Times New Roman" w:cs="Times New Roman"/>
                <w:color w:val="000000"/>
                <w:sz w:val="16"/>
                <w:szCs w:val="16"/>
              </w:rPr>
              <w:br/>
            </w: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Parmi les femmes, les bisexuelles en couple de sexe différent adhèrent le moins à l’affirmation sur les compromis dans le couple.</w:t>
            </w:r>
          </w:p>
          <w:p w14:paraId="682A6858" w14:textId="77777777" w:rsidR="00E2476B" w:rsidRDefault="00E2476B" w:rsidP="0018419C">
            <w:pPr>
              <w:pStyle w:val="Standard"/>
              <w:spacing w:after="40"/>
              <w:ind w:left="102" w:right="102"/>
            </w:pPr>
            <w:r>
              <w:rPr>
                <w:rFonts w:ascii="Times New Roman" w:eastAsia="Arial" w:hAnsi="Times New Roman" w:cs="Times New Roman"/>
                <w:b/>
                <w:bCs/>
                <w:color w:val="000000"/>
                <w:sz w:val="16"/>
                <w:szCs w:val="16"/>
              </w:rPr>
              <w:t xml:space="preserve">Sources : </w:t>
            </w:r>
            <w:r>
              <w:rPr>
                <w:rFonts w:ascii="Times New Roman" w:eastAsia="Arial" w:hAnsi="Times New Roman" w:cs="Times New Roman"/>
                <w:color w:val="000000"/>
                <w:sz w:val="16"/>
                <w:szCs w:val="16"/>
              </w:rPr>
              <w:t>Enquête Virage LGBT, Ined, 2015-2016.</w:t>
            </w:r>
          </w:p>
        </w:tc>
      </w:tr>
    </w:tbl>
    <w:p w14:paraId="04FBB67B" w14:textId="77777777" w:rsidR="00E2476B" w:rsidRDefault="00E2476B" w:rsidP="00E2476B">
      <w:pPr>
        <w:pStyle w:val="Textbody"/>
      </w:pPr>
      <w:r>
        <w:t>Cette moindre adhésion à la fusion et au compromis dans le couple observé chez les femmes bisexuelles peut être un effet de l’âge, du diplôme, du statut marital et parental. Le taux d'activité favorise également les styles conjugaux fondés sur l'autonomie (</w:t>
      </w:r>
      <w:r>
        <w:rPr>
          <w:i/>
        </w:rPr>
        <w:t>Ibid.</w:t>
      </w:r>
      <w:r>
        <w:t xml:space="preserve">). On </w:t>
      </w:r>
      <w:proofErr w:type="gramStart"/>
      <w:r>
        <w:t>va  contrôler</w:t>
      </w:r>
      <w:proofErr w:type="gramEnd"/>
      <w:r>
        <w:t xml:space="preserve"> l'effet de ces variables sur l’adhésion à l’idée qu’il faut tout faire ensemble en couple chez les femmes, puisque c’est parmi elles et sur cette question que les résultats sont les plus significatifs.</w:t>
      </w:r>
    </w:p>
    <w:p w14:paraId="47944B06" w14:textId="77777777" w:rsidR="00E2476B" w:rsidRDefault="00E2476B" w:rsidP="00E2476B">
      <w:r>
        <w:lastRenderedPageBreak/>
        <w:t>Table 4a : Probabilité chez les femmes d'adhérer à l'idée qu'il faut tout faire ensemble en couple selon l'identification sexuelle (régression logistique).</w:t>
      </w:r>
    </w:p>
    <w:tbl>
      <w:tblPr>
        <w:tblW w:w="5000" w:type="pct"/>
        <w:jc w:val="center"/>
        <w:tblLayout w:type="fixed"/>
        <w:tblCellMar>
          <w:left w:w="10" w:type="dxa"/>
          <w:right w:w="10" w:type="dxa"/>
        </w:tblCellMar>
        <w:tblLook w:val="0000" w:firstRow="0" w:lastRow="0" w:firstColumn="0" w:lastColumn="0" w:noHBand="0" w:noVBand="0"/>
      </w:tblPr>
      <w:tblGrid>
        <w:gridCol w:w="3519"/>
        <w:gridCol w:w="2933"/>
        <w:gridCol w:w="2932"/>
      </w:tblGrid>
      <w:tr w:rsidR="00E2476B" w14:paraId="68E72BAC" w14:textId="77777777" w:rsidTr="0018419C">
        <w:trPr>
          <w:tblHeader/>
          <w:jc w:val="center"/>
        </w:trPr>
        <w:tc>
          <w:tcPr>
            <w:tcW w:w="3527" w:type="dxa"/>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1F0F03D1"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2939"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1E122C37"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6"/>
                <w:szCs w:val="16"/>
              </w:rPr>
              <w:t>Fusion OR</w:t>
            </w:r>
          </w:p>
        </w:tc>
        <w:tc>
          <w:tcPr>
            <w:tcW w:w="2938" w:type="dxa"/>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36F1CD"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6"/>
                <w:szCs w:val="16"/>
              </w:rPr>
              <w:t>95% IC</w:t>
            </w:r>
          </w:p>
        </w:tc>
      </w:tr>
      <w:tr w:rsidR="00E2476B" w14:paraId="1A48DEE6" w14:textId="77777777" w:rsidTr="0018419C">
        <w:trPr>
          <w:trHeight w:val="227"/>
          <w:jc w:val="center"/>
        </w:trPr>
        <w:tc>
          <w:tcPr>
            <w:tcW w:w="3527" w:type="dxa"/>
            <w:tcBorders>
              <w:top w:val="single" w:sz="8" w:space="0" w:color="000000"/>
              <w:left w:val="single" w:sz="8" w:space="0" w:color="000000"/>
            </w:tcBorders>
            <w:shd w:val="clear" w:color="auto" w:fill="FFFFFF"/>
            <w:tcMar>
              <w:top w:w="0" w:type="dxa"/>
              <w:left w:w="0" w:type="dxa"/>
              <w:bottom w:w="0" w:type="dxa"/>
              <w:right w:w="0" w:type="dxa"/>
            </w:tcMar>
          </w:tcPr>
          <w:p w14:paraId="07835C66" w14:textId="77777777" w:rsidR="00E2476B" w:rsidRDefault="00E2476B" w:rsidP="0018419C">
            <w:pPr>
              <w:pStyle w:val="Standard"/>
              <w:spacing w:before="100" w:after="100"/>
              <w:ind w:left="100" w:right="100"/>
            </w:pPr>
            <w:r>
              <w:rPr>
                <w:rFonts w:ascii="Times New Roman" w:eastAsia="Arial" w:hAnsi="Times New Roman" w:cs="Times New Roman"/>
                <w:i/>
                <w:iCs/>
                <w:color w:val="000000"/>
                <w:sz w:val="16"/>
                <w:szCs w:val="16"/>
              </w:rPr>
              <w:t>Identification sexuelle</w:t>
            </w:r>
          </w:p>
        </w:tc>
        <w:tc>
          <w:tcPr>
            <w:tcW w:w="2939" w:type="dxa"/>
            <w:tcBorders>
              <w:top w:val="single" w:sz="8" w:space="0" w:color="000000"/>
            </w:tcBorders>
            <w:shd w:val="clear" w:color="auto" w:fill="FFFFFF"/>
            <w:tcMar>
              <w:top w:w="0" w:type="dxa"/>
              <w:left w:w="0" w:type="dxa"/>
              <w:bottom w:w="0" w:type="dxa"/>
              <w:right w:w="0" w:type="dxa"/>
            </w:tcMar>
          </w:tcPr>
          <w:p w14:paraId="557C72A5" w14:textId="77777777" w:rsidR="00E2476B" w:rsidRDefault="00E2476B" w:rsidP="0018419C">
            <w:pPr>
              <w:pStyle w:val="Standard"/>
              <w:spacing w:before="100" w:after="100"/>
              <w:ind w:left="100" w:right="100"/>
              <w:jc w:val="center"/>
              <w:rPr>
                <w:rFonts w:ascii="Times New Roman" w:eastAsia="Arial" w:hAnsi="Times New Roman" w:cs="Times New Roman"/>
                <w:color w:val="000000"/>
                <w:sz w:val="16"/>
                <w:szCs w:val="16"/>
              </w:rPr>
            </w:pPr>
          </w:p>
        </w:tc>
        <w:tc>
          <w:tcPr>
            <w:tcW w:w="2938" w:type="dxa"/>
            <w:tcBorders>
              <w:top w:val="single" w:sz="8" w:space="0" w:color="000000"/>
              <w:right w:val="single" w:sz="8" w:space="0" w:color="000000"/>
            </w:tcBorders>
            <w:shd w:val="clear" w:color="auto" w:fill="FFFFFF"/>
            <w:tcMar>
              <w:top w:w="0" w:type="dxa"/>
              <w:left w:w="0" w:type="dxa"/>
              <w:bottom w:w="0" w:type="dxa"/>
              <w:right w:w="0" w:type="dxa"/>
            </w:tcMar>
          </w:tcPr>
          <w:p w14:paraId="2247099F" w14:textId="77777777" w:rsidR="00E2476B" w:rsidRDefault="00E2476B" w:rsidP="0018419C">
            <w:pPr>
              <w:pStyle w:val="Standard"/>
              <w:spacing w:before="100" w:after="100"/>
              <w:ind w:left="100" w:right="100"/>
              <w:jc w:val="center"/>
              <w:rPr>
                <w:rFonts w:ascii="Times New Roman" w:eastAsia="Arial" w:hAnsi="Times New Roman" w:cs="Times New Roman"/>
                <w:color w:val="000000"/>
                <w:sz w:val="16"/>
                <w:szCs w:val="16"/>
              </w:rPr>
            </w:pPr>
          </w:p>
        </w:tc>
      </w:tr>
      <w:tr w:rsidR="00E2476B" w14:paraId="3086D21F" w14:textId="77777777" w:rsidTr="0018419C">
        <w:trPr>
          <w:trHeight w:val="227"/>
          <w:jc w:val="center"/>
        </w:trPr>
        <w:tc>
          <w:tcPr>
            <w:tcW w:w="3527" w:type="dxa"/>
            <w:tcBorders>
              <w:left w:val="single" w:sz="8" w:space="0" w:color="000000"/>
              <w:right w:val="single" w:sz="4" w:space="0" w:color="000000"/>
            </w:tcBorders>
            <w:shd w:val="clear" w:color="auto" w:fill="FFFFFF"/>
            <w:tcMar>
              <w:top w:w="0" w:type="dxa"/>
              <w:left w:w="0" w:type="dxa"/>
              <w:bottom w:w="0" w:type="dxa"/>
              <w:right w:w="0" w:type="dxa"/>
            </w:tcMar>
          </w:tcPr>
          <w:p w14:paraId="789BD1A0" w14:textId="77777777" w:rsidR="00E2476B" w:rsidRDefault="00E2476B" w:rsidP="0018419C">
            <w:pPr>
              <w:pStyle w:val="Standard"/>
              <w:spacing w:before="100" w:after="100"/>
              <w:ind w:left="300" w:right="100"/>
            </w:pPr>
            <w:r>
              <w:rPr>
                <w:rFonts w:ascii="Times New Roman" w:eastAsia="Arial" w:hAnsi="Times New Roman" w:cs="Times New Roman"/>
                <w:color w:val="000000"/>
                <w:sz w:val="16"/>
                <w:szCs w:val="16"/>
              </w:rPr>
              <w:t>Hétéro (réf.)</w:t>
            </w:r>
          </w:p>
        </w:tc>
        <w:tc>
          <w:tcPr>
            <w:tcW w:w="2939" w:type="dxa"/>
            <w:tcBorders>
              <w:left w:val="single" w:sz="4" w:space="0" w:color="000000"/>
              <w:right w:val="single" w:sz="4" w:space="0" w:color="000000"/>
            </w:tcBorders>
            <w:shd w:val="clear" w:color="auto" w:fill="FFFFFF"/>
            <w:tcMar>
              <w:top w:w="0" w:type="dxa"/>
              <w:left w:w="0" w:type="dxa"/>
              <w:bottom w:w="0" w:type="dxa"/>
              <w:right w:w="0" w:type="dxa"/>
            </w:tcMar>
          </w:tcPr>
          <w:p w14:paraId="0CC5F08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w:t>
            </w:r>
          </w:p>
        </w:tc>
        <w:tc>
          <w:tcPr>
            <w:tcW w:w="2938" w:type="dxa"/>
            <w:tcBorders>
              <w:left w:val="single" w:sz="4" w:space="0" w:color="000000"/>
              <w:right w:val="single" w:sz="8" w:space="0" w:color="000000"/>
            </w:tcBorders>
            <w:shd w:val="clear" w:color="auto" w:fill="FFFFFF"/>
            <w:tcMar>
              <w:top w:w="0" w:type="dxa"/>
              <w:left w:w="0" w:type="dxa"/>
              <w:bottom w:w="0" w:type="dxa"/>
              <w:right w:w="0" w:type="dxa"/>
            </w:tcMar>
          </w:tcPr>
          <w:p w14:paraId="20A9E36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w:t>
            </w:r>
          </w:p>
        </w:tc>
      </w:tr>
      <w:tr w:rsidR="00E2476B" w14:paraId="0983B843" w14:textId="77777777" w:rsidTr="0018419C">
        <w:trPr>
          <w:trHeight w:val="227"/>
          <w:jc w:val="center"/>
        </w:trPr>
        <w:tc>
          <w:tcPr>
            <w:tcW w:w="3527" w:type="dxa"/>
            <w:tcBorders>
              <w:left w:val="single" w:sz="8" w:space="0" w:color="000000"/>
              <w:right w:val="single" w:sz="4" w:space="0" w:color="000000"/>
            </w:tcBorders>
            <w:shd w:val="clear" w:color="auto" w:fill="FFFFFF"/>
            <w:tcMar>
              <w:top w:w="0" w:type="dxa"/>
              <w:left w:w="0" w:type="dxa"/>
              <w:bottom w:w="0" w:type="dxa"/>
              <w:right w:w="0" w:type="dxa"/>
            </w:tcMar>
          </w:tcPr>
          <w:p w14:paraId="3F37BCF6" w14:textId="77777777" w:rsidR="00E2476B" w:rsidRDefault="00E2476B" w:rsidP="0018419C">
            <w:pPr>
              <w:pStyle w:val="Standard"/>
              <w:spacing w:before="100" w:after="100"/>
              <w:ind w:left="300" w:right="100"/>
            </w:pPr>
            <w:r>
              <w:rPr>
                <w:rFonts w:ascii="Times New Roman" w:eastAsia="Arial" w:hAnsi="Times New Roman" w:cs="Times New Roman"/>
                <w:color w:val="000000"/>
                <w:sz w:val="16"/>
                <w:szCs w:val="16"/>
              </w:rPr>
              <w:t>Bi</w:t>
            </w:r>
          </w:p>
        </w:tc>
        <w:tc>
          <w:tcPr>
            <w:tcW w:w="2939" w:type="dxa"/>
            <w:tcBorders>
              <w:left w:val="single" w:sz="4" w:space="0" w:color="000000"/>
              <w:right w:val="single" w:sz="4" w:space="0" w:color="000000"/>
            </w:tcBorders>
            <w:shd w:val="clear" w:color="auto" w:fill="FFFFFF"/>
            <w:tcMar>
              <w:top w:w="0" w:type="dxa"/>
              <w:left w:w="0" w:type="dxa"/>
              <w:bottom w:w="0" w:type="dxa"/>
              <w:right w:w="0" w:type="dxa"/>
            </w:tcMar>
          </w:tcPr>
          <w:p w14:paraId="5859111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0,60*</w:t>
            </w:r>
          </w:p>
        </w:tc>
        <w:tc>
          <w:tcPr>
            <w:tcW w:w="2938" w:type="dxa"/>
            <w:tcBorders>
              <w:left w:val="single" w:sz="4" w:space="0" w:color="000000"/>
              <w:right w:val="single" w:sz="8" w:space="0" w:color="000000"/>
            </w:tcBorders>
            <w:shd w:val="clear" w:color="auto" w:fill="FFFFFF"/>
            <w:tcMar>
              <w:top w:w="0" w:type="dxa"/>
              <w:left w:w="0" w:type="dxa"/>
              <w:bottom w:w="0" w:type="dxa"/>
              <w:right w:w="0" w:type="dxa"/>
            </w:tcMar>
          </w:tcPr>
          <w:p w14:paraId="6BF0A20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0,39 – 0,91</w:t>
            </w:r>
          </w:p>
        </w:tc>
      </w:tr>
      <w:tr w:rsidR="00E2476B" w14:paraId="7E3FE566" w14:textId="77777777" w:rsidTr="0018419C">
        <w:trPr>
          <w:trHeight w:val="227"/>
          <w:jc w:val="center"/>
        </w:trPr>
        <w:tc>
          <w:tcPr>
            <w:tcW w:w="3527" w:type="dxa"/>
            <w:tcBorders>
              <w:left w:val="single" w:sz="8" w:space="0" w:color="000000"/>
              <w:bottom w:val="single" w:sz="8" w:space="0" w:color="000000"/>
              <w:right w:val="single" w:sz="4" w:space="0" w:color="000000"/>
            </w:tcBorders>
            <w:shd w:val="clear" w:color="auto" w:fill="FFFFFF"/>
            <w:tcMar>
              <w:top w:w="0" w:type="dxa"/>
              <w:left w:w="0" w:type="dxa"/>
              <w:bottom w:w="0" w:type="dxa"/>
              <w:right w:w="0" w:type="dxa"/>
            </w:tcMar>
          </w:tcPr>
          <w:p w14:paraId="1D40A94D" w14:textId="77777777" w:rsidR="00E2476B" w:rsidRDefault="00E2476B" w:rsidP="0018419C">
            <w:pPr>
              <w:pStyle w:val="Standard"/>
              <w:spacing w:before="100" w:after="100"/>
              <w:ind w:left="300" w:right="100"/>
            </w:pPr>
            <w:r>
              <w:rPr>
                <w:rFonts w:ascii="Times New Roman" w:eastAsia="Arial" w:hAnsi="Times New Roman" w:cs="Times New Roman"/>
                <w:color w:val="000000"/>
                <w:sz w:val="16"/>
                <w:szCs w:val="16"/>
              </w:rPr>
              <w:t>Homo</w:t>
            </w:r>
          </w:p>
        </w:tc>
        <w:tc>
          <w:tcPr>
            <w:tcW w:w="2939" w:type="dxa"/>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54ABA2F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0,67</w:t>
            </w:r>
          </w:p>
        </w:tc>
        <w:tc>
          <w:tcPr>
            <w:tcW w:w="2938" w:type="dxa"/>
            <w:tcBorders>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5798068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0,38 – 1,17</w:t>
            </w:r>
          </w:p>
        </w:tc>
      </w:tr>
      <w:tr w:rsidR="00E2476B" w14:paraId="249BA06F" w14:textId="77777777" w:rsidTr="0018419C">
        <w:trPr>
          <w:trHeight w:val="1531"/>
          <w:jc w:val="center"/>
        </w:trPr>
        <w:tc>
          <w:tcPr>
            <w:tcW w:w="9404"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4507143"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4D16173E"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Abréviations : IC = intervalle de confiance, OR = rapport de chances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w:t>
            </w:r>
          </w:p>
          <w:p w14:paraId="638681C2"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Variables de contrôle : âge, diplôme, statut marital, statut parental, statut d'activité.</w:t>
            </w:r>
          </w:p>
          <w:p w14:paraId="3A2CE052"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répondantes à l'enquête Virage PG. Données pondérées.</w:t>
            </w:r>
          </w:p>
          <w:p w14:paraId="66A67264"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ont moins de chance d'adhérer à l'idée qu'en couple il faut tout faire ensemble que les femmes hétérosexuelles, à variables de contrôle équivalentes.</w:t>
            </w:r>
          </w:p>
          <w:p w14:paraId="1A7F66E8"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PG, Ined, 2015.</w:t>
            </w:r>
          </w:p>
        </w:tc>
      </w:tr>
    </w:tbl>
    <w:p w14:paraId="0166871D" w14:textId="77777777" w:rsidR="00E2476B" w:rsidRDefault="00E2476B" w:rsidP="00E2476B">
      <w:r>
        <w:t>Table 4b : Probabilité chez les femmes d'adhérer à l'idée qu'il faut tout faire ensemble en couple selon le statut conjugal et le type de couple (régression logistique).</w:t>
      </w:r>
    </w:p>
    <w:tbl>
      <w:tblPr>
        <w:tblW w:w="4850" w:type="pct"/>
        <w:jc w:val="center"/>
        <w:tblLayout w:type="fixed"/>
        <w:tblCellMar>
          <w:left w:w="10" w:type="dxa"/>
          <w:right w:w="10" w:type="dxa"/>
        </w:tblCellMar>
        <w:tblLook w:val="0000" w:firstRow="0" w:lastRow="0" w:firstColumn="0" w:lastColumn="0" w:noHBand="0" w:noVBand="0"/>
      </w:tblPr>
      <w:tblGrid>
        <w:gridCol w:w="3351"/>
        <w:gridCol w:w="2875"/>
        <w:gridCol w:w="2876"/>
      </w:tblGrid>
      <w:tr w:rsidR="00E2476B" w14:paraId="535A1883" w14:textId="77777777" w:rsidTr="0018419C">
        <w:trPr>
          <w:tblHeader/>
          <w:jc w:val="center"/>
        </w:trPr>
        <w:tc>
          <w:tcPr>
            <w:tcW w:w="3358" w:type="dxa"/>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555A0D45" w14:textId="77777777" w:rsidR="00E2476B" w:rsidRDefault="00E2476B" w:rsidP="0018419C">
            <w:pPr>
              <w:pStyle w:val="Standard"/>
              <w:spacing w:before="40" w:after="40"/>
              <w:ind w:left="100" w:right="100"/>
              <w:rPr>
                <w:rFonts w:ascii="Times New Roman" w:eastAsia="Arial" w:hAnsi="Times New Roman" w:cs="Times New Roman"/>
                <w:color w:val="000000"/>
                <w:sz w:val="16"/>
                <w:szCs w:val="16"/>
              </w:rPr>
            </w:pPr>
          </w:p>
        </w:tc>
        <w:tc>
          <w:tcPr>
            <w:tcW w:w="2882" w:type="dxa"/>
            <w:tcBorders>
              <w:top w:val="single" w:sz="8" w:space="0" w:color="000000"/>
              <w:bottom w:val="single" w:sz="8" w:space="0" w:color="000000"/>
            </w:tcBorders>
            <w:shd w:val="clear" w:color="auto" w:fill="FFFFFF"/>
            <w:tcMar>
              <w:top w:w="0" w:type="dxa"/>
              <w:left w:w="0" w:type="dxa"/>
              <w:bottom w:w="0" w:type="dxa"/>
              <w:right w:w="0" w:type="dxa"/>
            </w:tcMar>
            <w:vAlign w:val="center"/>
          </w:tcPr>
          <w:p w14:paraId="7ABBF092"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6"/>
                <w:szCs w:val="16"/>
              </w:rPr>
              <w:t>Fusion OR</w:t>
            </w:r>
          </w:p>
        </w:tc>
        <w:tc>
          <w:tcPr>
            <w:tcW w:w="2883" w:type="dxa"/>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7091AE9"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6"/>
                <w:szCs w:val="16"/>
              </w:rPr>
              <w:t>95% IC</w:t>
            </w:r>
          </w:p>
        </w:tc>
      </w:tr>
      <w:tr w:rsidR="00E2476B" w14:paraId="4B162A55" w14:textId="77777777" w:rsidTr="0018419C">
        <w:trPr>
          <w:jc w:val="center"/>
        </w:trPr>
        <w:tc>
          <w:tcPr>
            <w:tcW w:w="3358" w:type="dxa"/>
            <w:tcBorders>
              <w:top w:val="single" w:sz="8" w:space="0" w:color="000000"/>
              <w:left w:val="single" w:sz="8" w:space="0" w:color="000000"/>
            </w:tcBorders>
            <w:shd w:val="clear" w:color="auto" w:fill="FFFFFF"/>
            <w:tcMar>
              <w:top w:w="0" w:type="dxa"/>
              <w:left w:w="0" w:type="dxa"/>
              <w:bottom w:w="0" w:type="dxa"/>
              <w:right w:w="0" w:type="dxa"/>
            </w:tcMar>
          </w:tcPr>
          <w:p w14:paraId="426B3873" w14:textId="77777777" w:rsidR="00E2476B" w:rsidRDefault="00E2476B" w:rsidP="0018419C">
            <w:pPr>
              <w:pStyle w:val="Standard"/>
              <w:spacing w:before="100" w:after="100"/>
              <w:ind w:left="100" w:right="100"/>
            </w:pPr>
            <w:r>
              <w:rPr>
                <w:rFonts w:ascii="Times New Roman" w:eastAsia="Arial" w:hAnsi="Times New Roman" w:cs="Times New Roman"/>
                <w:i/>
                <w:iCs/>
                <w:color w:val="000000"/>
                <w:sz w:val="16"/>
                <w:szCs w:val="16"/>
              </w:rPr>
              <w:t>Statut conjugal</w:t>
            </w:r>
          </w:p>
        </w:tc>
        <w:tc>
          <w:tcPr>
            <w:tcW w:w="2882" w:type="dxa"/>
            <w:tcBorders>
              <w:top w:val="single" w:sz="8" w:space="0" w:color="000000"/>
            </w:tcBorders>
            <w:shd w:val="clear" w:color="auto" w:fill="FFFFFF"/>
            <w:tcMar>
              <w:top w:w="0" w:type="dxa"/>
              <w:left w:w="0" w:type="dxa"/>
              <w:bottom w:w="0" w:type="dxa"/>
              <w:right w:w="0" w:type="dxa"/>
            </w:tcMar>
          </w:tcPr>
          <w:p w14:paraId="26616BF8" w14:textId="77777777" w:rsidR="00E2476B" w:rsidRDefault="00E2476B" w:rsidP="0018419C">
            <w:pPr>
              <w:pStyle w:val="Standard"/>
              <w:spacing w:before="100" w:after="100"/>
              <w:ind w:left="100" w:right="100"/>
              <w:jc w:val="center"/>
              <w:rPr>
                <w:rFonts w:ascii="Times New Roman" w:eastAsia="Arial" w:hAnsi="Times New Roman" w:cs="Times New Roman"/>
                <w:color w:val="000000"/>
                <w:sz w:val="16"/>
                <w:szCs w:val="16"/>
              </w:rPr>
            </w:pPr>
          </w:p>
        </w:tc>
        <w:tc>
          <w:tcPr>
            <w:tcW w:w="2883" w:type="dxa"/>
            <w:tcBorders>
              <w:top w:val="single" w:sz="8" w:space="0" w:color="000000"/>
              <w:right w:val="single" w:sz="8" w:space="0" w:color="000000"/>
            </w:tcBorders>
            <w:shd w:val="clear" w:color="auto" w:fill="FFFFFF"/>
            <w:tcMar>
              <w:top w:w="0" w:type="dxa"/>
              <w:left w:w="0" w:type="dxa"/>
              <w:bottom w:w="0" w:type="dxa"/>
              <w:right w:w="0" w:type="dxa"/>
            </w:tcMar>
          </w:tcPr>
          <w:p w14:paraId="0277DAEB" w14:textId="77777777" w:rsidR="00E2476B" w:rsidRDefault="00E2476B" w:rsidP="0018419C">
            <w:pPr>
              <w:pStyle w:val="Standard"/>
              <w:spacing w:before="100" w:after="100"/>
              <w:ind w:left="100" w:right="100"/>
              <w:jc w:val="center"/>
              <w:rPr>
                <w:rFonts w:ascii="Times New Roman" w:eastAsia="Arial" w:hAnsi="Times New Roman" w:cs="Times New Roman"/>
                <w:color w:val="000000"/>
                <w:sz w:val="16"/>
                <w:szCs w:val="16"/>
              </w:rPr>
            </w:pPr>
          </w:p>
        </w:tc>
      </w:tr>
      <w:tr w:rsidR="00E2476B" w14:paraId="1A2595B7" w14:textId="77777777" w:rsidTr="0018419C">
        <w:trPr>
          <w:jc w:val="center"/>
        </w:trPr>
        <w:tc>
          <w:tcPr>
            <w:tcW w:w="3358" w:type="dxa"/>
            <w:tcBorders>
              <w:left w:val="single" w:sz="8" w:space="0" w:color="000000"/>
              <w:right w:val="single" w:sz="4" w:space="0" w:color="000000"/>
            </w:tcBorders>
            <w:shd w:val="clear" w:color="auto" w:fill="FFFFFF"/>
            <w:tcMar>
              <w:top w:w="0" w:type="dxa"/>
              <w:left w:w="0" w:type="dxa"/>
              <w:bottom w:w="0" w:type="dxa"/>
              <w:right w:w="0" w:type="dxa"/>
            </w:tcMar>
          </w:tcPr>
          <w:p w14:paraId="2C62EB3B" w14:textId="77777777" w:rsidR="00E2476B" w:rsidRDefault="00E2476B" w:rsidP="0018419C">
            <w:pPr>
              <w:pStyle w:val="Standard"/>
              <w:spacing w:before="100" w:after="100"/>
              <w:ind w:left="300" w:right="100"/>
            </w:pPr>
            <w:r>
              <w:rPr>
                <w:rFonts w:ascii="Times New Roman" w:eastAsia="Arial" w:hAnsi="Times New Roman" w:cs="Times New Roman"/>
                <w:color w:val="000000"/>
                <w:sz w:val="16"/>
                <w:szCs w:val="16"/>
              </w:rPr>
              <w:t>Homo en couple (réf.)</w:t>
            </w:r>
          </w:p>
        </w:tc>
        <w:tc>
          <w:tcPr>
            <w:tcW w:w="2882" w:type="dxa"/>
            <w:tcBorders>
              <w:left w:val="single" w:sz="4" w:space="0" w:color="000000"/>
              <w:right w:val="single" w:sz="4" w:space="0" w:color="000000"/>
            </w:tcBorders>
            <w:shd w:val="clear" w:color="auto" w:fill="FFFFFF"/>
            <w:tcMar>
              <w:top w:w="0" w:type="dxa"/>
              <w:left w:w="0" w:type="dxa"/>
              <w:bottom w:w="0" w:type="dxa"/>
              <w:right w:w="0" w:type="dxa"/>
            </w:tcMar>
          </w:tcPr>
          <w:p w14:paraId="69E6F39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w:t>
            </w:r>
          </w:p>
        </w:tc>
        <w:tc>
          <w:tcPr>
            <w:tcW w:w="2883" w:type="dxa"/>
            <w:tcBorders>
              <w:left w:val="single" w:sz="4" w:space="0" w:color="000000"/>
              <w:right w:val="single" w:sz="8" w:space="0" w:color="000000"/>
            </w:tcBorders>
            <w:shd w:val="clear" w:color="auto" w:fill="FFFFFF"/>
            <w:tcMar>
              <w:top w:w="0" w:type="dxa"/>
              <w:left w:w="0" w:type="dxa"/>
              <w:bottom w:w="0" w:type="dxa"/>
              <w:right w:w="0" w:type="dxa"/>
            </w:tcMar>
          </w:tcPr>
          <w:p w14:paraId="5C1B30A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w:t>
            </w:r>
          </w:p>
        </w:tc>
      </w:tr>
      <w:tr w:rsidR="00E2476B" w14:paraId="58EF03EC" w14:textId="77777777" w:rsidTr="0018419C">
        <w:trPr>
          <w:jc w:val="center"/>
        </w:trPr>
        <w:tc>
          <w:tcPr>
            <w:tcW w:w="3358" w:type="dxa"/>
            <w:tcBorders>
              <w:left w:val="single" w:sz="8" w:space="0" w:color="000000"/>
              <w:right w:val="single" w:sz="4" w:space="0" w:color="000000"/>
            </w:tcBorders>
            <w:shd w:val="clear" w:color="auto" w:fill="FFFFFF"/>
            <w:tcMar>
              <w:top w:w="0" w:type="dxa"/>
              <w:left w:w="0" w:type="dxa"/>
              <w:bottom w:w="0" w:type="dxa"/>
              <w:right w:w="0" w:type="dxa"/>
            </w:tcMar>
          </w:tcPr>
          <w:p w14:paraId="2EED3F4F" w14:textId="77777777" w:rsidR="00E2476B" w:rsidRDefault="00E2476B" w:rsidP="0018419C">
            <w:pPr>
              <w:pStyle w:val="Standard"/>
              <w:spacing w:before="100" w:after="100"/>
              <w:ind w:left="300" w:right="100"/>
            </w:pPr>
            <w:r>
              <w:rPr>
                <w:rFonts w:ascii="Times New Roman" w:eastAsia="Arial" w:hAnsi="Times New Roman" w:cs="Times New Roman"/>
                <w:color w:val="000000"/>
                <w:sz w:val="16"/>
                <w:szCs w:val="16"/>
              </w:rPr>
              <w:t>Homo célibataire</w:t>
            </w:r>
          </w:p>
        </w:tc>
        <w:tc>
          <w:tcPr>
            <w:tcW w:w="2882" w:type="dxa"/>
            <w:tcBorders>
              <w:left w:val="single" w:sz="4" w:space="0" w:color="000000"/>
              <w:right w:val="single" w:sz="4" w:space="0" w:color="000000"/>
            </w:tcBorders>
            <w:shd w:val="clear" w:color="auto" w:fill="FFFFFF"/>
            <w:tcMar>
              <w:top w:w="0" w:type="dxa"/>
              <w:left w:w="0" w:type="dxa"/>
              <w:bottom w:w="0" w:type="dxa"/>
              <w:right w:w="0" w:type="dxa"/>
            </w:tcMar>
          </w:tcPr>
          <w:p w14:paraId="5EA28B8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0,44***</w:t>
            </w:r>
          </w:p>
        </w:tc>
        <w:tc>
          <w:tcPr>
            <w:tcW w:w="2883" w:type="dxa"/>
            <w:tcBorders>
              <w:left w:val="single" w:sz="4" w:space="0" w:color="000000"/>
              <w:right w:val="single" w:sz="8" w:space="0" w:color="000000"/>
            </w:tcBorders>
            <w:shd w:val="clear" w:color="auto" w:fill="FFFFFF"/>
            <w:tcMar>
              <w:top w:w="0" w:type="dxa"/>
              <w:left w:w="0" w:type="dxa"/>
              <w:bottom w:w="0" w:type="dxa"/>
              <w:right w:w="0" w:type="dxa"/>
            </w:tcMar>
          </w:tcPr>
          <w:p w14:paraId="1CCF54A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0,34 – 0,56</w:t>
            </w:r>
          </w:p>
        </w:tc>
      </w:tr>
      <w:tr w:rsidR="00E2476B" w14:paraId="2E994032" w14:textId="77777777" w:rsidTr="0018419C">
        <w:trPr>
          <w:jc w:val="center"/>
        </w:trPr>
        <w:tc>
          <w:tcPr>
            <w:tcW w:w="3358" w:type="dxa"/>
            <w:tcBorders>
              <w:left w:val="single" w:sz="8" w:space="0" w:color="000000"/>
              <w:right w:val="single" w:sz="4" w:space="0" w:color="000000"/>
            </w:tcBorders>
            <w:shd w:val="clear" w:color="auto" w:fill="FFFFFF"/>
            <w:tcMar>
              <w:top w:w="0" w:type="dxa"/>
              <w:left w:w="0" w:type="dxa"/>
              <w:bottom w:w="0" w:type="dxa"/>
              <w:right w:w="0" w:type="dxa"/>
            </w:tcMar>
          </w:tcPr>
          <w:p w14:paraId="64766799" w14:textId="77777777" w:rsidR="00E2476B" w:rsidRDefault="00E2476B" w:rsidP="0018419C">
            <w:pPr>
              <w:pStyle w:val="Standard"/>
              <w:spacing w:before="100" w:after="100"/>
              <w:ind w:left="300" w:right="100"/>
            </w:pPr>
            <w:r>
              <w:rPr>
                <w:rFonts w:ascii="Times New Roman" w:eastAsia="Arial" w:hAnsi="Times New Roman" w:cs="Times New Roman"/>
                <w:color w:val="000000"/>
                <w:sz w:val="16"/>
                <w:szCs w:val="16"/>
              </w:rPr>
              <w:t>Bi en couple de même sexe</w:t>
            </w:r>
          </w:p>
        </w:tc>
        <w:tc>
          <w:tcPr>
            <w:tcW w:w="2882" w:type="dxa"/>
            <w:tcBorders>
              <w:left w:val="single" w:sz="4" w:space="0" w:color="000000"/>
              <w:right w:val="single" w:sz="4" w:space="0" w:color="000000"/>
            </w:tcBorders>
            <w:shd w:val="clear" w:color="auto" w:fill="FFFFFF"/>
            <w:tcMar>
              <w:top w:w="0" w:type="dxa"/>
              <w:left w:w="0" w:type="dxa"/>
              <w:bottom w:w="0" w:type="dxa"/>
              <w:right w:w="0" w:type="dxa"/>
            </w:tcMar>
          </w:tcPr>
          <w:p w14:paraId="2D7143E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0,78</w:t>
            </w:r>
          </w:p>
        </w:tc>
        <w:tc>
          <w:tcPr>
            <w:tcW w:w="2883" w:type="dxa"/>
            <w:tcBorders>
              <w:left w:val="single" w:sz="4" w:space="0" w:color="000000"/>
              <w:right w:val="single" w:sz="8" w:space="0" w:color="000000"/>
            </w:tcBorders>
            <w:shd w:val="clear" w:color="auto" w:fill="FFFFFF"/>
            <w:tcMar>
              <w:top w:w="0" w:type="dxa"/>
              <w:left w:w="0" w:type="dxa"/>
              <w:bottom w:w="0" w:type="dxa"/>
              <w:right w:w="0" w:type="dxa"/>
            </w:tcMar>
          </w:tcPr>
          <w:p w14:paraId="6D45ECC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0,57 – 1,06</w:t>
            </w:r>
          </w:p>
        </w:tc>
      </w:tr>
      <w:tr w:rsidR="00E2476B" w14:paraId="63703942" w14:textId="77777777" w:rsidTr="0018419C">
        <w:trPr>
          <w:jc w:val="center"/>
        </w:trPr>
        <w:tc>
          <w:tcPr>
            <w:tcW w:w="3358" w:type="dxa"/>
            <w:tcBorders>
              <w:left w:val="single" w:sz="8" w:space="0" w:color="000000"/>
              <w:right w:val="single" w:sz="4" w:space="0" w:color="000000"/>
            </w:tcBorders>
            <w:shd w:val="clear" w:color="auto" w:fill="FFFFFF"/>
            <w:tcMar>
              <w:top w:w="0" w:type="dxa"/>
              <w:left w:w="0" w:type="dxa"/>
              <w:bottom w:w="0" w:type="dxa"/>
              <w:right w:w="0" w:type="dxa"/>
            </w:tcMar>
          </w:tcPr>
          <w:p w14:paraId="4840971B" w14:textId="77777777" w:rsidR="00E2476B" w:rsidRDefault="00E2476B" w:rsidP="0018419C">
            <w:pPr>
              <w:pStyle w:val="Standard"/>
              <w:spacing w:before="100" w:after="100"/>
              <w:ind w:left="300" w:right="100"/>
            </w:pPr>
            <w:r>
              <w:rPr>
                <w:rFonts w:ascii="Times New Roman" w:eastAsia="Arial" w:hAnsi="Times New Roman" w:cs="Times New Roman"/>
                <w:color w:val="000000"/>
                <w:sz w:val="16"/>
                <w:szCs w:val="16"/>
              </w:rPr>
              <w:t>Bi en couple de sexe différent</w:t>
            </w:r>
          </w:p>
        </w:tc>
        <w:tc>
          <w:tcPr>
            <w:tcW w:w="2882" w:type="dxa"/>
            <w:tcBorders>
              <w:left w:val="single" w:sz="4" w:space="0" w:color="000000"/>
              <w:right w:val="single" w:sz="4" w:space="0" w:color="000000"/>
            </w:tcBorders>
            <w:shd w:val="clear" w:color="auto" w:fill="FFFFFF"/>
            <w:tcMar>
              <w:top w:w="0" w:type="dxa"/>
              <w:left w:w="0" w:type="dxa"/>
              <w:bottom w:w="0" w:type="dxa"/>
              <w:right w:w="0" w:type="dxa"/>
            </w:tcMar>
          </w:tcPr>
          <w:p w14:paraId="70F1B19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0,60**</w:t>
            </w:r>
          </w:p>
        </w:tc>
        <w:tc>
          <w:tcPr>
            <w:tcW w:w="2883" w:type="dxa"/>
            <w:tcBorders>
              <w:left w:val="single" w:sz="4" w:space="0" w:color="000000"/>
              <w:right w:val="single" w:sz="8" w:space="0" w:color="000000"/>
            </w:tcBorders>
            <w:shd w:val="clear" w:color="auto" w:fill="FFFFFF"/>
            <w:tcMar>
              <w:top w:w="0" w:type="dxa"/>
              <w:left w:w="0" w:type="dxa"/>
              <w:bottom w:w="0" w:type="dxa"/>
              <w:right w:w="0" w:type="dxa"/>
            </w:tcMar>
          </w:tcPr>
          <w:p w14:paraId="0336ABF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0,41 – 0,86</w:t>
            </w:r>
          </w:p>
        </w:tc>
      </w:tr>
      <w:tr w:rsidR="00E2476B" w14:paraId="1FFAAD37" w14:textId="77777777" w:rsidTr="0018419C">
        <w:trPr>
          <w:jc w:val="center"/>
        </w:trPr>
        <w:tc>
          <w:tcPr>
            <w:tcW w:w="3358" w:type="dxa"/>
            <w:tcBorders>
              <w:left w:val="single" w:sz="8" w:space="0" w:color="000000"/>
              <w:bottom w:val="single" w:sz="8" w:space="0" w:color="000000"/>
              <w:right w:val="single" w:sz="4" w:space="0" w:color="000000"/>
            </w:tcBorders>
            <w:shd w:val="clear" w:color="auto" w:fill="FFFFFF"/>
            <w:tcMar>
              <w:top w:w="0" w:type="dxa"/>
              <w:left w:w="0" w:type="dxa"/>
              <w:bottom w:w="0" w:type="dxa"/>
              <w:right w:w="0" w:type="dxa"/>
            </w:tcMar>
          </w:tcPr>
          <w:p w14:paraId="635195F5" w14:textId="77777777" w:rsidR="00E2476B" w:rsidRDefault="00E2476B" w:rsidP="0018419C">
            <w:pPr>
              <w:pStyle w:val="Standard"/>
              <w:spacing w:before="100" w:after="100"/>
              <w:ind w:left="300" w:right="100"/>
            </w:pPr>
            <w:r>
              <w:rPr>
                <w:rFonts w:ascii="Times New Roman" w:eastAsia="Arial" w:hAnsi="Times New Roman" w:cs="Times New Roman"/>
                <w:color w:val="000000"/>
                <w:sz w:val="16"/>
                <w:szCs w:val="16"/>
              </w:rPr>
              <w:t>Bi célibataire</w:t>
            </w:r>
          </w:p>
        </w:tc>
        <w:tc>
          <w:tcPr>
            <w:tcW w:w="2882" w:type="dxa"/>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4BF2C7F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0,35***</w:t>
            </w:r>
          </w:p>
        </w:tc>
        <w:tc>
          <w:tcPr>
            <w:tcW w:w="2883" w:type="dxa"/>
            <w:tcBorders>
              <w:left w:val="single" w:sz="4" w:space="0" w:color="000000"/>
              <w:bottom w:val="single" w:sz="8" w:space="0" w:color="000000"/>
              <w:right w:val="single" w:sz="8" w:space="0" w:color="000000"/>
            </w:tcBorders>
            <w:shd w:val="clear" w:color="auto" w:fill="FFFFFF"/>
            <w:tcMar>
              <w:top w:w="0" w:type="dxa"/>
              <w:left w:w="0" w:type="dxa"/>
              <w:bottom w:w="0" w:type="dxa"/>
              <w:right w:w="0" w:type="dxa"/>
            </w:tcMar>
          </w:tcPr>
          <w:p w14:paraId="3BED76F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6"/>
                <w:szCs w:val="16"/>
              </w:rPr>
              <w:t>0,23 – 0,53</w:t>
            </w:r>
          </w:p>
        </w:tc>
      </w:tr>
      <w:tr w:rsidR="00E2476B" w14:paraId="5B09BA21" w14:textId="77777777" w:rsidTr="0018419C">
        <w:trPr>
          <w:jc w:val="center"/>
        </w:trPr>
        <w:tc>
          <w:tcPr>
            <w:tcW w:w="9123" w:type="dxa"/>
            <w:gridSpan w:val="3"/>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6ED3E0A2"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515D95E5"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Abréviations : IC = intervalle de confiance, OR = rapport de chances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w:t>
            </w:r>
          </w:p>
          <w:p w14:paraId="0E4C5387"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Variables de contrôle : âge, diplôme, statut marital, statut parental, statut d'activité.</w:t>
            </w:r>
          </w:p>
          <w:p w14:paraId="212D13A6"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répondantes âgées de 20 à 69 ans à l'enquête Virage LGBT.</w:t>
            </w:r>
          </w:p>
          <w:p w14:paraId="59578438"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homosexuelles célibataires ont moins de chance d'adhérer à l'idée qu'en couple il faut tout faire ensemble que les femmes homosexuelles en couple, à variables de contrôle équivalentes.</w:t>
            </w:r>
          </w:p>
          <w:p w14:paraId="0D784C09"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LGBT, Ined, 2015-2016.</w:t>
            </w:r>
          </w:p>
        </w:tc>
      </w:tr>
    </w:tbl>
    <w:p w14:paraId="1F365B0F" w14:textId="77777777" w:rsidR="00E2476B" w:rsidRDefault="00E2476B" w:rsidP="00E2476B">
      <w:pPr>
        <w:pStyle w:val="Titre4"/>
        <w:spacing w:before="240"/>
      </w:pPr>
      <w:r>
        <w:t>Les femmes bisexuelles en couple de sexe différent adhèrent moins à la conception fusionnelle du couple</w:t>
      </w:r>
    </w:p>
    <w:p w14:paraId="0350047A" w14:textId="77777777" w:rsidR="00E2476B" w:rsidRDefault="00E2476B" w:rsidP="00E2476B">
      <w:pPr>
        <w:pStyle w:val="Textbody"/>
      </w:pPr>
      <w:r>
        <w:t>Les femmes bisexuelles ont moins de chance d'adhérer à l'idée qu'en couple il faut tout faire ensemble que les femmes hétérosexuelles, à variables de contrôle équivalentes. Quand on va dans le détail du type de couple dans la base LGBT (</w:t>
      </w:r>
      <w:hyperlink w:anchor="Tableau4|table" w:history="1">
        <w:r>
          <w:t>Tableau 4b</w:t>
        </w:r>
      </w:hyperlink>
      <w:r>
        <w:t xml:space="preserve">), on réalise que ce qui a le plus d'effet sur la probabilité de ne pas adhérer à l'affirmation est le fait d’être célibataire. En effet, les femmes bisexuelles et lesbiennes célibataires ont significativement moins de chance d'adhérer que les femmes homosexuelles en couple. Le résultat est également significatif pour les bisexuelles en couple de sexe différent, confirmant la tendance observée dans la </w:t>
      </w:r>
      <w:hyperlink w:anchor="Image 5|graphic" w:history="1">
        <w:r>
          <w:t>Figure 5</w:t>
        </w:r>
      </w:hyperlink>
      <w:r>
        <w:t>.</w:t>
      </w:r>
    </w:p>
    <w:p w14:paraId="2FC86E60" w14:textId="77777777" w:rsidR="00E2476B" w:rsidRDefault="00E2476B" w:rsidP="00E2476B">
      <w:pPr>
        <w:pStyle w:val="Textbody"/>
      </w:pPr>
      <w:r>
        <w:lastRenderedPageBreak/>
        <w:t xml:space="preserve">Pourquoi est-ce que c’est quand elles sont en couple avec des hommes que les femmes bisexuelles adhèrent le moins à l’approche fusionnelle du couple ? Quelques pistes d’interprétation à ce stade : on le voit dans l’enquête Envie, les lesbiennes et les bis/pans sont surreprésentées parmi les jeunes ayant une orientation égalitaire (Bozon et </w:t>
      </w:r>
      <w:proofErr w:type="spellStart"/>
      <w:r>
        <w:t>Philit</w:t>
      </w:r>
      <w:proofErr w:type="spellEnd"/>
      <w:r>
        <w:t xml:space="preserve"> 2025). Les résultats d’Envie sont à utiliser avec précaution, la jeunesse sexuelle qui y est mesurée n’est pas la même que celle de Virage. Les bisexualités et identification </w:t>
      </w:r>
      <w:proofErr w:type="spellStart"/>
      <w:r>
        <w:t>plurisexuelles</w:t>
      </w:r>
      <w:proofErr w:type="spellEnd"/>
      <w:r>
        <w:t xml:space="preserve"> évoluent rapidement, le moment #MeToo concorde avec une plus grande remise en question du couple hétérosexuel. Ainsi, si les bisexualités de Virage et d’Envie sont différentes a beaucoup d’égard, on peut émettre l’hypothèse que la </w:t>
      </w:r>
      <w:r>
        <w:rPr>
          <w:color w:val="000000"/>
        </w:rPr>
        <w:t>bisexualité féminine est corrélée à un ethos, si ce n’est féministe, du moins plus égalitaire. Cela expliquerait en partie une</w:t>
      </w:r>
      <w:r>
        <w:t xml:space="preserve"> vision autonome du couple et une mise à distance des normes conjugales. A ce stade, les observations sont trop isolées pour formuler un résultat solide. Nous allons compléter cette étude par des éléments sur les formes de sociabilité. Est-ce que la moindre adhésion à la fusion dans le couple chez les femmes bisexuelles s’accompagne d’une sociabilité plus forte en dehors du couple ?</w:t>
      </w:r>
    </w:p>
    <w:p w14:paraId="373F193E" w14:textId="77777777" w:rsidR="00E2476B" w:rsidRDefault="00E2476B" w:rsidP="00E2476B">
      <w:pPr>
        <w:pStyle w:val="Titre3"/>
      </w:pPr>
      <w:bookmarkStart w:id="65" w:name="_Toc237679777"/>
      <w:bookmarkStart w:id="66" w:name="__RefHeading___Toc52644_3216639541"/>
      <w:r>
        <w:t>La sociabilité externe au couple</w:t>
      </w:r>
      <w:bookmarkEnd w:id="65"/>
      <w:bookmarkEnd w:id="66"/>
    </w:p>
    <w:p w14:paraId="0AB82B21" w14:textId="77777777" w:rsidR="00E2476B" w:rsidRDefault="00E2476B" w:rsidP="00E2476B">
      <w:pPr>
        <w:pStyle w:val="Textbody"/>
      </w:pPr>
      <w:r>
        <w:t xml:space="preserve">Nous étudions maintenant la dimension d'ouverture / clôture des couples. Le questionnaire comporte des questions sur le fait de se confier à </w:t>
      </w:r>
      <w:proofErr w:type="spellStart"/>
      <w:r>
        <w:t>sa∙on</w:t>
      </w:r>
      <w:proofErr w:type="spellEnd"/>
      <w:r>
        <w:t xml:space="preserve"> </w:t>
      </w:r>
      <w:proofErr w:type="spellStart"/>
      <w:r>
        <w:t>conjoint∙e</w:t>
      </w:r>
      <w:proofErr w:type="spellEnd"/>
      <w:r>
        <w:t>, que nous étudierons dans un premier temps, puis des questions sur le contact avec la famille, les amis, les pratiques sportives ou associatives.</w:t>
      </w:r>
    </w:p>
    <w:p w14:paraId="565B4F07" w14:textId="77777777" w:rsidR="00E2476B" w:rsidRDefault="00E2476B" w:rsidP="00E2476B">
      <w:pPr>
        <w:pStyle w:val="Titre4"/>
      </w:pPr>
      <w:bookmarkStart w:id="67" w:name="_Toc237679778"/>
      <w:r>
        <w:t>Des femmes bisexuelles en couple avec un homme qui se confient moins à leur partenaire</w:t>
      </w:r>
      <w:bookmarkEnd w:id="67"/>
    </w:p>
    <w:p w14:paraId="07F3A8AC" w14:textId="77777777" w:rsidR="00E2476B" w:rsidRDefault="00E2476B" w:rsidP="00E2476B">
      <w:pPr>
        <w:pStyle w:val="Textbody"/>
      </w:pPr>
      <w:r>
        <w:t xml:space="preserve">Ici, nous nous intéressons à la question : « Lorsque vous avez un problème personnel, vous confiez-vous à votre </w:t>
      </w:r>
      <w:proofErr w:type="spellStart"/>
      <w:r>
        <w:t>conjoint∙e</w:t>
      </w:r>
      <w:proofErr w:type="spellEnd"/>
      <w:r>
        <w:t xml:space="preserve"> ? ». Elle nous permet d'approcher la place du partenaire et de prolonger la réflexion amorcée sur les conceptions de la conjugalité et la distance vis-à-vis de l’intimité conjugale.   </w:t>
      </w:r>
    </w:p>
    <w:p w14:paraId="299A7BE5" w14:textId="77777777" w:rsidR="00E2476B" w:rsidRDefault="00E2476B" w:rsidP="00E2476B">
      <w:r>
        <w:t>Table 5 : Se confier au partenaire selon le genre et l’identification sexuelle.</w:t>
      </w:r>
    </w:p>
    <w:tbl>
      <w:tblPr>
        <w:tblW w:w="5000" w:type="pct"/>
        <w:jc w:val="center"/>
        <w:tblLayout w:type="fixed"/>
        <w:tblCellMar>
          <w:left w:w="10" w:type="dxa"/>
          <w:right w:w="10" w:type="dxa"/>
        </w:tblCellMar>
        <w:tblLook w:val="0000" w:firstRow="0" w:lastRow="0" w:firstColumn="0" w:lastColumn="0" w:noHBand="0" w:noVBand="0"/>
      </w:tblPr>
      <w:tblGrid>
        <w:gridCol w:w="842"/>
        <w:gridCol w:w="820"/>
        <w:gridCol w:w="822"/>
        <w:gridCol w:w="891"/>
        <w:gridCol w:w="820"/>
        <w:gridCol w:w="823"/>
        <w:gridCol w:w="821"/>
        <w:gridCol w:w="7"/>
        <w:gridCol w:w="817"/>
        <w:gridCol w:w="58"/>
        <w:gridCol w:w="765"/>
        <w:gridCol w:w="122"/>
        <w:gridCol w:w="700"/>
        <w:gridCol w:w="183"/>
        <w:gridCol w:w="883"/>
      </w:tblGrid>
      <w:tr w:rsidR="00E2476B" w14:paraId="4F081698" w14:textId="77777777" w:rsidTr="0018419C">
        <w:trPr>
          <w:tblHeader/>
          <w:jc w:val="center"/>
        </w:trPr>
        <w:tc>
          <w:tcPr>
            <w:tcW w:w="844"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68FB684"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2540"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259B3E0"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473"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65694FA"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652" w:type="dxa"/>
            <w:gridSpan w:val="4"/>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29E3DB8"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LGBT — Femmes</w:t>
            </w:r>
          </w:p>
        </w:tc>
        <w:tc>
          <w:tcPr>
            <w:tcW w:w="1894" w:type="dxa"/>
            <w:gridSpan w:val="4"/>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BB2A24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LGBT — Hommes</w:t>
            </w:r>
          </w:p>
        </w:tc>
      </w:tr>
      <w:tr w:rsidR="00E2476B" w14:paraId="1AD467DA" w14:textId="77777777" w:rsidTr="0018419C">
        <w:trPr>
          <w:tblHeader/>
          <w:jc w:val="center"/>
        </w:trPr>
        <w:tc>
          <w:tcPr>
            <w:tcW w:w="844"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0457A3C8"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82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132EBFA"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(57)</w:t>
            </w:r>
            <w:r>
              <w:rPr>
                <w:rFonts w:ascii="Times New Roman" w:eastAsia="Arial" w:hAnsi="Times New Roman" w:cs="Times New Roman"/>
                <w:color w:val="000000"/>
                <w:sz w:val="14"/>
                <w:szCs w:val="14"/>
                <w:vertAlign w:val="superscript"/>
              </w:rPr>
              <w:t>1</w:t>
            </w:r>
          </w:p>
        </w:tc>
        <w:tc>
          <w:tcPr>
            <w:tcW w:w="82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99391C4"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(70)</w:t>
            </w:r>
            <w:r>
              <w:rPr>
                <w:rFonts w:ascii="Times New Roman" w:eastAsia="Arial" w:hAnsi="Times New Roman" w:cs="Times New Roman"/>
                <w:color w:val="000000"/>
                <w:sz w:val="14"/>
                <w:szCs w:val="14"/>
                <w:vertAlign w:val="superscript"/>
              </w:rPr>
              <w:t>1</w:t>
            </w:r>
          </w:p>
        </w:tc>
        <w:tc>
          <w:tcPr>
            <w:tcW w:w="89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D4BCBAA"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(9 911)</w:t>
            </w:r>
            <w:r>
              <w:rPr>
                <w:rFonts w:ascii="Times New Roman" w:eastAsia="Arial" w:hAnsi="Times New Roman" w:cs="Times New Roman"/>
                <w:color w:val="000000"/>
                <w:sz w:val="14"/>
                <w:szCs w:val="14"/>
                <w:vertAlign w:val="superscript"/>
              </w:rPr>
              <w:t>1</w:t>
            </w:r>
          </w:p>
        </w:tc>
        <w:tc>
          <w:tcPr>
            <w:tcW w:w="82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FD13330"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(81)</w:t>
            </w:r>
            <w:r>
              <w:rPr>
                <w:rFonts w:ascii="Times New Roman" w:eastAsia="Arial" w:hAnsi="Times New Roman" w:cs="Times New Roman"/>
                <w:color w:val="000000"/>
                <w:sz w:val="14"/>
                <w:szCs w:val="14"/>
                <w:vertAlign w:val="superscript"/>
              </w:rPr>
              <w:t>1</w:t>
            </w:r>
          </w:p>
        </w:tc>
        <w:tc>
          <w:tcPr>
            <w:tcW w:w="82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7A5B12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(30)</w:t>
            </w:r>
            <w:r>
              <w:rPr>
                <w:rFonts w:ascii="Times New Roman" w:eastAsia="Arial" w:hAnsi="Times New Roman" w:cs="Times New Roman"/>
                <w:color w:val="000000"/>
                <w:sz w:val="14"/>
                <w:szCs w:val="14"/>
                <w:vertAlign w:val="superscript"/>
              </w:rPr>
              <w:t>1</w:t>
            </w:r>
          </w:p>
        </w:tc>
        <w:tc>
          <w:tcPr>
            <w:tcW w:w="82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A89CA2F"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(7 811)</w:t>
            </w:r>
            <w:r>
              <w:rPr>
                <w:rFonts w:ascii="Times New Roman" w:eastAsia="Arial" w:hAnsi="Times New Roman" w:cs="Times New Roman"/>
                <w:color w:val="000000"/>
                <w:sz w:val="14"/>
                <w:szCs w:val="14"/>
                <w:vertAlign w:val="superscript"/>
              </w:rPr>
              <w:t>1</w:t>
            </w:r>
          </w:p>
        </w:tc>
        <w:tc>
          <w:tcPr>
            <w:tcW w:w="827"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31E3CBA"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(1 599)</w:t>
            </w:r>
            <w:r>
              <w:rPr>
                <w:rFonts w:ascii="Times New Roman" w:eastAsia="Arial" w:hAnsi="Times New Roman" w:cs="Times New Roman"/>
                <w:color w:val="000000"/>
                <w:sz w:val="14"/>
                <w:szCs w:val="14"/>
                <w:vertAlign w:val="superscript"/>
              </w:rPr>
              <w:t>1</w:t>
            </w:r>
          </w:p>
        </w:tc>
        <w:tc>
          <w:tcPr>
            <w:tcW w:w="825"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A0C624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(384)</w:t>
            </w:r>
            <w:r>
              <w:rPr>
                <w:rFonts w:ascii="Times New Roman" w:eastAsia="Arial" w:hAnsi="Times New Roman" w:cs="Times New Roman"/>
                <w:color w:val="000000"/>
                <w:sz w:val="14"/>
                <w:szCs w:val="14"/>
                <w:vertAlign w:val="superscript"/>
              </w:rPr>
              <w:t>1</w:t>
            </w:r>
          </w:p>
        </w:tc>
        <w:tc>
          <w:tcPr>
            <w:tcW w:w="824"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822BB7A"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(1 651)</w:t>
            </w:r>
            <w:r>
              <w:rPr>
                <w:rFonts w:ascii="Times New Roman" w:eastAsia="Arial" w:hAnsi="Times New Roman" w:cs="Times New Roman"/>
                <w:color w:val="000000"/>
                <w:sz w:val="14"/>
                <w:szCs w:val="14"/>
                <w:vertAlign w:val="superscript"/>
              </w:rPr>
              <w:t>1</w:t>
            </w:r>
          </w:p>
        </w:tc>
        <w:tc>
          <w:tcPr>
            <w:tcW w:w="1070" w:type="dxa"/>
            <w:gridSpan w:val="2"/>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77EE999"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(163)</w:t>
            </w:r>
            <w:r>
              <w:rPr>
                <w:rFonts w:ascii="Times New Roman" w:eastAsia="Arial" w:hAnsi="Times New Roman" w:cs="Times New Roman"/>
                <w:color w:val="000000"/>
                <w:sz w:val="14"/>
                <w:szCs w:val="14"/>
                <w:vertAlign w:val="superscript"/>
              </w:rPr>
              <w:t>1</w:t>
            </w:r>
          </w:p>
        </w:tc>
      </w:tr>
      <w:tr w:rsidR="00E2476B" w14:paraId="74762E56" w14:textId="77777777" w:rsidTr="0018419C">
        <w:trPr>
          <w:jc w:val="center"/>
        </w:trPr>
        <w:tc>
          <w:tcPr>
            <w:tcW w:w="9403" w:type="dxa"/>
            <w:gridSpan w:val="15"/>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61A0E4CB"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Se confie au partenaire lors d'un problème personnel</w:t>
            </w:r>
          </w:p>
        </w:tc>
      </w:tr>
      <w:tr w:rsidR="00E2476B" w14:paraId="4038ACF7" w14:textId="77777777" w:rsidTr="0018419C">
        <w:trPr>
          <w:jc w:val="center"/>
        </w:trPr>
        <w:tc>
          <w:tcPr>
            <w:tcW w:w="844" w:type="dxa"/>
            <w:tcBorders>
              <w:left w:val="single" w:sz="12" w:space="0" w:color="000000"/>
              <w:right w:val="single" w:sz="4" w:space="0" w:color="000000"/>
            </w:tcBorders>
            <w:shd w:val="clear" w:color="auto" w:fill="FFFFFF"/>
            <w:tcMar>
              <w:top w:w="0" w:type="dxa"/>
              <w:left w:w="0" w:type="dxa"/>
              <w:bottom w:w="0" w:type="dxa"/>
              <w:right w:w="0" w:type="dxa"/>
            </w:tcMar>
          </w:tcPr>
          <w:p w14:paraId="74DC9D56"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lastRenderedPageBreak/>
              <w:t>Oui</w:t>
            </w:r>
          </w:p>
        </w:tc>
        <w:tc>
          <w:tcPr>
            <w:tcW w:w="822" w:type="dxa"/>
            <w:tcBorders>
              <w:left w:val="single" w:sz="4" w:space="0" w:color="000000"/>
              <w:right w:val="single" w:sz="4" w:space="0" w:color="000000"/>
            </w:tcBorders>
            <w:shd w:val="clear" w:color="auto" w:fill="FFFFFF"/>
            <w:tcMar>
              <w:top w:w="0" w:type="dxa"/>
              <w:left w:w="0" w:type="dxa"/>
              <w:bottom w:w="0" w:type="dxa"/>
              <w:right w:w="0" w:type="dxa"/>
            </w:tcMar>
          </w:tcPr>
          <w:p w14:paraId="4E8CF56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83,9%</w:t>
            </w:r>
            <w:r>
              <w:rPr>
                <w:rFonts w:ascii="Times New Roman" w:eastAsia="Arial" w:hAnsi="Times New Roman" w:cs="Times New Roman"/>
                <w:color w:val="000000"/>
                <w:sz w:val="14"/>
                <w:szCs w:val="14"/>
              </w:rPr>
              <w:br/>
              <w:t>(45)</w:t>
            </w:r>
            <w:r>
              <w:rPr>
                <w:rFonts w:ascii="Times New Roman" w:eastAsia="Arial" w:hAnsi="Times New Roman" w:cs="Times New Roman"/>
                <w:color w:val="000000"/>
                <w:sz w:val="14"/>
                <w:szCs w:val="14"/>
              </w:rPr>
              <w:br/>
              <w:t>[71-92]</w:t>
            </w:r>
            <w:r>
              <w:rPr>
                <w:rFonts w:ascii="Times New Roman" w:eastAsia="Arial" w:hAnsi="Times New Roman" w:cs="Times New Roman"/>
                <w:color w:val="000000"/>
                <w:sz w:val="14"/>
                <w:szCs w:val="14"/>
                <w:vertAlign w:val="superscript"/>
              </w:rPr>
              <w:t xml:space="preserve"> 4</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10B093A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49,7%</w:t>
            </w:r>
            <w:r>
              <w:rPr>
                <w:rFonts w:ascii="Times New Roman" w:eastAsia="Arial" w:hAnsi="Times New Roman" w:cs="Times New Roman"/>
                <w:color w:val="000000"/>
                <w:sz w:val="14"/>
                <w:szCs w:val="14"/>
              </w:rPr>
              <w:br/>
              <w:t>(37)</w:t>
            </w:r>
            <w:r>
              <w:rPr>
                <w:rFonts w:ascii="Times New Roman" w:eastAsia="Arial" w:hAnsi="Times New Roman" w:cs="Times New Roman"/>
                <w:color w:val="000000"/>
                <w:sz w:val="14"/>
                <w:szCs w:val="14"/>
              </w:rPr>
              <w:br/>
              <w:t>[35-64]</w:t>
            </w:r>
          </w:p>
        </w:tc>
        <w:tc>
          <w:tcPr>
            <w:tcW w:w="894" w:type="dxa"/>
            <w:tcBorders>
              <w:left w:val="single" w:sz="4" w:space="0" w:color="000000"/>
              <w:right w:val="single" w:sz="4" w:space="0" w:color="000000"/>
            </w:tcBorders>
            <w:shd w:val="clear" w:color="auto" w:fill="FFFFFF"/>
            <w:tcMar>
              <w:top w:w="0" w:type="dxa"/>
              <w:left w:w="0" w:type="dxa"/>
              <w:bottom w:w="0" w:type="dxa"/>
              <w:right w:w="0" w:type="dxa"/>
            </w:tcMar>
          </w:tcPr>
          <w:p w14:paraId="611CDF2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64,6%</w:t>
            </w:r>
            <w:r>
              <w:rPr>
                <w:rFonts w:ascii="Times New Roman" w:eastAsia="Arial" w:hAnsi="Times New Roman" w:cs="Times New Roman"/>
                <w:color w:val="000000"/>
                <w:sz w:val="14"/>
                <w:szCs w:val="14"/>
              </w:rPr>
              <w:br/>
              <w:t>(6 261)</w:t>
            </w:r>
            <w:r>
              <w:rPr>
                <w:rFonts w:ascii="Times New Roman" w:eastAsia="Arial" w:hAnsi="Times New Roman" w:cs="Times New Roman"/>
                <w:color w:val="000000"/>
                <w:sz w:val="14"/>
                <w:szCs w:val="14"/>
              </w:rPr>
              <w:br/>
              <w:t>[63-66]</w:t>
            </w:r>
          </w:p>
        </w:tc>
        <w:tc>
          <w:tcPr>
            <w:tcW w:w="823" w:type="dxa"/>
            <w:tcBorders>
              <w:left w:val="single" w:sz="4" w:space="0" w:color="000000"/>
              <w:right w:val="single" w:sz="4" w:space="0" w:color="000000"/>
            </w:tcBorders>
            <w:shd w:val="clear" w:color="auto" w:fill="FFFFFF"/>
            <w:tcMar>
              <w:top w:w="0" w:type="dxa"/>
              <w:left w:w="0" w:type="dxa"/>
              <w:bottom w:w="0" w:type="dxa"/>
              <w:right w:w="0" w:type="dxa"/>
            </w:tcMar>
          </w:tcPr>
          <w:p w14:paraId="2BA8EC0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62,1%</w:t>
            </w:r>
            <w:r>
              <w:rPr>
                <w:rFonts w:ascii="Times New Roman" w:eastAsia="Arial" w:hAnsi="Times New Roman" w:cs="Times New Roman"/>
                <w:color w:val="000000"/>
                <w:sz w:val="14"/>
                <w:szCs w:val="14"/>
              </w:rPr>
              <w:br/>
              <w:t>(51)</w:t>
            </w:r>
            <w:r>
              <w:rPr>
                <w:rFonts w:ascii="Times New Roman" w:eastAsia="Arial" w:hAnsi="Times New Roman" w:cs="Times New Roman"/>
                <w:color w:val="000000"/>
                <w:sz w:val="14"/>
                <w:szCs w:val="14"/>
              </w:rPr>
              <w:br/>
              <w:t>[49-74]</w:t>
            </w:r>
          </w:p>
        </w:tc>
        <w:tc>
          <w:tcPr>
            <w:tcW w:w="826" w:type="dxa"/>
            <w:tcBorders>
              <w:left w:val="single" w:sz="4" w:space="0" w:color="000000"/>
              <w:right w:val="single" w:sz="4" w:space="0" w:color="000000"/>
            </w:tcBorders>
            <w:shd w:val="clear" w:color="auto" w:fill="FFFFFF"/>
            <w:tcMar>
              <w:top w:w="0" w:type="dxa"/>
              <w:left w:w="0" w:type="dxa"/>
              <w:bottom w:w="0" w:type="dxa"/>
              <w:right w:w="0" w:type="dxa"/>
            </w:tcMar>
          </w:tcPr>
          <w:p w14:paraId="0A747A4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55,1%</w:t>
            </w:r>
            <w:r>
              <w:rPr>
                <w:rFonts w:ascii="Times New Roman" w:eastAsia="Arial" w:hAnsi="Times New Roman" w:cs="Times New Roman"/>
                <w:color w:val="000000"/>
                <w:sz w:val="14"/>
                <w:szCs w:val="14"/>
              </w:rPr>
              <w:br/>
              <w:t>(12)</w:t>
            </w:r>
            <w:r>
              <w:rPr>
                <w:rFonts w:ascii="Times New Roman" w:eastAsia="Arial" w:hAnsi="Times New Roman" w:cs="Times New Roman"/>
                <w:color w:val="000000"/>
                <w:sz w:val="14"/>
                <w:szCs w:val="14"/>
              </w:rPr>
              <w:br/>
              <w:t>[32-76]</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3182C6B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64,3%</w:t>
            </w:r>
            <w:r>
              <w:rPr>
                <w:rFonts w:ascii="Times New Roman" w:eastAsia="Arial" w:hAnsi="Times New Roman" w:cs="Times New Roman"/>
                <w:color w:val="000000"/>
                <w:sz w:val="14"/>
                <w:szCs w:val="14"/>
              </w:rPr>
              <w:br/>
              <w:t>(4 940)</w:t>
            </w:r>
            <w:r>
              <w:rPr>
                <w:rFonts w:ascii="Times New Roman" w:eastAsia="Arial" w:hAnsi="Times New Roman" w:cs="Times New Roman"/>
                <w:color w:val="000000"/>
                <w:sz w:val="14"/>
                <w:szCs w:val="14"/>
              </w:rPr>
              <w:br/>
              <w:t>[63-66]</w:t>
            </w:r>
          </w:p>
        </w:tc>
        <w:tc>
          <w:tcPr>
            <w:tcW w:w="885"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10D14D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72,8%</w:t>
            </w:r>
            <w:r>
              <w:rPr>
                <w:rFonts w:ascii="Times New Roman" w:eastAsia="Arial" w:hAnsi="Times New Roman" w:cs="Times New Roman"/>
                <w:color w:val="000000"/>
                <w:sz w:val="14"/>
                <w:szCs w:val="14"/>
              </w:rPr>
              <w:br/>
              <w:t>(1 164)</w:t>
            </w:r>
          </w:p>
        </w:tc>
        <w:tc>
          <w:tcPr>
            <w:tcW w:w="88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DE48FA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71,6%</w:t>
            </w:r>
            <w:r>
              <w:rPr>
                <w:rFonts w:ascii="Times New Roman" w:eastAsia="Arial" w:hAnsi="Times New Roman" w:cs="Times New Roman"/>
                <w:color w:val="000000"/>
                <w:sz w:val="14"/>
                <w:szCs w:val="14"/>
              </w:rPr>
              <w:br/>
              <w:t>(275)</w:t>
            </w:r>
          </w:p>
        </w:tc>
        <w:tc>
          <w:tcPr>
            <w:tcW w:w="886"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4690CC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58,9%</w:t>
            </w:r>
            <w:r>
              <w:rPr>
                <w:rFonts w:ascii="Times New Roman" w:eastAsia="Arial" w:hAnsi="Times New Roman" w:cs="Times New Roman"/>
                <w:color w:val="000000"/>
                <w:sz w:val="14"/>
                <w:szCs w:val="14"/>
              </w:rPr>
              <w:br/>
              <w:t>(971)</w:t>
            </w:r>
          </w:p>
        </w:tc>
        <w:tc>
          <w:tcPr>
            <w:tcW w:w="886" w:type="dxa"/>
            <w:tcBorders>
              <w:left w:val="single" w:sz="4" w:space="0" w:color="000000"/>
              <w:right w:val="single" w:sz="12" w:space="0" w:color="000000"/>
            </w:tcBorders>
            <w:shd w:val="clear" w:color="auto" w:fill="FFFFFF"/>
            <w:tcMar>
              <w:top w:w="0" w:type="dxa"/>
              <w:left w:w="0" w:type="dxa"/>
              <w:bottom w:w="0" w:type="dxa"/>
              <w:right w:w="0" w:type="dxa"/>
            </w:tcMar>
          </w:tcPr>
          <w:p w14:paraId="7D1C42B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43,8%</w:t>
            </w:r>
            <w:r>
              <w:rPr>
                <w:rFonts w:ascii="Times New Roman" w:eastAsia="Arial" w:hAnsi="Times New Roman" w:cs="Times New Roman"/>
                <w:color w:val="000000"/>
                <w:sz w:val="14"/>
                <w:szCs w:val="14"/>
              </w:rPr>
              <w:br/>
              <w:t>(71)</w:t>
            </w:r>
          </w:p>
        </w:tc>
      </w:tr>
      <w:tr w:rsidR="00E2476B" w14:paraId="0D9E1817" w14:textId="77777777" w:rsidTr="0018419C">
        <w:trPr>
          <w:jc w:val="center"/>
        </w:trPr>
        <w:tc>
          <w:tcPr>
            <w:tcW w:w="844" w:type="dxa"/>
            <w:tcBorders>
              <w:left w:val="single" w:sz="12" w:space="0" w:color="000000"/>
              <w:right w:val="single" w:sz="4" w:space="0" w:color="000000"/>
            </w:tcBorders>
            <w:shd w:val="clear" w:color="auto" w:fill="FFFFFF"/>
            <w:tcMar>
              <w:top w:w="0" w:type="dxa"/>
              <w:left w:w="0" w:type="dxa"/>
              <w:bottom w:w="0" w:type="dxa"/>
              <w:right w:w="0" w:type="dxa"/>
            </w:tcMar>
          </w:tcPr>
          <w:p w14:paraId="59506003"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Non</w:t>
            </w:r>
          </w:p>
        </w:tc>
        <w:tc>
          <w:tcPr>
            <w:tcW w:w="822" w:type="dxa"/>
            <w:tcBorders>
              <w:left w:val="single" w:sz="4" w:space="0" w:color="000000"/>
              <w:right w:val="single" w:sz="4" w:space="0" w:color="000000"/>
            </w:tcBorders>
            <w:shd w:val="clear" w:color="auto" w:fill="FFFFFF"/>
            <w:tcMar>
              <w:top w:w="0" w:type="dxa"/>
              <w:left w:w="0" w:type="dxa"/>
              <w:bottom w:w="0" w:type="dxa"/>
              <w:right w:w="0" w:type="dxa"/>
            </w:tcMar>
          </w:tcPr>
          <w:p w14:paraId="7B803C9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[0,05-2,5]</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01A13D1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6,3%</w:t>
            </w:r>
            <w:r>
              <w:rPr>
                <w:rFonts w:ascii="Times New Roman" w:eastAsia="Arial" w:hAnsi="Times New Roman" w:cs="Times New Roman"/>
                <w:color w:val="000000"/>
                <w:sz w:val="14"/>
                <w:szCs w:val="14"/>
              </w:rPr>
              <w:br/>
              <w:t>(5)</w:t>
            </w:r>
            <w:r>
              <w:rPr>
                <w:rFonts w:ascii="Times New Roman" w:eastAsia="Arial" w:hAnsi="Times New Roman" w:cs="Times New Roman"/>
                <w:color w:val="000000"/>
                <w:sz w:val="14"/>
                <w:szCs w:val="14"/>
              </w:rPr>
              <w:br/>
              <w:t>[1,9-19]</w:t>
            </w:r>
          </w:p>
        </w:tc>
        <w:tc>
          <w:tcPr>
            <w:tcW w:w="894" w:type="dxa"/>
            <w:tcBorders>
              <w:left w:val="single" w:sz="4" w:space="0" w:color="000000"/>
              <w:right w:val="single" w:sz="4" w:space="0" w:color="000000"/>
            </w:tcBorders>
            <w:shd w:val="clear" w:color="auto" w:fill="FFFFFF"/>
            <w:tcMar>
              <w:top w:w="0" w:type="dxa"/>
              <w:left w:w="0" w:type="dxa"/>
              <w:bottom w:w="0" w:type="dxa"/>
              <w:right w:w="0" w:type="dxa"/>
            </w:tcMar>
          </w:tcPr>
          <w:p w14:paraId="21B1FCF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5,7%</w:t>
            </w:r>
            <w:r>
              <w:rPr>
                <w:rFonts w:ascii="Times New Roman" w:eastAsia="Arial" w:hAnsi="Times New Roman" w:cs="Times New Roman"/>
                <w:color w:val="000000"/>
                <w:sz w:val="14"/>
                <w:szCs w:val="14"/>
              </w:rPr>
              <w:br/>
              <w:t>(505)</w:t>
            </w:r>
            <w:r>
              <w:rPr>
                <w:rFonts w:ascii="Times New Roman" w:eastAsia="Arial" w:hAnsi="Times New Roman" w:cs="Times New Roman"/>
                <w:color w:val="000000"/>
                <w:sz w:val="14"/>
                <w:szCs w:val="14"/>
              </w:rPr>
              <w:br/>
              <w:t>[5,1-6,4]</w:t>
            </w:r>
          </w:p>
        </w:tc>
        <w:tc>
          <w:tcPr>
            <w:tcW w:w="823" w:type="dxa"/>
            <w:tcBorders>
              <w:left w:val="single" w:sz="4" w:space="0" w:color="000000"/>
              <w:right w:val="single" w:sz="4" w:space="0" w:color="000000"/>
            </w:tcBorders>
            <w:shd w:val="clear" w:color="auto" w:fill="FFFFFF"/>
            <w:tcMar>
              <w:top w:w="0" w:type="dxa"/>
              <w:left w:w="0" w:type="dxa"/>
              <w:bottom w:w="0" w:type="dxa"/>
              <w:right w:w="0" w:type="dxa"/>
            </w:tcMar>
          </w:tcPr>
          <w:p w14:paraId="4442668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6,6%</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[1,6-23]</w:t>
            </w:r>
          </w:p>
        </w:tc>
        <w:tc>
          <w:tcPr>
            <w:tcW w:w="826" w:type="dxa"/>
            <w:tcBorders>
              <w:left w:val="single" w:sz="4" w:space="0" w:color="000000"/>
              <w:right w:val="single" w:sz="4" w:space="0" w:color="000000"/>
            </w:tcBorders>
            <w:shd w:val="clear" w:color="auto" w:fill="FFFFFF"/>
            <w:tcMar>
              <w:top w:w="0" w:type="dxa"/>
              <w:left w:w="0" w:type="dxa"/>
              <w:bottom w:w="0" w:type="dxa"/>
              <w:right w:w="0" w:type="dxa"/>
            </w:tcMar>
          </w:tcPr>
          <w:p w14:paraId="4263088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11,8%</w:t>
            </w:r>
            <w:r>
              <w:rPr>
                <w:rFonts w:ascii="Times New Roman" w:eastAsia="Arial" w:hAnsi="Times New Roman" w:cs="Times New Roman"/>
                <w:color w:val="000000"/>
                <w:sz w:val="14"/>
                <w:szCs w:val="14"/>
              </w:rPr>
              <w:br/>
              <w:t>(4)</w:t>
            </w:r>
            <w:r>
              <w:rPr>
                <w:rFonts w:ascii="Times New Roman" w:eastAsia="Arial" w:hAnsi="Times New Roman" w:cs="Times New Roman"/>
                <w:color w:val="000000"/>
                <w:sz w:val="14"/>
                <w:szCs w:val="14"/>
              </w:rPr>
              <w:br/>
              <w:t>[4,0-30]</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6C4A812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6,5%</w:t>
            </w:r>
            <w:r>
              <w:rPr>
                <w:rFonts w:ascii="Times New Roman" w:eastAsia="Arial" w:hAnsi="Times New Roman" w:cs="Times New Roman"/>
                <w:color w:val="000000"/>
                <w:sz w:val="14"/>
                <w:szCs w:val="14"/>
              </w:rPr>
              <w:br/>
              <w:t>(455)</w:t>
            </w:r>
            <w:r>
              <w:rPr>
                <w:rFonts w:ascii="Times New Roman" w:eastAsia="Arial" w:hAnsi="Times New Roman" w:cs="Times New Roman"/>
                <w:color w:val="000000"/>
                <w:sz w:val="14"/>
                <w:szCs w:val="14"/>
              </w:rPr>
              <w:br/>
              <w:t>[5,8-7,2]</w:t>
            </w:r>
          </w:p>
        </w:tc>
        <w:tc>
          <w:tcPr>
            <w:tcW w:w="885"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14A714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2,2%</w:t>
            </w:r>
            <w:r>
              <w:rPr>
                <w:rFonts w:ascii="Times New Roman" w:eastAsia="Arial" w:hAnsi="Times New Roman" w:cs="Times New Roman"/>
                <w:color w:val="000000"/>
                <w:sz w:val="14"/>
                <w:szCs w:val="14"/>
              </w:rPr>
              <w:br/>
              <w:t>(35)</w:t>
            </w:r>
          </w:p>
        </w:tc>
        <w:tc>
          <w:tcPr>
            <w:tcW w:w="88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1FE90AE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0,5%</w:t>
            </w:r>
            <w:r>
              <w:rPr>
                <w:rFonts w:ascii="Times New Roman" w:eastAsia="Arial" w:hAnsi="Times New Roman" w:cs="Times New Roman"/>
                <w:color w:val="000000"/>
                <w:sz w:val="14"/>
                <w:szCs w:val="14"/>
              </w:rPr>
              <w:br/>
              <w:t>(2)</w:t>
            </w:r>
          </w:p>
        </w:tc>
        <w:tc>
          <w:tcPr>
            <w:tcW w:w="886"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4A545D1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4,0%</w:t>
            </w:r>
            <w:r>
              <w:rPr>
                <w:rFonts w:ascii="Times New Roman" w:eastAsia="Arial" w:hAnsi="Times New Roman" w:cs="Times New Roman"/>
                <w:color w:val="000000"/>
                <w:sz w:val="14"/>
                <w:szCs w:val="14"/>
              </w:rPr>
              <w:br/>
              <w:t>(66)</w:t>
            </w:r>
          </w:p>
        </w:tc>
        <w:tc>
          <w:tcPr>
            <w:tcW w:w="886" w:type="dxa"/>
            <w:tcBorders>
              <w:left w:val="single" w:sz="4" w:space="0" w:color="000000"/>
              <w:right w:val="single" w:sz="12" w:space="0" w:color="000000"/>
            </w:tcBorders>
            <w:shd w:val="clear" w:color="auto" w:fill="FFFFFF"/>
            <w:tcMar>
              <w:top w:w="0" w:type="dxa"/>
              <w:left w:w="0" w:type="dxa"/>
              <w:bottom w:w="0" w:type="dxa"/>
              <w:right w:w="0" w:type="dxa"/>
            </w:tcMar>
          </w:tcPr>
          <w:p w14:paraId="2185306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11,1%</w:t>
            </w:r>
            <w:r>
              <w:rPr>
                <w:rFonts w:ascii="Times New Roman" w:eastAsia="Arial" w:hAnsi="Times New Roman" w:cs="Times New Roman"/>
                <w:color w:val="000000"/>
                <w:sz w:val="14"/>
                <w:szCs w:val="14"/>
              </w:rPr>
              <w:br/>
              <w:t>(18)</w:t>
            </w:r>
          </w:p>
        </w:tc>
      </w:tr>
      <w:tr w:rsidR="00E2476B" w14:paraId="05F316D5" w14:textId="77777777" w:rsidTr="0018419C">
        <w:trPr>
          <w:jc w:val="center"/>
        </w:trPr>
        <w:tc>
          <w:tcPr>
            <w:tcW w:w="844" w:type="dxa"/>
            <w:tcBorders>
              <w:left w:val="single" w:sz="12" w:space="0" w:color="000000"/>
              <w:right w:val="single" w:sz="4" w:space="0" w:color="000000"/>
            </w:tcBorders>
            <w:shd w:val="clear" w:color="auto" w:fill="FFFFFF"/>
            <w:tcMar>
              <w:top w:w="0" w:type="dxa"/>
              <w:left w:w="0" w:type="dxa"/>
              <w:bottom w:w="0" w:type="dxa"/>
              <w:right w:w="0" w:type="dxa"/>
            </w:tcMar>
          </w:tcPr>
          <w:p w14:paraId="050EE0D5"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Ça dépend du problème</w:t>
            </w:r>
          </w:p>
        </w:tc>
        <w:tc>
          <w:tcPr>
            <w:tcW w:w="822" w:type="dxa"/>
            <w:tcBorders>
              <w:left w:val="single" w:sz="4" w:space="0" w:color="000000"/>
              <w:right w:val="single" w:sz="4" w:space="0" w:color="000000"/>
            </w:tcBorders>
            <w:shd w:val="clear" w:color="auto" w:fill="FFFFFF"/>
            <w:tcMar>
              <w:top w:w="0" w:type="dxa"/>
              <w:left w:w="0" w:type="dxa"/>
              <w:bottom w:w="0" w:type="dxa"/>
              <w:right w:w="0" w:type="dxa"/>
            </w:tcMar>
          </w:tcPr>
          <w:p w14:paraId="26D400E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15,7%</w:t>
            </w:r>
            <w:r>
              <w:rPr>
                <w:rFonts w:ascii="Times New Roman" w:eastAsia="Arial" w:hAnsi="Times New Roman" w:cs="Times New Roman"/>
                <w:color w:val="000000"/>
                <w:sz w:val="14"/>
                <w:szCs w:val="14"/>
              </w:rPr>
              <w:br/>
              <w:t>(11)</w:t>
            </w:r>
            <w:r>
              <w:rPr>
                <w:rFonts w:ascii="Times New Roman" w:eastAsia="Arial" w:hAnsi="Times New Roman" w:cs="Times New Roman"/>
                <w:color w:val="000000"/>
                <w:sz w:val="14"/>
                <w:szCs w:val="14"/>
              </w:rPr>
              <w:br/>
              <w:t>[7,8-29]</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2E3285B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44,0%</w:t>
            </w:r>
            <w:r>
              <w:rPr>
                <w:rFonts w:ascii="Times New Roman" w:eastAsia="Arial" w:hAnsi="Times New Roman" w:cs="Times New Roman"/>
                <w:color w:val="000000"/>
                <w:sz w:val="14"/>
                <w:szCs w:val="14"/>
              </w:rPr>
              <w:br/>
              <w:t>(28)</w:t>
            </w:r>
            <w:r>
              <w:rPr>
                <w:rFonts w:ascii="Times New Roman" w:eastAsia="Arial" w:hAnsi="Times New Roman" w:cs="Times New Roman"/>
                <w:color w:val="000000"/>
                <w:sz w:val="14"/>
                <w:szCs w:val="14"/>
              </w:rPr>
              <w:br/>
              <w:t>[30-59]</w:t>
            </w:r>
          </w:p>
        </w:tc>
        <w:tc>
          <w:tcPr>
            <w:tcW w:w="894" w:type="dxa"/>
            <w:tcBorders>
              <w:left w:val="single" w:sz="4" w:space="0" w:color="000000"/>
              <w:right w:val="single" w:sz="4" w:space="0" w:color="000000"/>
            </w:tcBorders>
            <w:shd w:val="clear" w:color="auto" w:fill="FFFFFF"/>
            <w:tcMar>
              <w:top w:w="0" w:type="dxa"/>
              <w:left w:w="0" w:type="dxa"/>
              <w:bottom w:w="0" w:type="dxa"/>
              <w:right w:w="0" w:type="dxa"/>
            </w:tcMar>
          </w:tcPr>
          <w:p w14:paraId="634180D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29,7%</w:t>
            </w:r>
            <w:r>
              <w:rPr>
                <w:rFonts w:ascii="Times New Roman" w:eastAsia="Arial" w:hAnsi="Times New Roman" w:cs="Times New Roman"/>
                <w:color w:val="000000"/>
                <w:sz w:val="14"/>
                <w:szCs w:val="14"/>
              </w:rPr>
              <w:br/>
              <w:t>(3 135)</w:t>
            </w:r>
            <w:r>
              <w:rPr>
                <w:rFonts w:ascii="Times New Roman" w:eastAsia="Arial" w:hAnsi="Times New Roman" w:cs="Times New Roman"/>
                <w:color w:val="000000"/>
                <w:sz w:val="14"/>
                <w:szCs w:val="14"/>
              </w:rPr>
              <w:br/>
              <w:t>[29-31]</w:t>
            </w:r>
          </w:p>
        </w:tc>
        <w:tc>
          <w:tcPr>
            <w:tcW w:w="823" w:type="dxa"/>
            <w:tcBorders>
              <w:left w:val="single" w:sz="4" w:space="0" w:color="000000"/>
              <w:right w:val="single" w:sz="4" w:space="0" w:color="000000"/>
            </w:tcBorders>
            <w:shd w:val="clear" w:color="auto" w:fill="FFFFFF"/>
            <w:tcMar>
              <w:top w:w="0" w:type="dxa"/>
              <w:left w:w="0" w:type="dxa"/>
              <w:bottom w:w="0" w:type="dxa"/>
              <w:right w:w="0" w:type="dxa"/>
            </w:tcMar>
          </w:tcPr>
          <w:p w14:paraId="62F9C35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31,3%</w:t>
            </w:r>
            <w:r>
              <w:rPr>
                <w:rFonts w:ascii="Times New Roman" w:eastAsia="Arial" w:hAnsi="Times New Roman" w:cs="Times New Roman"/>
                <w:color w:val="000000"/>
                <w:sz w:val="14"/>
                <w:szCs w:val="14"/>
              </w:rPr>
              <w:br/>
              <w:t>(28)</w:t>
            </w:r>
            <w:r>
              <w:rPr>
                <w:rFonts w:ascii="Times New Roman" w:eastAsia="Arial" w:hAnsi="Times New Roman" w:cs="Times New Roman"/>
                <w:color w:val="000000"/>
                <w:sz w:val="14"/>
                <w:szCs w:val="14"/>
              </w:rPr>
              <w:br/>
              <w:t>[21-44]</w:t>
            </w:r>
          </w:p>
        </w:tc>
        <w:tc>
          <w:tcPr>
            <w:tcW w:w="826" w:type="dxa"/>
            <w:tcBorders>
              <w:left w:val="single" w:sz="4" w:space="0" w:color="000000"/>
              <w:right w:val="single" w:sz="4" w:space="0" w:color="000000"/>
            </w:tcBorders>
            <w:shd w:val="clear" w:color="auto" w:fill="FFFFFF"/>
            <w:tcMar>
              <w:top w:w="0" w:type="dxa"/>
              <w:left w:w="0" w:type="dxa"/>
              <w:bottom w:w="0" w:type="dxa"/>
              <w:right w:w="0" w:type="dxa"/>
            </w:tcMar>
          </w:tcPr>
          <w:p w14:paraId="22C8337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33,1%</w:t>
            </w:r>
            <w:r>
              <w:rPr>
                <w:rFonts w:ascii="Times New Roman" w:eastAsia="Arial" w:hAnsi="Times New Roman" w:cs="Times New Roman"/>
                <w:color w:val="000000"/>
                <w:sz w:val="14"/>
                <w:szCs w:val="14"/>
              </w:rPr>
              <w:br/>
              <w:t>(14)</w:t>
            </w:r>
            <w:r>
              <w:rPr>
                <w:rFonts w:ascii="Times New Roman" w:eastAsia="Arial" w:hAnsi="Times New Roman" w:cs="Times New Roman"/>
                <w:color w:val="000000"/>
                <w:sz w:val="14"/>
                <w:szCs w:val="14"/>
              </w:rPr>
              <w:br/>
              <w:t>[17-55]</w:t>
            </w:r>
          </w:p>
        </w:tc>
        <w:tc>
          <w:tcPr>
            <w:tcW w:w="824" w:type="dxa"/>
            <w:tcBorders>
              <w:left w:val="single" w:sz="4" w:space="0" w:color="000000"/>
              <w:right w:val="single" w:sz="4" w:space="0" w:color="000000"/>
            </w:tcBorders>
            <w:shd w:val="clear" w:color="auto" w:fill="FFFFFF"/>
            <w:tcMar>
              <w:top w:w="0" w:type="dxa"/>
              <w:left w:w="0" w:type="dxa"/>
              <w:bottom w:w="0" w:type="dxa"/>
              <w:right w:w="0" w:type="dxa"/>
            </w:tcMar>
          </w:tcPr>
          <w:p w14:paraId="756AC83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29,3%</w:t>
            </w:r>
            <w:r>
              <w:rPr>
                <w:rFonts w:ascii="Times New Roman" w:eastAsia="Arial" w:hAnsi="Times New Roman" w:cs="Times New Roman"/>
                <w:color w:val="000000"/>
                <w:sz w:val="14"/>
                <w:szCs w:val="14"/>
              </w:rPr>
              <w:br/>
              <w:t>(2 406)</w:t>
            </w:r>
            <w:r>
              <w:rPr>
                <w:rFonts w:ascii="Times New Roman" w:eastAsia="Arial" w:hAnsi="Times New Roman" w:cs="Times New Roman"/>
                <w:color w:val="000000"/>
                <w:sz w:val="14"/>
                <w:szCs w:val="14"/>
              </w:rPr>
              <w:br/>
              <w:t>[28-31]</w:t>
            </w:r>
          </w:p>
        </w:tc>
        <w:tc>
          <w:tcPr>
            <w:tcW w:w="885"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C901FC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25,0%</w:t>
            </w:r>
            <w:r>
              <w:rPr>
                <w:rFonts w:ascii="Times New Roman" w:eastAsia="Arial" w:hAnsi="Times New Roman" w:cs="Times New Roman"/>
                <w:color w:val="000000"/>
                <w:sz w:val="14"/>
                <w:szCs w:val="14"/>
              </w:rPr>
              <w:br/>
              <w:t>(399)</w:t>
            </w:r>
          </w:p>
        </w:tc>
        <w:tc>
          <w:tcPr>
            <w:tcW w:w="88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020E74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27,9%</w:t>
            </w:r>
            <w:r>
              <w:rPr>
                <w:rFonts w:ascii="Times New Roman" w:eastAsia="Arial" w:hAnsi="Times New Roman" w:cs="Times New Roman"/>
                <w:color w:val="000000"/>
                <w:sz w:val="14"/>
                <w:szCs w:val="14"/>
              </w:rPr>
              <w:br/>
              <w:t>(107)</w:t>
            </w:r>
          </w:p>
        </w:tc>
        <w:tc>
          <w:tcPr>
            <w:tcW w:w="886"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95610B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37,1%</w:t>
            </w:r>
            <w:r>
              <w:rPr>
                <w:rFonts w:ascii="Times New Roman" w:eastAsia="Arial" w:hAnsi="Times New Roman" w:cs="Times New Roman"/>
                <w:color w:val="000000"/>
                <w:sz w:val="14"/>
                <w:szCs w:val="14"/>
              </w:rPr>
              <w:br/>
              <w:t>(612)</w:t>
            </w:r>
          </w:p>
        </w:tc>
        <w:tc>
          <w:tcPr>
            <w:tcW w:w="886" w:type="dxa"/>
            <w:tcBorders>
              <w:left w:val="single" w:sz="4" w:space="0" w:color="000000"/>
              <w:right w:val="single" w:sz="12" w:space="0" w:color="000000"/>
            </w:tcBorders>
            <w:shd w:val="clear" w:color="auto" w:fill="FFFFFF"/>
            <w:tcMar>
              <w:top w:w="0" w:type="dxa"/>
              <w:left w:w="0" w:type="dxa"/>
              <w:bottom w:w="0" w:type="dxa"/>
              <w:right w:w="0" w:type="dxa"/>
            </w:tcMar>
          </w:tcPr>
          <w:p w14:paraId="25CB5E7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45,1%</w:t>
            </w:r>
            <w:r>
              <w:rPr>
                <w:rFonts w:ascii="Times New Roman" w:eastAsia="Arial" w:hAnsi="Times New Roman" w:cs="Times New Roman"/>
                <w:color w:val="000000"/>
                <w:sz w:val="14"/>
                <w:szCs w:val="14"/>
              </w:rPr>
              <w:br/>
              <w:t>(73)</w:t>
            </w:r>
          </w:p>
        </w:tc>
      </w:tr>
      <w:tr w:rsidR="00E2476B" w14:paraId="314DAED7" w14:textId="77777777" w:rsidTr="0018419C">
        <w:trPr>
          <w:jc w:val="center"/>
        </w:trPr>
        <w:tc>
          <w:tcPr>
            <w:tcW w:w="844" w:type="dxa"/>
            <w:tcBorders>
              <w:left w:val="single" w:sz="12" w:space="0" w:color="000000"/>
              <w:bottom w:val="single" w:sz="8" w:space="0" w:color="000000"/>
              <w:right w:val="single" w:sz="4" w:space="0" w:color="000000"/>
            </w:tcBorders>
            <w:shd w:val="clear" w:color="auto" w:fill="FFFFFF"/>
            <w:tcMar>
              <w:top w:w="0" w:type="dxa"/>
              <w:left w:w="0" w:type="dxa"/>
              <w:bottom w:w="0" w:type="dxa"/>
              <w:right w:w="0" w:type="dxa"/>
            </w:tcMar>
          </w:tcPr>
          <w:p w14:paraId="59BF8D91" w14:textId="77777777" w:rsidR="00E2476B" w:rsidRDefault="00E2476B" w:rsidP="0018419C">
            <w:pPr>
              <w:pStyle w:val="Standard"/>
              <w:spacing w:before="100" w:after="100"/>
              <w:ind w:left="102" w:right="102"/>
            </w:pPr>
            <w:r>
              <w:rPr>
                <w:rFonts w:ascii="Times New Roman" w:eastAsia="Arial" w:hAnsi="Times New Roman" w:cs="Times New Roman"/>
                <w:bCs/>
                <w:i/>
                <w:iCs/>
                <w:color w:val="000000"/>
                <w:sz w:val="14"/>
                <w:szCs w:val="14"/>
              </w:rPr>
              <w:t>P-valeur</w:t>
            </w:r>
          </w:p>
        </w:tc>
        <w:tc>
          <w:tcPr>
            <w:tcW w:w="2540" w:type="dxa"/>
            <w:gridSpan w:val="3"/>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24A6E99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0,008</w:t>
            </w:r>
            <w:r>
              <w:rPr>
                <w:rFonts w:ascii="Times New Roman" w:eastAsia="Arial" w:hAnsi="Times New Roman" w:cs="Times New Roman"/>
                <w:color w:val="000000"/>
                <w:sz w:val="14"/>
                <w:szCs w:val="14"/>
                <w:vertAlign w:val="superscript"/>
              </w:rPr>
              <w:t>2</w:t>
            </w:r>
          </w:p>
        </w:tc>
        <w:tc>
          <w:tcPr>
            <w:tcW w:w="2480" w:type="dxa"/>
            <w:gridSpan w:val="4"/>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325D022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&gt;0,9</w:t>
            </w:r>
            <w:r>
              <w:rPr>
                <w:rFonts w:ascii="Times New Roman" w:eastAsia="Arial" w:hAnsi="Times New Roman" w:cs="Times New Roman"/>
                <w:color w:val="000000"/>
                <w:sz w:val="14"/>
                <w:szCs w:val="14"/>
                <w:vertAlign w:val="superscript"/>
              </w:rPr>
              <w:t>2</w:t>
            </w:r>
          </w:p>
        </w:tc>
        <w:tc>
          <w:tcPr>
            <w:tcW w:w="1767" w:type="dxa"/>
            <w:gridSpan w:val="4"/>
            <w:tcBorders>
              <w:left w:val="single" w:sz="4" w:space="0" w:color="000000"/>
              <w:bottom w:val="single" w:sz="8" w:space="0" w:color="000000"/>
              <w:right w:val="single" w:sz="4" w:space="0" w:color="000000"/>
            </w:tcBorders>
            <w:shd w:val="clear" w:color="auto" w:fill="FFFFFF"/>
            <w:tcMar>
              <w:top w:w="0" w:type="dxa"/>
              <w:left w:w="0" w:type="dxa"/>
              <w:bottom w:w="0" w:type="dxa"/>
              <w:right w:w="0" w:type="dxa"/>
            </w:tcMar>
          </w:tcPr>
          <w:p w14:paraId="35277A8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0,045</w:t>
            </w:r>
            <w:r>
              <w:rPr>
                <w:rFonts w:ascii="Times New Roman" w:eastAsia="Arial" w:hAnsi="Times New Roman" w:cs="Times New Roman"/>
                <w:color w:val="000000"/>
                <w:sz w:val="14"/>
                <w:szCs w:val="14"/>
                <w:vertAlign w:val="superscript"/>
              </w:rPr>
              <w:t>3</w:t>
            </w:r>
          </w:p>
        </w:tc>
        <w:tc>
          <w:tcPr>
            <w:tcW w:w="1772" w:type="dxa"/>
            <w:gridSpan w:val="3"/>
            <w:tcBorders>
              <w:left w:val="single" w:sz="4" w:space="0" w:color="000000"/>
              <w:bottom w:val="single" w:sz="8" w:space="0" w:color="000000"/>
              <w:right w:val="single" w:sz="12" w:space="0" w:color="000000"/>
            </w:tcBorders>
            <w:shd w:val="clear" w:color="auto" w:fill="FFFFFF"/>
            <w:tcMar>
              <w:top w:w="0" w:type="dxa"/>
              <w:left w:w="0" w:type="dxa"/>
              <w:bottom w:w="0" w:type="dxa"/>
              <w:right w:w="0" w:type="dxa"/>
            </w:tcMar>
          </w:tcPr>
          <w:p w14:paraId="4693DB3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r>
      <w:tr w:rsidR="00E2476B" w14:paraId="1077F93E" w14:textId="77777777" w:rsidTr="0018419C">
        <w:trPr>
          <w:jc w:val="center"/>
        </w:trPr>
        <w:tc>
          <w:tcPr>
            <w:tcW w:w="9403" w:type="dxa"/>
            <w:gridSpan w:val="15"/>
            <w:tcBorders>
              <w:top w:val="single" w:sz="8"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0C392A20"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0811D410"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2F011366"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575202A0"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(effectifs non pondérés) [Intervalle de confiance à 95 %].</w:t>
            </w:r>
          </w:p>
          <w:p w14:paraId="003B9469"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Répondant∙es en couple au moment de l'enquête Virage ; Répondant∙es en couple au moment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w:t>
            </w:r>
          </w:p>
          <w:p w14:paraId="08B94349"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83,9% des femmes homosexuelles en couple dans l'enquête Virage en population générale se confient à leur partenaire lors d'un problème personnel, avec un intervalle de confiance à 95% de [71% - 92%].</w:t>
            </w:r>
          </w:p>
          <w:p w14:paraId="4656F168"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65A17B3D" w14:textId="77777777" w:rsidR="00E2476B" w:rsidRDefault="00E2476B" w:rsidP="00E2476B">
      <w:pPr>
        <w:pStyle w:val="Textbody"/>
      </w:pPr>
      <w:r>
        <w:t>Les femmes bisexuelles déclarent nettement moins que les lesbiennes se confier lors d'un problème personnel : 49,7% contre 83,9%. Elles sont minoritaires à répondre « oui » sans condition. Les lesbiennes se confient plus souvent que les hétérosexuelles (64,6%). Dans Virage LGBT, où les femmes bisexuelles sont plus souvent en couple de même sexe, elles déclarent autant que les lesbiennes se confier lors d'un problème personnel. Les hommes bisexuels déclarent moins souvent se confier que les gays dans Virage LGBT : 43,8% contre 58,9%.</w:t>
      </w:r>
    </w:p>
    <w:p w14:paraId="7F01CA71" w14:textId="77777777" w:rsidR="00E2476B" w:rsidRDefault="00E2476B" w:rsidP="00E2476B">
      <w:pPr>
        <w:pStyle w:val="Textbody"/>
      </w:pPr>
      <w:r>
        <w:t>Les résultats à la modalité « ça dépend du problème » indiquent que les personnes bisexuelles sélectionnent les problèmes qu'</w:t>
      </w:r>
      <w:proofErr w:type="spellStart"/>
      <w:r>
        <w:t>iels</w:t>
      </w:r>
      <w:proofErr w:type="spellEnd"/>
      <w:r>
        <w:t xml:space="preserve"> évoquent avec leurs partenaires. Ce n'est donc pas un simple retrait de la confidence conjugale mais plutôt une conditionnalité plus marquée, qui prolonge le résultat déjà noté sur la fusion : un rapport plus sélectif, moins automatique, au partenaire. L’investissement de cette réponse par les femmes bisexuelles en population générale (44%) pourrait refléter une approche plus réflexive du couple. Dans la continuité de l’hypothèse d’un rapport moins fusionnel au couple, on peut imaginer que les femmes bisexuelles donnent la priorité à d’autres personnes de l’entourage à qui confier ses problèmes. On peut également soulever l’hypothèses de difficultés spécifiques aux </w:t>
      </w:r>
      <w:proofErr w:type="spellStart"/>
      <w:r>
        <w:t>bisexuel∙les</w:t>
      </w:r>
      <w:proofErr w:type="spellEnd"/>
      <w:r>
        <w:t xml:space="preserve"> dans le couple, qui freinent la confidence. Le fait que certaines personnes déclarent avoir </w:t>
      </w:r>
      <w:proofErr w:type="spellStart"/>
      <w:r>
        <w:t>un·e</w:t>
      </w:r>
      <w:proofErr w:type="spellEnd"/>
      <w:r>
        <w:t xml:space="preserve"> partenaire qui ignore leur bisexualité, nous y reviendrons dans la prochaine partie de ce chapitre, éclaire une partie des dynamiques qui se cachent derrière ces moindres confidences conjugales.</w:t>
      </w:r>
    </w:p>
    <w:p w14:paraId="02C057DA" w14:textId="77777777" w:rsidR="00E2476B" w:rsidRDefault="00E2476B" w:rsidP="00E2476B">
      <w:r>
        <w:lastRenderedPageBreak/>
        <w:t>Figure 6 : Se confier au partenaire lors d'un problème personnel selon le type de couple.</w:t>
      </w:r>
    </w:p>
    <w:p w14:paraId="27F6F0FB" w14:textId="77777777" w:rsidR="00E2476B" w:rsidRDefault="00E2476B" w:rsidP="00E2476B">
      <w:pPr>
        <w:pStyle w:val="Textbody"/>
        <w:spacing w:before="40" w:after="40"/>
      </w:pPr>
      <w:r>
        <w:rPr>
          <w:noProof/>
        </w:rPr>
        <w:drawing>
          <wp:inline distT="0" distB="0" distL="0" distR="0" wp14:anchorId="13FB62BE" wp14:editId="2E07D51D">
            <wp:extent cx="5890319" cy="5890319"/>
            <wp:effectExtent l="19050" t="19050" r="15181" b="15181"/>
            <wp:docPr id="6"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5890319" cy="5890319"/>
                    </a:xfrm>
                    <a:prstGeom prst="rect">
                      <a:avLst/>
                    </a:prstGeom>
                    <a:noFill/>
                    <a:ln w="3302">
                      <a:solidFill>
                        <a:srgbClr val="E8E8E8"/>
                      </a:solidFill>
                      <a:prstDash val="solid"/>
                    </a:ln>
                  </pic:spPr>
                </pic:pic>
              </a:graphicData>
            </a:graphic>
          </wp:inline>
        </w:drawing>
      </w:r>
    </w:p>
    <w:p w14:paraId="47879C29" w14:textId="77777777" w:rsidR="00E2476B" w:rsidRDefault="00E2476B" w:rsidP="00E2476B">
      <w:pPr>
        <w:pStyle w:val="Standard"/>
        <w:spacing w:after="40"/>
        <w:ind w:left="102" w:right="102"/>
      </w:pPr>
      <w:r>
        <w:rPr>
          <w:rFonts w:ascii="Times New Roman" w:eastAsia="Arial" w:hAnsi="Times New Roman" w:cs="Times New Roman"/>
          <w:color w:val="000000"/>
          <w:sz w:val="16"/>
          <w:szCs w:val="16"/>
        </w:rPr>
        <w:t>Test du Chi2, p-valeur toutes significatives (&lt; 0,01)</w:t>
      </w:r>
    </w:p>
    <w:p w14:paraId="387EAC9C"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Répondant∙es en couple au moment de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w:t>
      </w:r>
    </w:p>
    <w:p w14:paraId="6EB09CBC"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Parmi les hommes, les gays en couple se confient plus à leur partenaire lors d'un problème personnel.</w:t>
      </w:r>
    </w:p>
    <w:p w14:paraId="0879BDC1"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4171467E" w14:textId="77777777" w:rsidR="00E2476B" w:rsidRDefault="00E2476B" w:rsidP="00E2476B">
      <w:pPr>
        <w:pStyle w:val="Standard"/>
        <w:spacing w:after="40"/>
        <w:ind w:left="102" w:right="102"/>
        <w:rPr>
          <w:rFonts w:ascii="Times New Roman" w:eastAsia="Arial" w:hAnsi="Times New Roman" w:cs="Times New Roman"/>
          <w:color w:val="000000"/>
          <w:sz w:val="16"/>
          <w:szCs w:val="16"/>
        </w:rPr>
      </w:pPr>
    </w:p>
    <w:p w14:paraId="31AA1E26" w14:textId="77777777" w:rsidR="00E2476B" w:rsidRDefault="00E2476B" w:rsidP="00E2476B">
      <w:pPr>
        <w:pStyle w:val="Textbody"/>
      </w:pPr>
      <w:r>
        <w:t xml:space="preserve">L’observation de l’échantillon LGBT ajoute de la nuance à nos premières observations. Si les femmes bisexuelles en couple avec un homme se confient moins à leur conjoint que les lesbiennes (62,5% contre 73,1%), ce n’est pas le cas de celles en couple avec une femme (78,4%). Les hommes se confient moins souvent à leur partenaire que les femmes, toute catégorie confondue. Les bis en </w:t>
      </w:r>
      <w:r>
        <w:lastRenderedPageBreak/>
        <w:t>couple avec une femme se confient nettement moins que les bis en couple de même sexe et que les gays.</w:t>
      </w:r>
    </w:p>
    <w:p w14:paraId="6653717E" w14:textId="77777777" w:rsidR="00E2476B" w:rsidRDefault="00E2476B" w:rsidP="00E2476B">
      <w:pPr>
        <w:pStyle w:val="Textbody"/>
      </w:pPr>
      <w:r>
        <w:t xml:space="preserve">Cette tendance combinée à celle sur la fusion semble dessiner des styles conjugaux bisexuels marqués par le genre du partenaire. Alors que les femmes </w:t>
      </w:r>
      <w:proofErr w:type="spellStart"/>
      <w:r>
        <w:t>bies</w:t>
      </w:r>
      <w:proofErr w:type="spellEnd"/>
      <w:r>
        <w:t xml:space="preserve"> en couple de sexe différent semblent plus autonomes vis-à-vis de leur partenaire et se confient moins souvent, ce n’est pas le cas de celles en couple de même sexe. Les hommes bis en couple avec une femme sont moins de 40% à déclarer sans condition se confier à leur partenaire lors d’un problème personnel, c’est 15% de moins que les bis en couple avec un homme et 20% de moins que les gays.</w:t>
      </w:r>
    </w:p>
    <w:p w14:paraId="2A35D8E0" w14:textId="77777777" w:rsidR="00E2476B" w:rsidRDefault="00E2476B" w:rsidP="00E2476B">
      <w:pPr>
        <w:pStyle w:val="Textbody"/>
      </w:pPr>
      <w:r>
        <w:t xml:space="preserve">Alors que les bisexuelles en couple de sexe différent s’éloignent des hétérosexuelles, les </w:t>
      </w:r>
      <w:proofErr w:type="spellStart"/>
      <w:r>
        <w:t>bies</w:t>
      </w:r>
      <w:proofErr w:type="spellEnd"/>
      <w:r>
        <w:t xml:space="preserve"> en couple de même sexe ont des styles conjugaux plus proches des lesbiennes. Les résultats concernant les hommes sont moins significatifs en population générale. On observe une tendance réduite à la confidence conjugale, confirmée dans l’échantillon LGBT, portée par les bis en couple de sexe différent.</w:t>
      </w:r>
    </w:p>
    <w:p w14:paraId="6ECDC4A4" w14:textId="77777777" w:rsidR="00E2476B" w:rsidRDefault="00E2476B" w:rsidP="00E2476B">
      <w:pPr>
        <w:pStyle w:val="Textbody"/>
      </w:pPr>
      <w:r>
        <w:t>Ici nous ne faisons pas de régression, la modalité de réponse « ça dépend du problème » complique la partition en deux modalités de réponse et l’occulter complètement enlèverait de la nuance.</w:t>
      </w:r>
    </w:p>
    <w:p w14:paraId="66FDBB6A" w14:textId="77777777" w:rsidR="00E2476B" w:rsidRDefault="00E2476B" w:rsidP="00E2476B">
      <w:pPr>
        <w:pStyle w:val="Textbody"/>
      </w:pPr>
      <w:r>
        <w:t>Ce que nous retenons ici ce n’est pas tant que l’appartenance bisexuelle est corrélée à une plus faible confidence conjugale mais plutôt l’appartenance bisexuelle dans un couple de sexe différent. Nous observons maintenant si ce rapport distancié au couple s’accompagne d’une sociabilité extérieure plus grande, indicateur d’ouverture du couple.</w:t>
      </w:r>
    </w:p>
    <w:p w14:paraId="2F0BCAD1" w14:textId="77777777" w:rsidR="00E2476B" w:rsidRDefault="00E2476B" w:rsidP="00E2476B">
      <w:pPr>
        <w:pStyle w:val="Titre4"/>
      </w:pPr>
      <w:r>
        <w:t>Des sociabilités extérieures au couple difficiles à saisir</w:t>
      </w:r>
    </w:p>
    <w:p w14:paraId="727090AF" w14:textId="77777777" w:rsidR="00E2476B" w:rsidRDefault="00E2476B" w:rsidP="00E2476B">
      <w:pPr>
        <w:pStyle w:val="Textbody"/>
      </w:pPr>
      <w:r>
        <w:t xml:space="preserve">Est-ce que la distance vis-à-vis du couple se traduit dans des modes de sociabilité différents ou les </w:t>
      </w:r>
      <w:proofErr w:type="spellStart"/>
      <w:r>
        <w:t>bisexuel∙les</w:t>
      </w:r>
      <w:proofErr w:type="spellEnd"/>
      <w:r>
        <w:t xml:space="preserve"> sont </w:t>
      </w:r>
      <w:proofErr w:type="spellStart"/>
      <w:r>
        <w:t>iels</w:t>
      </w:r>
      <w:proofErr w:type="spellEnd"/>
      <w:r>
        <w:t xml:space="preserve"> simplement plus </w:t>
      </w:r>
      <w:proofErr w:type="spellStart"/>
      <w:r>
        <w:t>seul∙es</w:t>
      </w:r>
      <w:proofErr w:type="spellEnd"/>
      <w:r>
        <w:t> ?</w:t>
      </w:r>
    </w:p>
    <w:p w14:paraId="636B84D4" w14:textId="77777777" w:rsidR="00E2476B" w:rsidRDefault="00E2476B" w:rsidP="00E2476B">
      <w:r>
        <w:t>Table 6 : Sociabilité extérieure au couple selon l’identification sexuelle et le genre.</w:t>
      </w:r>
    </w:p>
    <w:tbl>
      <w:tblPr>
        <w:tblW w:w="5000" w:type="pct"/>
        <w:jc w:val="center"/>
        <w:tblLayout w:type="fixed"/>
        <w:tblCellMar>
          <w:left w:w="10" w:type="dxa"/>
          <w:right w:w="10" w:type="dxa"/>
        </w:tblCellMar>
        <w:tblLook w:val="0000" w:firstRow="0" w:lastRow="0" w:firstColumn="0" w:lastColumn="0" w:noHBand="0" w:noVBand="0"/>
      </w:tblPr>
      <w:tblGrid>
        <w:gridCol w:w="1280"/>
        <w:gridCol w:w="810"/>
        <w:gridCol w:w="808"/>
        <w:gridCol w:w="810"/>
        <w:gridCol w:w="808"/>
        <w:gridCol w:w="809"/>
        <w:gridCol w:w="810"/>
        <w:gridCol w:w="809"/>
        <w:gridCol w:w="810"/>
        <w:gridCol w:w="809"/>
        <w:gridCol w:w="811"/>
      </w:tblGrid>
      <w:tr w:rsidR="00E2476B" w14:paraId="76B4E563" w14:textId="77777777" w:rsidTr="0018419C">
        <w:trPr>
          <w:tblHeader/>
          <w:jc w:val="center"/>
        </w:trPr>
        <w:tc>
          <w:tcPr>
            <w:tcW w:w="1283"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ED3B194"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2437" w:type="dxa"/>
            <w:gridSpan w:val="3"/>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A503836"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436" w:type="dxa"/>
            <w:gridSpan w:val="3"/>
            <w:tcBorders>
              <w:top w:val="single" w:sz="12" w:space="0" w:color="000000"/>
              <w:bottom w:val="single" w:sz="12" w:space="0" w:color="000000"/>
              <w:right w:val="single" w:sz="12" w:space="0" w:color="000000"/>
            </w:tcBorders>
            <w:shd w:val="clear" w:color="auto" w:fill="FFFFFF"/>
            <w:tcMar>
              <w:top w:w="0" w:type="dxa"/>
              <w:left w:w="108" w:type="dxa"/>
              <w:bottom w:w="0" w:type="dxa"/>
              <w:right w:w="108" w:type="dxa"/>
            </w:tcMar>
            <w:vAlign w:val="center"/>
          </w:tcPr>
          <w:p w14:paraId="428920FF"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624" w:type="dxa"/>
            <w:gridSpan w:val="2"/>
            <w:tcBorders>
              <w:top w:val="single" w:sz="12" w:space="0" w:color="000000"/>
              <w:bottom w:val="single" w:sz="12" w:space="0" w:color="000000"/>
              <w:right w:val="single" w:sz="12" w:space="0" w:color="000000"/>
            </w:tcBorders>
            <w:shd w:val="clear" w:color="auto" w:fill="FFFFFF"/>
            <w:tcMar>
              <w:top w:w="0" w:type="dxa"/>
              <w:left w:w="108" w:type="dxa"/>
              <w:bottom w:w="0" w:type="dxa"/>
              <w:right w:w="108" w:type="dxa"/>
            </w:tcMar>
            <w:vAlign w:val="center"/>
          </w:tcPr>
          <w:p w14:paraId="21C3A504"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LGBT — Femmes</w:t>
            </w:r>
          </w:p>
        </w:tc>
        <w:tc>
          <w:tcPr>
            <w:tcW w:w="1624" w:type="dxa"/>
            <w:gridSpan w:val="2"/>
            <w:tcBorders>
              <w:top w:val="single" w:sz="12" w:space="0" w:color="000000"/>
              <w:bottom w:val="single" w:sz="12" w:space="0" w:color="000000"/>
              <w:right w:val="single" w:sz="12" w:space="0" w:color="000000"/>
            </w:tcBorders>
            <w:shd w:val="clear" w:color="auto" w:fill="FFFFFF"/>
            <w:tcMar>
              <w:top w:w="0" w:type="dxa"/>
              <w:left w:w="108" w:type="dxa"/>
              <w:bottom w:w="0" w:type="dxa"/>
              <w:right w:w="108" w:type="dxa"/>
            </w:tcMar>
            <w:vAlign w:val="center"/>
          </w:tcPr>
          <w:p w14:paraId="699E3DC7"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LGBT — Hommes</w:t>
            </w:r>
          </w:p>
        </w:tc>
      </w:tr>
      <w:tr w:rsidR="00E2476B" w14:paraId="3EF26C7E" w14:textId="77777777" w:rsidTr="0018419C">
        <w:trPr>
          <w:tblHeader/>
          <w:jc w:val="center"/>
        </w:trPr>
        <w:tc>
          <w:tcPr>
            <w:tcW w:w="1283"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14D10EF6"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81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337C0EB"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vertAlign w:val="superscript"/>
              </w:rPr>
              <w:t>1</w:t>
            </w:r>
          </w:p>
        </w:tc>
        <w:tc>
          <w:tcPr>
            <w:tcW w:w="81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CF0D122"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(135)</w:t>
            </w:r>
            <w:r>
              <w:rPr>
                <w:rFonts w:ascii="Times New Roman" w:eastAsia="Arial" w:hAnsi="Times New Roman" w:cs="Times New Roman"/>
                <w:color w:val="000000"/>
                <w:sz w:val="14"/>
                <w:szCs w:val="14"/>
                <w:vertAlign w:val="superscript"/>
              </w:rPr>
              <w:t>1</w:t>
            </w:r>
          </w:p>
        </w:tc>
        <w:tc>
          <w:tcPr>
            <w:tcW w:w="81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D93F66B"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(15 297)</w:t>
            </w:r>
            <w:r>
              <w:rPr>
                <w:rFonts w:ascii="Times New Roman" w:eastAsia="Arial" w:hAnsi="Times New Roman" w:cs="Times New Roman"/>
                <w:color w:val="000000"/>
                <w:sz w:val="14"/>
                <w:szCs w:val="14"/>
                <w:vertAlign w:val="superscript"/>
              </w:rPr>
              <w:t>1</w:t>
            </w:r>
          </w:p>
        </w:tc>
        <w:tc>
          <w:tcPr>
            <w:tcW w:w="81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0614474"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(180)</w:t>
            </w:r>
            <w:r>
              <w:rPr>
                <w:rFonts w:ascii="Times New Roman" w:eastAsia="Arial" w:hAnsi="Times New Roman" w:cs="Times New Roman"/>
                <w:color w:val="000000"/>
                <w:sz w:val="14"/>
                <w:szCs w:val="14"/>
                <w:vertAlign w:val="superscript"/>
              </w:rPr>
              <w:t>1</w:t>
            </w:r>
          </w:p>
        </w:tc>
        <w:tc>
          <w:tcPr>
            <w:tcW w:w="81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E8C1152"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vertAlign w:val="superscript"/>
              </w:rPr>
              <w:t>1</w:t>
            </w:r>
          </w:p>
        </w:tc>
        <w:tc>
          <w:tcPr>
            <w:tcW w:w="81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E81684E"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(11 422)</w:t>
            </w:r>
            <w:r>
              <w:rPr>
                <w:rFonts w:ascii="Times New Roman" w:eastAsia="Arial" w:hAnsi="Times New Roman" w:cs="Times New Roman"/>
                <w:color w:val="000000"/>
                <w:sz w:val="14"/>
                <w:szCs w:val="14"/>
                <w:vertAlign w:val="superscript"/>
              </w:rPr>
              <w:t>1</w:t>
            </w:r>
          </w:p>
        </w:tc>
        <w:tc>
          <w:tcPr>
            <w:tcW w:w="81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58B594C"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(2 362)</w:t>
            </w:r>
            <w:r>
              <w:rPr>
                <w:rFonts w:ascii="Times New Roman" w:eastAsia="Arial" w:hAnsi="Times New Roman" w:cs="Times New Roman"/>
                <w:color w:val="000000"/>
                <w:sz w:val="14"/>
                <w:szCs w:val="14"/>
                <w:vertAlign w:val="superscript"/>
              </w:rPr>
              <w:t>1</w:t>
            </w:r>
          </w:p>
        </w:tc>
        <w:tc>
          <w:tcPr>
            <w:tcW w:w="81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DED6DBC"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(654)</w:t>
            </w:r>
            <w:r>
              <w:rPr>
                <w:rFonts w:ascii="Times New Roman" w:eastAsia="Arial" w:hAnsi="Times New Roman" w:cs="Times New Roman"/>
                <w:color w:val="000000"/>
                <w:sz w:val="14"/>
                <w:szCs w:val="14"/>
                <w:vertAlign w:val="superscript"/>
              </w:rPr>
              <w:t>1</w:t>
            </w:r>
          </w:p>
        </w:tc>
        <w:tc>
          <w:tcPr>
            <w:tcW w:w="81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89796D2"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(2 954)</w:t>
            </w:r>
            <w:r>
              <w:rPr>
                <w:rFonts w:ascii="Times New Roman" w:eastAsia="Arial" w:hAnsi="Times New Roman" w:cs="Times New Roman"/>
                <w:color w:val="000000"/>
                <w:sz w:val="14"/>
                <w:szCs w:val="14"/>
                <w:vertAlign w:val="superscript"/>
              </w:rPr>
              <w:t>1</w:t>
            </w:r>
          </w:p>
        </w:tc>
        <w:tc>
          <w:tcPr>
            <w:tcW w:w="813"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5A81C1BE"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(315)</w:t>
            </w:r>
            <w:r>
              <w:rPr>
                <w:rFonts w:ascii="Times New Roman" w:eastAsia="Arial" w:hAnsi="Times New Roman" w:cs="Times New Roman"/>
                <w:color w:val="000000"/>
                <w:sz w:val="14"/>
                <w:szCs w:val="14"/>
                <w:vertAlign w:val="superscript"/>
              </w:rPr>
              <w:t>1</w:t>
            </w:r>
          </w:p>
        </w:tc>
      </w:tr>
      <w:tr w:rsidR="00E2476B" w14:paraId="2346ED51" w14:textId="77777777" w:rsidTr="0018419C">
        <w:trPr>
          <w:trHeight w:val="283"/>
          <w:jc w:val="center"/>
        </w:trPr>
        <w:tc>
          <w:tcPr>
            <w:tcW w:w="9404" w:type="dxa"/>
            <w:gridSpan w:val="11"/>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7538E8C6"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Se confie à un membre de la famille lors d'un problème personnel</w:t>
            </w:r>
          </w:p>
        </w:tc>
      </w:tr>
      <w:tr w:rsidR="00E2476B" w14:paraId="4A1492F0"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730AF9CA"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Oui</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71DB18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19,3</w:t>
            </w:r>
            <w:r>
              <w:rPr>
                <w:rFonts w:ascii="Times New Roman" w:eastAsia="Arial" w:hAnsi="Times New Roman" w:cs="Times New Roman"/>
                <w:color w:val="000000"/>
                <w:sz w:val="14"/>
                <w:szCs w:val="14"/>
              </w:rPr>
              <w:br/>
              <w:t>[12-29]</w:t>
            </w:r>
            <w:r>
              <w:rPr>
                <w:rFonts w:ascii="Times New Roman" w:eastAsia="Arial" w:hAnsi="Times New Roman" w:cs="Times New Roman"/>
                <w:color w:val="000000"/>
                <w:sz w:val="14"/>
                <w:szCs w:val="14"/>
                <w:vertAlign w:val="superscript"/>
              </w:rPr>
              <w:t>4</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9300DF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29,8</w:t>
            </w:r>
            <w:r>
              <w:rPr>
                <w:rFonts w:ascii="Times New Roman" w:eastAsia="Arial" w:hAnsi="Times New Roman" w:cs="Times New Roman"/>
                <w:color w:val="000000"/>
                <w:sz w:val="14"/>
                <w:szCs w:val="14"/>
              </w:rPr>
              <w:br/>
              <w:t>[21-41]</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3947D9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38,9</w:t>
            </w:r>
            <w:r>
              <w:rPr>
                <w:rFonts w:ascii="Times New Roman" w:eastAsia="Arial" w:hAnsi="Times New Roman" w:cs="Times New Roman"/>
                <w:color w:val="000000"/>
                <w:sz w:val="14"/>
                <w:szCs w:val="14"/>
              </w:rPr>
              <w:br/>
              <w:t>[38-40]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2A3FBC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[17-32]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77FED1E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5,2</w:t>
            </w:r>
            <w:r>
              <w:rPr>
                <w:rFonts w:ascii="Times New Roman" w:eastAsia="Arial" w:hAnsi="Times New Roman" w:cs="Times New Roman"/>
                <w:color w:val="000000"/>
                <w:sz w:val="14"/>
                <w:szCs w:val="14"/>
              </w:rPr>
              <w:br/>
              <w:t>[2,1-12]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5C7E8E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24,6</w:t>
            </w:r>
            <w:r>
              <w:rPr>
                <w:rFonts w:ascii="Times New Roman" w:eastAsia="Arial" w:hAnsi="Times New Roman" w:cs="Times New Roman"/>
                <w:color w:val="000000"/>
                <w:sz w:val="14"/>
                <w:szCs w:val="14"/>
              </w:rPr>
              <w:br/>
              <w:t>[24-26]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13FD41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20,3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8B86A3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19,0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5CED2F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15,9</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6A7FF63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8,9</w:t>
            </w:r>
          </w:p>
        </w:tc>
      </w:tr>
      <w:tr w:rsidR="00E2476B" w14:paraId="31031E98"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1255D290"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Non</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17B9BD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32,0</w:t>
            </w:r>
            <w:r>
              <w:rPr>
                <w:rFonts w:ascii="Times New Roman" w:eastAsia="Arial" w:hAnsi="Times New Roman" w:cs="Times New Roman"/>
                <w:color w:val="000000"/>
                <w:sz w:val="14"/>
                <w:szCs w:val="14"/>
              </w:rPr>
              <w:br/>
              <w:t>[21-46]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E15F2B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27,9</w:t>
            </w:r>
            <w:r>
              <w:rPr>
                <w:rFonts w:ascii="Times New Roman" w:eastAsia="Arial" w:hAnsi="Times New Roman" w:cs="Times New Roman"/>
                <w:color w:val="000000"/>
                <w:sz w:val="14"/>
                <w:szCs w:val="14"/>
              </w:rPr>
              <w:br/>
              <w:t>[20-38]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B0D93D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28,8</w:t>
            </w:r>
            <w:r>
              <w:rPr>
                <w:rFonts w:ascii="Times New Roman" w:eastAsia="Arial" w:hAnsi="Times New Roman" w:cs="Times New Roman"/>
                <w:color w:val="000000"/>
                <w:sz w:val="14"/>
                <w:szCs w:val="14"/>
              </w:rPr>
              <w:br/>
              <w:t>[28-30]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2ECEB5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33,2</w:t>
            </w:r>
            <w:r>
              <w:rPr>
                <w:rFonts w:ascii="Times New Roman" w:eastAsia="Arial" w:hAnsi="Times New Roman" w:cs="Times New Roman"/>
                <w:color w:val="000000"/>
                <w:sz w:val="14"/>
                <w:szCs w:val="14"/>
              </w:rPr>
              <w:br/>
              <w:t>[25-43]</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160CE20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61,3</w:t>
            </w:r>
            <w:r>
              <w:rPr>
                <w:rFonts w:ascii="Times New Roman" w:eastAsia="Arial" w:hAnsi="Times New Roman" w:cs="Times New Roman"/>
                <w:color w:val="000000"/>
                <w:sz w:val="14"/>
                <w:szCs w:val="14"/>
              </w:rPr>
              <w:br/>
              <w:t>[47-74]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747678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45,6</w:t>
            </w:r>
            <w:r>
              <w:rPr>
                <w:rFonts w:ascii="Times New Roman" w:eastAsia="Arial" w:hAnsi="Times New Roman" w:cs="Times New Roman"/>
                <w:color w:val="000000"/>
                <w:sz w:val="14"/>
                <w:szCs w:val="14"/>
              </w:rPr>
              <w:br/>
              <w:t>[44-47]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95B891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35,8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7A762D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30,9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B88AFD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41,2</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25CFD3F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47,9</w:t>
            </w:r>
          </w:p>
        </w:tc>
      </w:tr>
      <w:tr w:rsidR="00E2476B" w14:paraId="3DE7303F"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5FB976B9"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lastRenderedPageBreak/>
              <w:t>Ça dépend du problème</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90C785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48,7</w:t>
            </w:r>
            <w:r>
              <w:rPr>
                <w:rFonts w:ascii="Times New Roman" w:eastAsia="Arial" w:hAnsi="Times New Roman" w:cs="Times New Roman"/>
                <w:color w:val="000000"/>
                <w:sz w:val="14"/>
                <w:szCs w:val="14"/>
              </w:rPr>
              <w:br/>
              <w:t>[36-61]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E707E7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42,2</w:t>
            </w:r>
            <w:r>
              <w:rPr>
                <w:rFonts w:ascii="Times New Roman" w:eastAsia="Arial" w:hAnsi="Times New Roman" w:cs="Times New Roman"/>
                <w:color w:val="000000"/>
                <w:sz w:val="14"/>
                <w:szCs w:val="14"/>
              </w:rPr>
              <w:br/>
              <w:t>[32-53]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CB14AB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32,3</w:t>
            </w:r>
            <w:r>
              <w:rPr>
                <w:rFonts w:ascii="Times New Roman" w:eastAsia="Arial" w:hAnsi="Times New Roman" w:cs="Times New Roman"/>
                <w:color w:val="000000"/>
                <w:sz w:val="14"/>
                <w:szCs w:val="14"/>
              </w:rPr>
              <w:br/>
              <w:t>[31-33]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88B348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43,3</w:t>
            </w:r>
            <w:r>
              <w:rPr>
                <w:rFonts w:ascii="Times New Roman" w:eastAsia="Arial" w:hAnsi="Times New Roman" w:cs="Times New Roman"/>
                <w:color w:val="000000"/>
                <w:sz w:val="14"/>
                <w:szCs w:val="14"/>
              </w:rPr>
              <w:br/>
              <w:t>[35-52]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2F6A084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33,5</w:t>
            </w:r>
            <w:r>
              <w:rPr>
                <w:rFonts w:ascii="Times New Roman" w:eastAsia="Arial" w:hAnsi="Times New Roman" w:cs="Times New Roman"/>
                <w:color w:val="000000"/>
                <w:sz w:val="14"/>
                <w:szCs w:val="14"/>
              </w:rPr>
              <w:br/>
              <w:t>[22-47]</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1CCC70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29,9</w:t>
            </w:r>
            <w:r>
              <w:rPr>
                <w:rFonts w:ascii="Times New Roman" w:eastAsia="Arial" w:hAnsi="Times New Roman" w:cs="Times New Roman"/>
                <w:color w:val="000000"/>
                <w:sz w:val="14"/>
                <w:szCs w:val="14"/>
              </w:rPr>
              <w:br/>
              <w:t>[29-31]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7FCA16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44,0</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1C8ACE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50,2</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A9F0F6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42,8</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4320018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43,1</w:t>
            </w:r>
          </w:p>
        </w:tc>
      </w:tr>
      <w:tr w:rsidR="00E2476B" w14:paraId="5B5D4029"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6932AE10"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84C7919"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0,003</w:t>
            </w:r>
            <w:r>
              <w:rPr>
                <w:rFonts w:ascii="Times New Roman" w:eastAsia="Arial" w:hAnsi="Times New Roman" w:cs="Times New Roman"/>
                <w:i/>
                <w:iCs/>
                <w:color w:val="000000"/>
                <w:sz w:val="14"/>
                <w:szCs w:val="14"/>
                <w:vertAlign w:val="superscript"/>
              </w:rPr>
              <w:t>2</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8CE9365"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r>
              <w:rPr>
                <w:rFonts w:ascii="Times New Roman" w:eastAsia="Arial" w:hAnsi="Times New Roman" w:cs="Times New Roman"/>
                <w:i/>
                <w:iCs/>
                <w:color w:val="000000"/>
                <w:sz w:val="14"/>
                <w:szCs w:val="14"/>
                <w:vertAlign w:val="superscript"/>
              </w:rPr>
              <w:t>2</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7F93EF6"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0,016</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2FF16931"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0,001</w:t>
            </w:r>
          </w:p>
        </w:tc>
      </w:tr>
      <w:tr w:rsidR="00E2476B" w14:paraId="18EC9071" w14:textId="77777777" w:rsidTr="0018419C">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23734A0D"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 xml:space="preserve">Se confie à </w:t>
            </w:r>
            <w:proofErr w:type="spellStart"/>
            <w:r>
              <w:rPr>
                <w:rFonts w:ascii="Times New Roman" w:eastAsia="Arial" w:hAnsi="Times New Roman" w:cs="Times New Roman"/>
                <w:bCs/>
                <w:i/>
                <w:iCs/>
                <w:color w:val="000000"/>
                <w:sz w:val="14"/>
                <w:szCs w:val="14"/>
              </w:rPr>
              <w:t>un∙e</w:t>
            </w:r>
            <w:proofErr w:type="spellEnd"/>
            <w:r>
              <w:rPr>
                <w:rFonts w:ascii="Times New Roman" w:eastAsia="Arial" w:hAnsi="Times New Roman" w:cs="Times New Roman"/>
                <w:bCs/>
                <w:i/>
                <w:iCs/>
                <w:color w:val="000000"/>
                <w:sz w:val="14"/>
                <w:szCs w:val="14"/>
              </w:rPr>
              <w:t xml:space="preserve"> </w:t>
            </w:r>
            <w:proofErr w:type="spellStart"/>
            <w:r>
              <w:rPr>
                <w:rFonts w:ascii="Times New Roman" w:eastAsia="Arial" w:hAnsi="Times New Roman" w:cs="Times New Roman"/>
                <w:bCs/>
                <w:i/>
                <w:iCs/>
                <w:color w:val="000000"/>
                <w:sz w:val="14"/>
                <w:szCs w:val="14"/>
              </w:rPr>
              <w:t>ami∙e</w:t>
            </w:r>
            <w:proofErr w:type="spellEnd"/>
            <w:r>
              <w:rPr>
                <w:rFonts w:ascii="Times New Roman" w:eastAsia="Arial" w:hAnsi="Times New Roman" w:cs="Times New Roman"/>
                <w:bCs/>
                <w:i/>
                <w:iCs/>
                <w:color w:val="000000"/>
                <w:sz w:val="14"/>
                <w:szCs w:val="14"/>
              </w:rPr>
              <w:t xml:space="preserve"> lors d'un problème personnel</w:t>
            </w:r>
          </w:p>
        </w:tc>
      </w:tr>
      <w:tr w:rsidR="00E2476B" w14:paraId="73388B8C"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466E0FF9"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Oui</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767A3E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61,5</w:t>
            </w:r>
            <w:r>
              <w:rPr>
                <w:rFonts w:ascii="Times New Roman" w:eastAsia="Arial" w:hAnsi="Times New Roman" w:cs="Times New Roman"/>
                <w:color w:val="000000"/>
                <w:sz w:val="14"/>
                <w:szCs w:val="14"/>
              </w:rPr>
              <w:br/>
              <w:t>[49-73]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E0732E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51,9</w:t>
            </w:r>
            <w:r>
              <w:rPr>
                <w:rFonts w:ascii="Times New Roman" w:eastAsia="Arial" w:hAnsi="Times New Roman" w:cs="Times New Roman"/>
                <w:color w:val="000000"/>
                <w:sz w:val="14"/>
                <w:szCs w:val="14"/>
              </w:rPr>
              <w:br/>
              <w:t>[41-62]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5388FE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39,2</w:t>
            </w:r>
            <w:r>
              <w:rPr>
                <w:rFonts w:ascii="Times New Roman" w:eastAsia="Arial" w:hAnsi="Times New Roman" w:cs="Times New Roman"/>
                <w:color w:val="000000"/>
                <w:sz w:val="14"/>
                <w:szCs w:val="14"/>
              </w:rPr>
              <w:br/>
              <w:t>[38-40]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5F63FE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53,3</w:t>
            </w:r>
            <w:r>
              <w:rPr>
                <w:rFonts w:ascii="Times New Roman" w:eastAsia="Arial" w:hAnsi="Times New Roman" w:cs="Times New Roman"/>
                <w:color w:val="000000"/>
                <w:sz w:val="14"/>
                <w:szCs w:val="14"/>
              </w:rPr>
              <w:br/>
              <w:t>[44-62]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12FF563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39,9</w:t>
            </w:r>
            <w:r>
              <w:rPr>
                <w:rFonts w:ascii="Times New Roman" w:eastAsia="Arial" w:hAnsi="Times New Roman" w:cs="Times New Roman"/>
                <w:color w:val="000000"/>
                <w:sz w:val="14"/>
                <w:szCs w:val="14"/>
              </w:rPr>
              <w:br/>
              <w:t>[27-54]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89B642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25,2</w:t>
            </w:r>
            <w:r>
              <w:rPr>
                <w:rFonts w:ascii="Times New Roman" w:eastAsia="Arial" w:hAnsi="Times New Roman" w:cs="Times New Roman"/>
                <w:color w:val="000000"/>
                <w:sz w:val="14"/>
                <w:szCs w:val="14"/>
              </w:rPr>
              <w:br/>
              <w:t>[24-26]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C5D324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53,4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E5DF9E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56,0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647CF6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49,8</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4BED8C9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39,0</w:t>
            </w:r>
          </w:p>
        </w:tc>
      </w:tr>
      <w:tr w:rsidR="00E2476B" w14:paraId="4F232D07"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5B4E6741"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Non</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9DC09F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15,0</w:t>
            </w:r>
            <w:r>
              <w:rPr>
                <w:rFonts w:ascii="Times New Roman" w:eastAsia="Arial" w:hAnsi="Times New Roman" w:cs="Times New Roman"/>
                <w:color w:val="000000"/>
                <w:sz w:val="14"/>
                <w:szCs w:val="14"/>
              </w:rPr>
              <w:br/>
              <w:t>[8,3-25]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97660E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14,3</w:t>
            </w:r>
            <w:r>
              <w:rPr>
                <w:rFonts w:ascii="Times New Roman" w:eastAsia="Arial" w:hAnsi="Times New Roman" w:cs="Times New Roman"/>
                <w:color w:val="000000"/>
                <w:sz w:val="14"/>
                <w:szCs w:val="14"/>
              </w:rPr>
              <w:br/>
              <w:t>[8,5-23]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D6F7B0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34,0</w:t>
            </w:r>
            <w:r>
              <w:rPr>
                <w:rFonts w:ascii="Times New Roman" w:eastAsia="Arial" w:hAnsi="Times New Roman" w:cs="Times New Roman"/>
                <w:color w:val="000000"/>
                <w:sz w:val="14"/>
                <w:szCs w:val="14"/>
              </w:rPr>
              <w:br/>
              <w:t>[33-35]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8CF3C2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22,3</w:t>
            </w:r>
            <w:r>
              <w:rPr>
                <w:rFonts w:ascii="Times New Roman" w:eastAsia="Arial" w:hAnsi="Times New Roman" w:cs="Times New Roman"/>
                <w:color w:val="000000"/>
                <w:sz w:val="14"/>
                <w:szCs w:val="14"/>
              </w:rPr>
              <w:br/>
              <w:t>[16-30]</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11431C4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32,7</w:t>
            </w:r>
            <w:r>
              <w:rPr>
                <w:rFonts w:ascii="Times New Roman" w:eastAsia="Arial" w:hAnsi="Times New Roman" w:cs="Times New Roman"/>
                <w:color w:val="000000"/>
                <w:sz w:val="14"/>
                <w:szCs w:val="14"/>
              </w:rPr>
              <w:br/>
              <w:t>[20-48]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6A18D0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49,2</w:t>
            </w:r>
            <w:r>
              <w:rPr>
                <w:rFonts w:ascii="Times New Roman" w:eastAsia="Arial" w:hAnsi="Times New Roman" w:cs="Times New Roman"/>
                <w:color w:val="000000"/>
                <w:sz w:val="14"/>
                <w:szCs w:val="14"/>
              </w:rPr>
              <w:br/>
              <w:t>[48-50]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EAC950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10,3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DDDB93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E17F32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14,8</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47D846D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20,4</w:t>
            </w:r>
          </w:p>
        </w:tc>
      </w:tr>
      <w:tr w:rsidR="00E2476B" w14:paraId="7C5FB0BF"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13834DD9"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Ça dépend du problème</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F4E2B5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[15-35]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4E07FB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33,7</w:t>
            </w:r>
            <w:r>
              <w:rPr>
                <w:rFonts w:ascii="Times New Roman" w:eastAsia="Arial" w:hAnsi="Times New Roman" w:cs="Times New Roman"/>
                <w:color w:val="000000"/>
                <w:sz w:val="14"/>
                <w:szCs w:val="14"/>
              </w:rPr>
              <w:br/>
              <w:t>[24-45]</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3907FA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[26-28]</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97DD9E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24,4</w:t>
            </w:r>
            <w:r>
              <w:rPr>
                <w:rFonts w:ascii="Times New Roman" w:eastAsia="Arial" w:hAnsi="Times New Roman" w:cs="Times New Roman"/>
                <w:color w:val="000000"/>
                <w:sz w:val="14"/>
                <w:szCs w:val="14"/>
              </w:rPr>
              <w:br/>
              <w:t>[18-33]</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5C1E0BA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27,4</w:t>
            </w:r>
            <w:r>
              <w:rPr>
                <w:rFonts w:ascii="Times New Roman" w:eastAsia="Arial" w:hAnsi="Times New Roman" w:cs="Times New Roman"/>
                <w:color w:val="000000"/>
                <w:sz w:val="14"/>
                <w:szCs w:val="14"/>
              </w:rPr>
              <w:br/>
              <w:t>[17-42]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7B2B6A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25,6</w:t>
            </w:r>
            <w:r>
              <w:rPr>
                <w:rFonts w:ascii="Times New Roman" w:eastAsia="Arial" w:hAnsi="Times New Roman" w:cs="Times New Roman"/>
                <w:color w:val="000000"/>
                <w:sz w:val="14"/>
                <w:szCs w:val="14"/>
              </w:rPr>
              <w:br/>
              <w:t>[25-27]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E14FC9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36,2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62B900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35,1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0419F4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35,4</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30886A3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40,6</w:t>
            </w:r>
          </w:p>
        </w:tc>
      </w:tr>
      <w:tr w:rsidR="00E2476B" w14:paraId="6257AD38"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7E0C7762"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F4CEF4D"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5852AD4"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0C8AFED"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0E11F7AF"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0,002</w:t>
            </w:r>
          </w:p>
        </w:tc>
      </w:tr>
      <w:tr w:rsidR="00E2476B" w14:paraId="1F66A28A" w14:textId="77777777" w:rsidTr="0018419C">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589D2378"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Contacts avec la famille (12 derniers mois)</w:t>
            </w:r>
          </w:p>
        </w:tc>
      </w:tr>
      <w:tr w:rsidR="00E2476B" w14:paraId="152E1F42"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3F7649D8"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Peu ou pas de contact</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7FBC8C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26,6</w:t>
            </w:r>
            <w:r>
              <w:rPr>
                <w:rFonts w:ascii="Times New Roman" w:eastAsia="Arial" w:hAnsi="Times New Roman" w:cs="Times New Roman"/>
                <w:color w:val="000000"/>
                <w:sz w:val="14"/>
                <w:szCs w:val="14"/>
              </w:rPr>
              <w:br/>
              <w:t>[16-41]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1521D9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19,6</w:t>
            </w:r>
            <w:r>
              <w:rPr>
                <w:rFonts w:ascii="Times New Roman" w:eastAsia="Arial" w:hAnsi="Times New Roman" w:cs="Times New Roman"/>
                <w:color w:val="000000"/>
                <w:sz w:val="14"/>
                <w:szCs w:val="14"/>
              </w:rPr>
              <w:br/>
              <w:t>[12-29]</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645CC2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16,6</w:t>
            </w:r>
            <w:r>
              <w:rPr>
                <w:rFonts w:ascii="Times New Roman" w:eastAsia="Arial" w:hAnsi="Times New Roman" w:cs="Times New Roman"/>
                <w:color w:val="000000"/>
                <w:sz w:val="14"/>
                <w:szCs w:val="14"/>
              </w:rPr>
              <w:br/>
              <w:t>[16-17]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EB6952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22,6</w:t>
            </w:r>
            <w:r>
              <w:rPr>
                <w:rFonts w:ascii="Times New Roman" w:eastAsia="Arial" w:hAnsi="Times New Roman" w:cs="Times New Roman"/>
                <w:color w:val="000000"/>
                <w:sz w:val="14"/>
                <w:szCs w:val="14"/>
              </w:rPr>
              <w:br/>
              <w:t>[16-32]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4D855CA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36,0</w:t>
            </w:r>
            <w:r>
              <w:rPr>
                <w:rFonts w:ascii="Times New Roman" w:eastAsia="Arial" w:hAnsi="Times New Roman" w:cs="Times New Roman"/>
                <w:color w:val="000000"/>
                <w:sz w:val="14"/>
                <w:szCs w:val="14"/>
              </w:rPr>
              <w:br/>
              <w:t>[23-51]</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04037D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23,7</w:t>
            </w:r>
            <w:r>
              <w:rPr>
                <w:rFonts w:ascii="Times New Roman" w:eastAsia="Arial" w:hAnsi="Times New Roman" w:cs="Times New Roman"/>
                <w:color w:val="000000"/>
                <w:sz w:val="14"/>
                <w:szCs w:val="14"/>
              </w:rPr>
              <w:br/>
              <w:t>[23-25]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AAA8C9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17,4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BE06F1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16,5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C13D22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19,5</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1F72E0F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28,6</w:t>
            </w:r>
          </w:p>
        </w:tc>
      </w:tr>
      <w:tr w:rsidR="00E2476B" w14:paraId="10515103"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2571D62F"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Contacts réguliers</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B328D3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73,4</w:t>
            </w:r>
            <w:r>
              <w:rPr>
                <w:rFonts w:ascii="Times New Roman" w:eastAsia="Arial" w:hAnsi="Times New Roman" w:cs="Times New Roman"/>
                <w:color w:val="000000"/>
                <w:sz w:val="14"/>
                <w:szCs w:val="14"/>
              </w:rPr>
              <w:br/>
              <w:t>[59-84]</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D5F222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80,4</w:t>
            </w:r>
            <w:r>
              <w:rPr>
                <w:rFonts w:ascii="Times New Roman" w:eastAsia="Arial" w:hAnsi="Times New Roman" w:cs="Times New Roman"/>
                <w:color w:val="000000"/>
                <w:sz w:val="14"/>
                <w:szCs w:val="14"/>
              </w:rPr>
              <w:br/>
              <w:t>[71-88]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5AF444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83,4</w:t>
            </w:r>
            <w:r>
              <w:rPr>
                <w:rFonts w:ascii="Times New Roman" w:eastAsia="Arial" w:hAnsi="Times New Roman" w:cs="Times New Roman"/>
                <w:color w:val="000000"/>
                <w:sz w:val="14"/>
                <w:szCs w:val="14"/>
              </w:rPr>
              <w:br/>
              <w:t>[83-84]</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FDC5F7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77,4</w:t>
            </w:r>
            <w:r>
              <w:rPr>
                <w:rFonts w:ascii="Times New Roman" w:eastAsia="Arial" w:hAnsi="Times New Roman" w:cs="Times New Roman"/>
                <w:color w:val="000000"/>
                <w:sz w:val="14"/>
                <w:szCs w:val="14"/>
              </w:rPr>
              <w:br/>
              <w:t>[68-84]</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74465C9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64,0</w:t>
            </w:r>
            <w:r>
              <w:rPr>
                <w:rFonts w:ascii="Times New Roman" w:eastAsia="Arial" w:hAnsi="Times New Roman" w:cs="Times New Roman"/>
                <w:color w:val="000000"/>
                <w:sz w:val="14"/>
                <w:szCs w:val="14"/>
              </w:rPr>
              <w:br/>
              <w:t>[49-77]</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A5B3EC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76,3</w:t>
            </w:r>
            <w:r>
              <w:rPr>
                <w:rFonts w:ascii="Times New Roman" w:eastAsia="Arial" w:hAnsi="Times New Roman" w:cs="Times New Roman"/>
                <w:color w:val="000000"/>
                <w:sz w:val="14"/>
                <w:szCs w:val="14"/>
              </w:rPr>
              <w:br/>
              <w:t>[75-77]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985745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82,6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FCC67E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83,5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FBBA56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80,5</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3CC5EE3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71,4</w:t>
            </w:r>
          </w:p>
        </w:tc>
      </w:tr>
      <w:tr w:rsidR="00E2476B" w14:paraId="2F2CD41E"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1A9D9212"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29F975F0"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0,12</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622E30E8"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0,12</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21172161"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0,6</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0F684BB3"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p>
        </w:tc>
      </w:tr>
      <w:tr w:rsidR="00E2476B" w14:paraId="4DAD84D6" w14:textId="77777777" w:rsidTr="0018419C">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65D23E51"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 xml:space="preserve">Contacts avec des </w:t>
            </w:r>
            <w:proofErr w:type="spellStart"/>
            <w:r>
              <w:rPr>
                <w:rFonts w:ascii="Times New Roman" w:eastAsia="Arial" w:hAnsi="Times New Roman" w:cs="Times New Roman"/>
                <w:bCs/>
                <w:i/>
                <w:iCs/>
                <w:color w:val="000000"/>
                <w:sz w:val="14"/>
                <w:szCs w:val="14"/>
              </w:rPr>
              <w:t>ami∙es</w:t>
            </w:r>
            <w:proofErr w:type="spellEnd"/>
            <w:r>
              <w:rPr>
                <w:rFonts w:ascii="Times New Roman" w:eastAsia="Arial" w:hAnsi="Times New Roman" w:cs="Times New Roman"/>
                <w:bCs/>
                <w:i/>
                <w:iCs/>
                <w:color w:val="000000"/>
                <w:sz w:val="14"/>
                <w:szCs w:val="14"/>
              </w:rPr>
              <w:t xml:space="preserve"> (12 derniers mois)</w:t>
            </w:r>
          </w:p>
        </w:tc>
      </w:tr>
      <w:tr w:rsidR="00E2476B" w14:paraId="7907B89A"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14CDF6A9"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Peu ou pas de contact</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C7C80F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13,4</w:t>
            </w:r>
            <w:r>
              <w:rPr>
                <w:rFonts w:ascii="Times New Roman" w:eastAsia="Arial" w:hAnsi="Times New Roman" w:cs="Times New Roman"/>
                <w:color w:val="000000"/>
                <w:sz w:val="14"/>
                <w:szCs w:val="14"/>
              </w:rPr>
              <w:br/>
              <w:t>[7,2-23]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F6C803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19,5</w:t>
            </w:r>
            <w:r>
              <w:rPr>
                <w:rFonts w:ascii="Times New Roman" w:eastAsia="Arial" w:hAnsi="Times New Roman" w:cs="Times New Roman"/>
                <w:color w:val="000000"/>
                <w:sz w:val="14"/>
                <w:szCs w:val="14"/>
              </w:rPr>
              <w:br/>
              <w:t>[12-29]</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07E7FF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20,4</w:t>
            </w:r>
            <w:r>
              <w:rPr>
                <w:rFonts w:ascii="Times New Roman" w:eastAsia="Arial" w:hAnsi="Times New Roman" w:cs="Times New Roman"/>
                <w:color w:val="000000"/>
                <w:sz w:val="14"/>
                <w:szCs w:val="14"/>
              </w:rPr>
              <w:br/>
              <w:t>[20-21]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1FFFE7F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13,7</w:t>
            </w:r>
            <w:r>
              <w:rPr>
                <w:rFonts w:ascii="Times New Roman" w:eastAsia="Arial" w:hAnsi="Times New Roman" w:cs="Times New Roman"/>
                <w:color w:val="000000"/>
                <w:sz w:val="14"/>
                <w:szCs w:val="14"/>
              </w:rPr>
              <w:br/>
              <w:t>[8,5-21]</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3773DD2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24,0</w:t>
            </w:r>
            <w:r>
              <w:rPr>
                <w:rFonts w:ascii="Times New Roman" w:eastAsia="Arial" w:hAnsi="Times New Roman" w:cs="Times New Roman"/>
                <w:color w:val="000000"/>
                <w:sz w:val="14"/>
                <w:szCs w:val="14"/>
              </w:rPr>
              <w:br/>
              <w:t>[14-38]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2F71D5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21,9</w:t>
            </w:r>
            <w:r>
              <w:rPr>
                <w:rFonts w:ascii="Times New Roman" w:eastAsia="Arial" w:hAnsi="Times New Roman" w:cs="Times New Roman"/>
                <w:color w:val="000000"/>
                <w:sz w:val="14"/>
                <w:szCs w:val="14"/>
              </w:rPr>
              <w:br/>
              <w:t>[21-23]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D2E8BF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11,6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DBB92D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11,3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FFDFAD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12,3</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3D8D83D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20,3</w:t>
            </w:r>
          </w:p>
        </w:tc>
      </w:tr>
      <w:tr w:rsidR="00E2476B" w14:paraId="2EF32E0E"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3841E28F"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Contacts réguliers</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29D501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86,6</w:t>
            </w:r>
            <w:r>
              <w:rPr>
                <w:rFonts w:ascii="Times New Roman" w:eastAsia="Arial" w:hAnsi="Times New Roman" w:cs="Times New Roman"/>
                <w:color w:val="000000"/>
                <w:sz w:val="14"/>
                <w:szCs w:val="14"/>
              </w:rPr>
              <w:br/>
              <w:t>[77-93]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816F29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80,5</w:t>
            </w:r>
            <w:r>
              <w:rPr>
                <w:rFonts w:ascii="Times New Roman" w:eastAsia="Arial" w:hAnsi="Times New Roman" w:cs="Times New Roman"/>
                <w:color w:val="000000"/>
                <w:sz w:val="14"/>
                <w:szCs w:val="14"/>
              </w:rPr>
              <w:br/>
              <w:t>[71-88]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364D84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79,6</w:t>
            </w:r>
            <w:r>
              <w:rPr>
                <w:rFonts w:ascii="Times New Roman" w:eastAsia="Arial" w:hAnsi="Times New Roman" w:cs="Times New Roman"/>
                <w:color w:val="000000"/>
                <w:sz w:val="14"/>
                <w:szCs w:val="14"/>
              </w:rPr>
              <w:br/>
              <w:t>[79-80]</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ECA04C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86,3</w:t>
            </w:r>
            <w:r>
              <w:rPr>
                <w:rFonts w:ascii="Times New Roman" w:eastAsia="Arial" w:hAnsi="Times New Roman" w:cs="Times New Roman"/>
                <w:color w:val="000000"/>
                <w:sz w:val="14"/>
                <w:szCs w:val="14"/>
              </w:rPr>
              <w:br/>
              <w:t>[79-92]</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5725BF6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76,0</w:t>
            </w:r>
            <w:r>
              <w:rPr>
                <w:rFonts w:ascii="Times New Roman" w:eastAsia="Arial" w:hAnsi="Times New Roman" w:cs="Times New Roman"/>
                <w:color w:val="000000"/>
                <w:sz w:val="14"/>
                <w:szCs w:val="14"/>
              </w:rPr>
              <w:br/>
              <w:t>[62-86]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E2C90F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78,1</w:t>
            </w:r>
            <w:r>
              <w:rPr>
                <w:rFonts w:ascii="Times New Roman" w:eastAsia="Arial" w:hAnsi="Times New Roman" w:cs="Times New Roman"/>
                <w:color w:val="000000"/>
                <w:sz w:val="14"/>
                <w:szCs w:val="14"/>
              </w:rPr>
              <w:br/>
              <w:t>[77-79]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EC2E0B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88,4</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4533F67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88,7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5841F2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87,7</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68AC242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79,7</w:t>
            </w:r>
          </w:p>
        </w:tc>
      </w:tr>
      <w:tr w:rsidR="00E2476B" w14:paraId="412AC55A"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423A92AC"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C19A42E"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EBC4E6D"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0,14</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919A401"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0,9</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67B5B698"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p>
        </w:tc>
      </w:tr>
      <w:tr w:rsidR="00E2476B" w14:paraId="15BE6178" w14:textId="77777777" w:rsidTr="0018419C">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20E1E943"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Activités sportives ou de loisirs (12 derniers mois)</w:t>
            </w:r>
          </w:p>
        </w:tc>
      </w:tr>
      <w:tr w:rsidR="00E2476B" w14:paraId="3292A750"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43ADFFED"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Peu ou pas d'activité</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53FFDF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55,9</w:t>
            </w:r>
            <w:r>
              <w:rPr>
                <w:rFonts w:ascii="Times New Roman" w:eastAsia="Arial" w:hAnsi="Times New Roman" w:cs="Times New Roman"/>
                <w:color w:val="000000"/>
                <w:sz w:val="14"/>
                <w:szCs w:val="14"/>
              </w:rPr>
              <w:br/>
              <w:t>[43-68]</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2FDCE0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54,8</w:t>
            </w:r>
            <w:r>
              <w:rPr>
                <w:rFonts w:ascii="Times New Roman" w:eastAsia="Arial" w:hAnsi="Times New Roman" w:cs="Times New Roman"/>
                <w:color w:val="000000"/>
                <w:sz w:val="14"/>
                <w:szCs w:val="14"/>
              </w:rPr>
              <w:br/>
              <w:t>[44-65]</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5DD5EDA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58,4</w:t>
            </w:r>
            <w:r>
              <w:rPr>
                <w:rFonts w:ascii="Times New Roman" w:eastAsia="Arial" w:hAnsi="Times New Roman" w:cs="Times New Roman"/>
                <w:color w:val="000000"/>
                <w:sz w:val="14"/>
                <w:szCs w:val="14"/>
              </w:rPr>
              <w:br/>
              <w:t>[57-59]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30C382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54,5</w:t>
            </w:r>
            <w:r>
              <w:rPr>
                <w:rFonts w:ascii="Times New Roman" w:eastAsia="Arial" w:hAnsi="Times New Roman" w:cs="Times New Roman"/>
                <w:color w:val="000000"/>
                <w:sz w:val="14"/>
                <w:szCs w:val="14"/>
              </w:rPr>
              <w:br/>
              <w:t>[46-63]</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36D412E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66,4</w:t>
            </w:r>
            <w:r>
              <w:rPr>
                <w:rFonts w:ascii="Times New Roman" w:eastAsia="Arial" w:hAnsi="Times New Roman" w:cs="Times New Roman"/>
                <w:color w:val="000000"/>
                <w:sz w:val="14"/>
                <w:szCs w:val="14"/>
              </w:rPr>
              <w:br/>
              <w:t>[52-78]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0E5176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53,4</w:t>
            </w:r>
            <w:r>
              <w:rPr>
                <w:rFonts w:ascii="Times New Roman" w:eastAsia="Arial" w:hAnsi="Times New Roman" w:cs="Times New Roman"/>
                <w:color w:val="000000"/>
                <w:sz w:val="14"/>
                <w:szCs w:val="14"/>
              </w:rPr>
              <w:br/>
              <w:t>[52-55]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6FBED5A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36,2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7184E3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37,5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A7CE5C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41,2</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3486CDD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57,1</w:t>
            </w:r>
          </w:p>
        </w:tc>
      </w:tr>
      <w:tr w:rsidR="00E2476B" w14:paraId="1878E460"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3F29807A"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Activités régulières</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3632AF0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44,1</w:t>
            </w:r>
            <w:r>
              <w:rPr>
                <w:rFonts w:ascii="Times New Roman" w:eastAsia="Arial" w:hAnsi="Times New Roman" w:cs="Times New Roman"/>
                <w:color w:val="000000"/>
                <w:sz w:val="14"/>
                <w:szCs w:val="14"/>
              </w:rPr>
              <w:br/>
              <w:t>[32-57]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51723A5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45,2</w:t>
            </w:r>
            <w:r>
              <w:rPr>
                <w:rFonts w:ascii="Times New Roman" w:eastAsia="Arial" w:hAnsi="Times New Roman" w:cs="Times New Roman"/>
                <w:color w:val="000000"/>
                <w:sz w:val="14"/>
                <w:szCs w:val="14"/>
              </w:rPr>
              <w:br/>
              <w:t>[35-56]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634494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41,6</w:t>
            </w:r>
            <w:r>
              <w:rPr>
                <w:rFonts w:ascii="Times New Roman" w:eastAsia="Arial" w:hAnsi="Times New Roman" w:cs="Times New Roman"/>
                <w:color w:val="000000"/>
                <w:sz w:val="14"/>
                <w:szCs w:val="14"/>
              </w:rPr>
              <w:br/>
              <w:t>[41-43]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EEB514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45,5</w:t>
            </w:r>
            <w:r>
              <w:rPr>
                <w:rFonts w:ascii="Times New Roman" w:eastAsia="Arial" w:hAnsi="Times New Roman" w:cs="Times New Roman"/>
                <w:color w:val="000000"/>
                <w:sz w:val="14"/>
                <w:szCs w:val="14"/>
              </w:rPr>
              <w:br/>
              <w:t>[37-54]</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6499E4A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33,6</w:t>
            </w:r>
            <w:r>
              <w:rPr>
                <w:rFonts w:ascii="Times New Roman" w:eastAsia="Arial" w:hAnsi="Times New Roman" w:cs="Times New Roman"/>
                <w:color w:val="000000"/>
                <w:sz w:val="14"/>
                <w:szCs w:val="14"/>
              </w:rPr>
              <w:br/>
              <w:t>[22-48]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EE524D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46,6</w:t>
            </w:r>
            <w:r>
              <w:rPr>
                <w:rFonts w:ascii="Times New Roman" w:eastAsia="Arial" w:hAnsi="Times New Roman" w:cs="Times New Roman"/>
                <w:color w:val="000000"/>
                <w:sz w:val="14"/>
                <w:szCs w:val="14"/>
              </w:rPr>
              <w:br/>
              <w:t>[45-48]</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37C448D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63,8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02A509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62,5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2639D4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58,8</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7296A65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42,9</w:t>
            </w:r>
          </w:p>
        </w:tc>
      </w:tr>
      <w:tr w:rsidR="00E2476B" w14:paraId="2C85E78A"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70DDFF54"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F992C29"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0,7</w:t>
            </w:r>
          </w:p>
        </w:tc>
        <w:tc>
          <w:tcPr>
            <w:tcW w:w="243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23FD114"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0,14</w:t>
            </w:r>
          </w:p>
        </w:tc>
        <w:tc>
          <w:tcPr>
            <w:tcW w:w="162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54497DF"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0,6</w:t>
            </w:r>
          </w:p>
        </w:tc>
        <w:tc>
          <w:tcPr>
            <w:tcW w:w="1624"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13833B48"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p>
        </w:tc>
      </w:tr>
      <w:tr w:rsidR="00E2476B" w14:paraId="16D8D182" w14:textId="77777777" w:rsidTr="0018419C">
        <w:trPr>
          <w:trHeight w:val="283"/>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28105D52"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Activités associatives, politiques ou syndicales (12 derniers mois)</w:t>
            </w:r>
          </w:p>
        </w:tc>
      </w:tr>
      <w:tr w:rsidR="00E2476B" w14:paraId="338296C3"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16EA1CFB"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Peu ou pas d'activité</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E6677D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84,8</w:t>
            </w:r>
            <w:r>
              <w:rPr>
                <w:rFonts w:ascii="Times New Roman" w:eastAsia="Arial" w:hAnsi="Times New Roman" w:cs="Times New Roman"/>
                <w:color w:val="000000"/>
                <w:sz w:val="14"/>
                <w:szCs w:val="14"/>
              </w:rPr>
              <w:br/>
              <w:t>[74-91]</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C11395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78,7</w:t>
            </w:r>
            <w:r>
              <w:rPr>
                <w:rFonts w:ascii="Times New Roman" w:eastAsia="Arial" w:hAnsi="Times New Roman" w:cs="Times New Roman"/>
                <w:color w:val="000000"/>
                <w:sz w:val="14"/>
                <w:szCs w:val="14"/>
              </w:rPr>
              <w:br/>
              <w:t>[68-86]</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BD1B99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83,9</w:t>
            </w:r>
            <w:r>
              <w:rPr>
                <w:rFonts w:ascii="Times New Roman" w:eastAsia="Arial" w:hAnsi="Times New Roman" w:cs="Times New Roman"/>
                <w:color w:val="000000"/>
                <w:sz w:val="14"/>
                <w:szCs w:val="14"/>
              </w:rPr>
              <w:br/>
              <w:t>[83-85]</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7C8A5E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78,9</w:t>
            </w:r>
            <w:r>
              <w:rPr>
                <w:rFonts w:ascii="Times New Roman" w:eastAsia="Arial" w:hAnsi="Times New Roman" w:cs="Times New Roman"/>
                <w:color w:val="000000"/>
                <w:sz w:val="14"/>
                <w:szCs w:val="14"/>
              </w:rPr>
              <w:br/>
              <w:t>[70-85]</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57923C0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78,9</w:t>
            </w:r>
            <w:r>
              <w:rPr>
                <w:rFonts w:ascii="Times New Roman" w:eastAsia="Arial" w:hAnsi="Times New Roman" w:cs="Times New Roman"/>
                <w:color w:val="000000"/>
                <w:sz w:val="14"/>
                <w:szCs w:val="14"/>
              </w:rPr>
              <w:br/>
              <w:t>[67-87]</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2016BF7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81,7</w:t>
            </w:r>
            <w:r>
              <w:rPr>
                <w:rFonts w:ascii="Times New Roman" w:eastAsia="Arial" w:hAnsi="Times New Roman" w:cs="Times New Roman"/>
                <w:color w:val="000000"/>
                <w:sz w:val="14"/>
                <w:szCs w:val="14"/>
              </w:rPr>
              <w:br/>
              <w:t>[81-83]</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23BB7AD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68,2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A65533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66,4</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C354FA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65,4</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343D6CC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63,4</w:t>
            </w:r>
          </w:p>
        </w:tc>
      </w:tr>
      <w:tr w:rsidR="00E2476B" w14:paraId="6E4ADBCF" w14:textId="77777777" w:rsidTr="0018419C">
        <w:trPr>
          <w:trHeight w:val="283"/>
          <w:jc w:val="center"/>
        </w:trPr>
        <w:tc>
          <w:tcPr>
            <w:tcW w:w="1283" w:type="dxa"/>
            <w:tcBorders>
              <w:left w:val="single" w:sz="12" w:space="0" w:color="000000"/>
              <w:right w:val="single" w:sz="4" w:space="0" w:color="000000"/>
            </w:tcBorders>
            <w:shd w:val="clear" w:color="auto" w:fill="FFFFFF"/>
            <w:tcMar>
              <w:top w:w="0" w:type="dxa"/>
              <w:left w:w="0" w:type="dxa"/>
              <w:bottom w:w="0" w:type="dxa"/>
              <w:right w:w="0" w:type="dxa"/>
            </w:tcMar>
          </w:tcPr>
          <w:p w14:paraId="33DE7E79"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Activités régulières</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79A6B44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15,2</w:t>
            </w:r>
            <w:r>
              <w:rPr>
                <w:rFonts w:ascii="Times New Roman" w:eastAsia="Arial" w:hAnsi="Times New Roman" w:cs="Times New Roman"/>
                <w:color w:val="000000"/>
                <w:sz w:val="14"/>
                <w:szCs w:val="14"/>
              </w:rPr>
              <w:br/>
              <w:t>[8,5-26]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0B60181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21,3</w:t>
            </w:r>
            <w:r>
              <w:rPr>
                <w:rFonts w:ascii="Times New Roman" w:eastAsia="Arial" w:hAnsi="Times New Roman" w:cs="Times New Roman"/>
                <w:color w:val="000000"/>
                <w:sz w:val="14"/>
                <w:szCs w:val="14"/>
              </w:rPr>
              <w:br/>
              <w:t>[14-32]</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0087DDE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16,1</w:t>
            </w:r>
            <w:r>
              <w:rPr>
                <w:rFonts w:ascii="Times New Roman" w:eastAsia="Arial" w:hAnsi="Times New Roman" w:cs="Times New Roman"/>
                <w:color w:val="000000"/>
                <w:sz w:val="14"/>
                <w:szCs w:val="14"/>
              </w:rPr>
              <w:br/>
              <w:t>[15-17]</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757BFD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21,1</w:t>
            </w:r>
            <w:r>
              <w:rPr>
                <w:rFonts w:ascii="Times New Roman" w:eastAsia="Arial" w:hAnsi="Times New Roman" w:cs="Times New Roman"/>
                <w:color w:val="000000"/>
                <w:sz w:val="14"/>
                <w:szCs w:val="14"/>
              </w:rPr>
              <w:br/>
              <w:t>[15-30]</w:t>
            </w:r>
          </w:p>
        </w:tc>
        <w:tc>
          <w:tcPr>
            <w:tcW w:w="812" w:type="dxa"/>
            <w:tcBorders>
              <w:left w:val="single" w:sz="4" w:space="0" w:color="000000"/>
              <w:right w:val="single" w:sz="4" w:space="0" w:color="000000"/>
            </w:tcBorders>
            <w:shd w:val="clear" w:color="auto" w:fill="FFFFFF"/>
            <w:tcMar>
              <w:top w:w="0" w:type="dxa"/>
              <w:left w:w="0" w:type="dxa"/>
              <w:bottom w:w="0" w:type="dxa"/>
              <w:right w:w="0" w:type="dxa"/>
            </w:tcMar>
          </w:tcPr>
          <w:p w14:paraId="7C66FF9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21,1</w:t>
            </w:r>
            <w:r>
              <w:rPr>
                <w:rFonts w:ascii="Times New Roman" w:eastAsia="Arial" w:hAnsi="Times New Roman" w:cs="Times New Roman"/>
                <w:color w:val="000000"/>
                <w:sz w:val="14"/>
                <w:szCs w:val="14"/>
              </w:rPr>
              <w:br/>
              <w:t>[13-33]</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1668CFB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18,3</w:t>
            </w:r>
            <w:r>
              <w:rPr>
                <w:rFonts w:ascii="Times New Roman" w:eastAsia="Arial" w:hAnsi="Times New Roman" w:cs="Times New Roman"/>
                <w:color w:val="000000"/>
                <w:sz w:val="14"/>
                <w:szCs w:val="14"/>
              </w:rPr>
              <w:br/>
              <w:t>[17-19]</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4DF5D42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31,8</w:t>
            </w:r>
          </w:p>
        </w:tc>
        <w:tc>
          <w:tcPr>
            <w:tcW w:w="813" w:type="dxa"/>
            <w:tcBorders>
              <w:left w:val="single" w:sz="4" w:space="0" w:color="000000"/>
              <w:right w:val="single" w:sz="4" w:space="0" w:color="000000"/>
            </w:tcBorders>
            <w:shd w:val="clear" w:color="auto" w:fill="FFFFFF"/>
            <w:tcMar>
              <w:top w:w="0" w:type="dxa"/>
              <w:left w:w="0" w:type="dxa"/>
              <w:bottom w:w="0" w:type="dxa"/>
              <w:right w:w="0" w:type="dxa"/>
            </w:tcMar>
          </w:tcPr>
          <w:p w14:paraId="6AD7F3B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33,6</w:t>
            </w:r>
          </w:p>
        </w:tc>
        <w:tc>
          <w:tcPr>
            <w:tcW w:w="811" w:type="dxa"/>
            <w:tcBorders>
              <w:left w:val="single" w:sz="4" w:space="0" w:color="000000"/>
              <w:right w:val="single" w:sz="4" w:space="0" w:color="000000"/>
            </w:tcBorders>
            <w:shd w:val="clear" w:color="auto" w:fill="FFFFFF"/>
            <w:tcMar>
              <w:top w:w="0" w:type="dxa"/>
              <w:left w:w="0" w:type="dxa"/>
              <w:bottom w:w="0" w:type="dxa"/>
              <w:right w:w="0" w:type="dxa"/>
            </w:tcMar>
          </w:tcPr>
          <w:p w14:paraId="79ADABB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34,6</w:t>
            </w:r>
          </w:p>
        </w:tc>
        <w:tc>
          <w:tcPr>
            <w:tcW w:w="813" w:type="dxa"/>
            <w:tcBorders>
              <w:left w:val="single" w:sz="4" w:space="0" w:color="000000"/>
              <w:right w:val="single" w:sz="12" w:space="0" w:color="000000"/>
            </w:tcBorders>
            <w:shd w:val="clear" w:color="auto" w:fill="FFFFFF"/>
            <w:tcMar>
              <w:top w:w="0" w:type="dxa"/>
              <w:left w:w="0" w:type="dxa"/>
              <w:bottom w:w="0" w:type="dxa"/>
              <w:right w:w="0" w:type="dxa"/>
            </w:tcMar>
          </w:tcPr>
          <w:p w14:paraId="16A2600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36,6</w:t>
            </w:r>
          </w:p>
        </w:tc>
      </w:tr>
      <w:tr w:rsidR="00E2476B" w14:paraId="5C68B3FD" w14:textId="77777777" w:rsidTr="0018419C">
        <w:trPr>
          <w:jc w:val="center"/>
        </w:trPr>
        <w:tc>
          <w:tcPr>
            <w:tcW w:w="1283"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48DF8A49" w14:textId="77777777" w:rsidR="00E2476B" w:rsidRDefault="00E2476B" w:rsidP="0018419C">
            <w:pPr>
              <w:pStyle w:val="Standard"/>
              <w:spacing w:before="100" w:after="100"/>
              <w:ind w:left="300" w:right="100"/>
            </w:pPr>
            <w:r>
              <w:rPr>
                <w:rFonts w:ascii="Times New Roman" w:eastAsia="Arial" w:hAnsi="Times New Roman" w:cs="Times New Roman"/>
                <w:bCs/>
                <w:i/>
                <w:iCs/>
                <w:color w:val="000000"/>
                <w:sz w:val="14"/>
                <w:szCs w:val="14"/>
              </w:rPr>
              <w:t>P-valeur</w:t>
            </w:r>
          </w:p>
        </w:tc>
        <w:tc>
          <w:tcPr>
            <w:tcW w:w="2437"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42C8F68D"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2436"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32A74582"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0,6</w:t>
            </w:r>
          </w:p>
        </w:tc>
        <w:tc>
          <w:tcPr>
            <w:tcW w:w="1624" w:type="dxa"/>
            <w:gridSpan w:val="2"/>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56224E3D"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0,4</w:t>
            </w:r>
          </w:p>
        </w:tc>
        <w:tc>
          <w:tcPr>
            <w:tcW w:w="1624" w:type="dxa"/>
            <w:gridSpan w:val="2"/>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7D2054F8"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0,5</w:t>
            </w:r>
          </w:p>
        </w:tc>
      </w:tr>
      <w:tr w:rsidR="00E2476B" w14:paraId="38A13F26" w14:textId="77777777" w:rsidTr="0018419C">
        <w:trPr>
          <w:jc w:val="center"/>
        </w:trPr>
        <w:tc>
          <w:tcPr>
            <w:tcW w:w="9404" w:type="dxa"/>
            <w:gridSpan w:val="11"/>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37CDE187"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7051D21B"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0DF63C64"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3A776F11"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[Intervalle de confiance à 95 %].</w:t>
            </w:r>
          </w:p>
          <w:p w14:paraId="12ECB57F"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répondant∙es de l'enquête Virage ; Répondant∙es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Pour Virage PG : pourcentages pondérés. Pour Virage LGBT : pourcentages et effectifs non pondérés.</w:t>
            </w:r>
          </w:p>
          <w:p w14:paraId="1DFB8635"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19,3% des femmes homosexuelles dans l'enquête Virage en population générale se confient à un membre de la famille lors d'un problème personnel, avec un intervalle de confiance à 95% de [12% - 29%].</w:t>
            </w:r>
          </w:p>
          <w:p w14:paraId="55585427"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1D006CA0" w14:textId="77777777" w:rsidR="00E2476B" w:rsidRDefault="00E2476B" w:rsidP="00E2476B">
      <w:pPr>
        <w:pStyle w:val="Textbody"/>
      </w:pPr>
      <w:r>
        <w:lastRenderedPageBreak/>
        <w:t xml:space="preserve">Les bisexuelles et lesbiennes se confient moins souvent à un membre de la famille et plus souvent à </w:t>
      </w:r>
      <w:proofErr w:type="spellStart"/>
      <w:r>
        <w:t>un∙e</w:t>
      </w:r>
      <w:proofErr w:type="spellEnd"/>
      <w:r>
        <w:t xml:space="preserve"> </w:t>
      </w:r>
      <w:proofErr w:type="spellStart"/>
      <w:r>
        <w:t>ami∙e</w:t>
      </w:r>
      <w:proofErr w:type="spellEnd"/>
      <w:r>
        <w:t xml:space="preserve"> que les hétérosexuelles lors d’un problème personnel. Le résultat est significatif pour les lesbiennes, il l'est un peu moins pour les bisexuelles (IC se chevauchent très légèrement). Dans Virage LGBT les comportements de confidence des bisexuelles et lesbiennes sont très proches. Chez les hommes, les bis se confient moins à leur famille que les gays et hétérosexuels. Ils se confient toutefois plus souvent que les hétérosexuels à leurs </w:t>
      </w:r>
      <w:proofErr w:type="spellStart"/>
      <w:r>
        <w:t>ami∙es</w:t>
      </w:r>
      <w:proofErr w:type="spellEnd"/>
      <w:r>
        <w:t xml:space="preserve">, c’est aussi le cas des gays. Dans Virage LGBT ils se confient moins souvent que les hommes gays à leur famille et à leurs </w:t>
      </w:r>
      <w:proofErr w:type="spellStart"/>
      <w:r>
        <w:t>ami·es</w:t>
      </w:r>
      <w:proofErr w:type="spellEnd"/>
      <w:r>
        <w:t>.</w:t>
      </w:r>
    </w:p>
    <w:p w14:paraId="3453E51B" w14:textId="77777777" w:rsidR="00E2476B" w:rsidRDefault="00E2476B" w:rsidP="00E2476B">
      <w:pPr>
        <w:pStyle w:val="Textbody"/>
      </w:pPr>
      <w:r>
        <w:t>Les résultats sur les contacts avec la famille, les amis et les activités extérieures (sportives ou associatives) ne sont jamais significatifs. Sauf pour les hommes dans Virage LGBT. On observe des contacts moins fréquents que les gays, que ce soit avec la famille ou les amis dans les 12 derniers mois et des activités sportives ou de loisirs également moins fréquents.</w:t>
      </w:r>
    </w:p>
    <w:p w14:paraId="11891261" w14:textId="77777777" w:rsidR="00E2476B" w:rsidRDefault="00E2476B" w:rsidP="00E2476B">
      <w:pPr>
        <w:pStyle w:val="Textbody"/>
      </w:pPr>
      <w:r>
        <w:t xml:space="preserve">Ces tendances nous donnent des indications sur les modes de sociabilité : les </w:t>
      </w:r>
      <w:proofErr w:type="spellStart"/>
      <w:r>
        <w:t>homo-bisexuel∙les</w:t>
      </w:r>
      <w:proofErr w:type="spellEnd"/>
      <w:r>
        <w:t xml:space="preserve"> se tournent moins vers la famille et plus vers les amis pour se confier lors de problèmes personnels que les hétérosexuels. Cette observation est cohérente avec la place que prennent les amitiés, parfois comme substitution aux liens familiaux et sources alternatives de soutien, pour les personnes homosexuelles (Chauvin et Lerch 2013).</w:t>
      </w:r>
    </w:p>
    <w:p w14:paraId="5292D759" w14:textId="77777777" w:rsidR="00E2476B" w:rsidRDefault="00E2476B" w:rsidP="00E2476B">
      <w:pPr>
        <w:pStyle w:val="Textbody"/>
      </w:pPr>
      <w:r>
        <w:t>La sociabilité extérieure au couple est difficile à saisir et ne nous permet pas d'affirmer de résultat net sur le degré d'ouverture / clôture des personnes bisexuelles comparativement aux autres groupes sociaux</w:t>
      </w:r>
      <w:r>
        <w:rPr>
          <w:rStyle w:val="Appelnotedebasdep"/>
        </w:rPr>
        <w:footnoteReference w:id="15"/>
      </w:r>
      <w:r>
        <w:t>.</w:t>
      </w:r>
    </w:p>
    <w:p w14:paraId="665C4F71" w14:textId="77777777" w:rsidR="00E2476B" w:rsidRDefault="00E2476B" w:rsidP="00E2476B">
      <w:pPr>
        <w:pStyle w:val="Titre3"/>
      </w:pPr>
      <w:bookmarkStart w:id="68" w:name="__RefHeading___Toc52646_3216639541"/>
      <w:r>
        <w:t>La sexuation des rôles domestiques</w:t>
      </w:r>
      <w:bookmarkEnd w:id="68"/>
    </w:p>
    <w:p w14:paraId="7E608148" w14:textId="77777777" w:rsidR="00E2476B" w:rsidRDefault="00E2476B" w:rsidP="00E2476B">
      <w:pPr>
        <w:pStyle w:val="Textbody"/>
      </w:pPr>
      <w:r>
        <w:t xml:space="preserve">Nous cherchons désormais à approcher la troisième dimension des styles de conjugalités : la sexuation des rôles domestiques. Les dimensions des styles de conjugalité sont indépendantes, l’approche autonome du couple n’est pas forcément synonyme de plus d’égalité (Widmer, Kellerhals et Lévy 2004). Nous mobilisons deux questions : une question sur la répartition des </w:t>
      </w:r>
      <w:r>
        <w:lastRenderedPageBreak/>
        <w:t>tâches ménagères et une autre sur la répartition des tâches concernant les enfants du foyer. Ces questions sont posées aux personnes en couple cohabitant et en couple cohabitant avec enfant au domicile (enfant du couple, d'ego ou du conjoint). Les effectifs de la deuxième question sont réduits à une dizaine de personnes pour les homo-bi, nous nous en tenons à une lecture purement descriptive. Nous ne mobiliserons pas les pourcentages ici, même quand les p-valeur sont significatives.</w:t>
      </w:r>
    </w:p>
    <w:p w14:paraId="574CA230" w14:textId="77777777" w:rsidR="00E2476B" w:rsidRDefault="00E2476B" w:rsidP="00E2476B">
      <w:r>
        <w:t>Table 7a : Sexuation des rôles domestiques chez les personnes en couple cohabitant.</w:t>
      </w:r>
    </w:p>
    <w:tbl>
      <w:tblPr>
        <w:tblW w:w="5000" w:type="pct"/>
        <w:jc w:val="center"/>
        <w:tblLayout w:type="fixed"/>
        <w:tblCellMar>
          <w:left w:w="10" w:type="dxa"/>
          <w:right w:w="10" w:type="dxa"/>
        </w:tblCellMar>
        <w:tblLook w:val="0000" w:firstRow="0" w:lastRow="0" w:firstColumn="0" w:lastColumn="0" w:noHBand="0" w:noVBand="0"/>
      </w:tblPr>
      <w:tblGrid>
        <w:gridCol w:w="1693"/>
        <w:gridCol w:w="765"/>
        <w:gridCol w:w="767"/>
        <w:gridCol w:w="767"/>
        <w:gridCol w:w="769"/>
        <w:gridCol w:w="772"/>
        <w:gridCol w:w="772"/>
        <w:gridCol w:w="769"/>
        <w:gridCol w:w="768"/>
        <w:gridCol w:w="767"/>
        <w:gridCol w:w="765"/>
      </w:tblGrid>
      <w:tr w:rsidR="00E2476B" w14:paraId="214ADB63" w14:textId="77777777" w:rsidTr="0018419C">
        <w:trPr>
          <w:tblHeader/>
          <w:jc w:val="center"/>
        </w:trPr>
        <w:tc>
          <w:tcPr>
            <w:tcW w:w="1699"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31F6EF2B"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2307"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9421564"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319"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73B9630"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541"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3FD88C1"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LGBT — Femmes</w:t>
            </w:r>
          </w:p>
        </w:tc>
        <w:tc>
          <w:tcPr>
            <w:tcW w:w="1536" w:type="dxa"/>
            <w:gridSpan w:val="2"/>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20741B5F"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LGBT — Hommes</w:t>
            </w:r>
          </w:p>
        </w:tc>
      </w:tr>
      <w:tr w:rsidR="00E2476B" w14:paraId="48F576D8" w14:textId="77777777" w:rsidTr="0018419C">
        <w:trPr>
          <w:tblHeader/>
          <w:jc w:val="center"/>
        </w:trPr>
        <w:tc>
          <w:tcPr>
            <w:tcW w:w="1699"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4FCF3091"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768"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A870F14"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(44)</w:t>
            </w:r>
            <w:r>
              <w:rPr>
                <w:rFonts w:ascii="Times New Roman" w:eastAsia="Arial" w:hAnsi="Times New Roman" w:cs="Times New Roman"/>
                <w:color w:val="000000"/>
                <w:sz w:val="14"/>
                <w:szCs w:val="14"/>
                <w:vertAlign w:val="superscript"/>
              </w:rPr>
              <w:t>1</w:t>
            </w:r>
          </w:p>
        </w:tc>
        <w:tc>
          <w:tcPr>
            <w:tcW w:w="77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A5A5B6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(51)</w:t>
            </w:r>
            <w:r>
              <w:rPr>
                <w:rFonts w:ascii="Times New Roman" w:eastAsia="Arial" w:hAnsi="Times New Roman" w:cs="Times New Roman"/>
                <w:color w:val="000000"/>
                <w:sz w:val="14"/>
                <w:szCs w:val="14"/>
                <w:vertAlign w:val="superscript"/>
              </w:rPr>
              <w:t>1</w:t>
            </w:r>
          </w:p>
        </w:tc>
        <w:tc>
          <w:tcPr>
            <w:tcW w:w="76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770DF19"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(9 061)</w:t>
            </w:r>
            <w:r>
              <w:rPr>
                <w:rFonts w:ascii="Times New Roman" w:eastAsia="Arial" w:hAnsi="Times New Roman" w:cs="Times New Roman"/>
                <w:color w:val="000000"/>
                <w:sz w:val="14"/>
                <w:szCs w:val="14"/>
                <w:vertAlign w:val="superscript"/>
              </w:rPr>
              <w:t>1</w:t>
            </w:r>
          </w:p>
        </w:tc>
        <w:tc>
          <w:tcPr>
            <w:tcW w:w="77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02B9EC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(60)</w:t>
            </w:r>
            <w:r>
              <w:rPr>
                <w:rFonts w:ascii="Times New Roman" w:eastAsia="Arial" w:hAnsi="Times New Roman" w:cs="Times New Roman"/>
                <w:color w:val="000000"/>
                <w:sz w:val="14"/>
                <w:szCs w:val="14"/>
                <w:vertAlign w:val="superscript"/>
              </w:rPr>
              <w:t>1</w:t>
            </w:r>
          </w:p>
        </w:tc>
        <w:tc>
          <w:tcPr>
            <w:tcW w:w="77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476B97E"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(16)</w:t>
            </w:r>
            <w:r>
              <w:rPr>
                <w:rFonts w:ascii="Times New Roman" w:eastAsia="Arial" w:hAnsi="Times New Roman" w:cs="Times New Roman"/>
                <w:color w:val="000000"/>
                <w:sz w:val="14"/>
                <w:szCs w:val="14"/>
                <w:vertAlign w:val="superscript"/>
              </w:rPr>
              <w:t>1</w:t>
            </w:r>
          </w:p>
        </w:tc>
        <w:tc>
          <w:tcPr>
            <w:tcW w:w="77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9B6ED04"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(7 098)</w:t>
            </w:r>
            <w:r>
              <w:rPr>
                <w:rFonts w:ascii="Times New Roman" w:eastAsia="Arial" w:hAnsi="Times New Roman" w:cs="Times New Roman"/>
                <w:color w:val="000000"/>
                <w:sz w:val="14"/>
                <w:szCs w:val="14"/>
                <w:vertAlign w:val="superscript"/>
              </w:rPr>
              <w:t>1</w:t>
            </w:r>
          </w:p>
        </w:tc>
        <w:tc>
          <w:tcPr>
            <w:tcW w:w="77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9AF8EEB"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(1 182)</w:t>
            </w:r>
            <w:r>
              <w:rPr>
                <w:rFonts w:ascii="Times New Roman" w:eastAsia="Arial" w:hAnsi="Times New Roman" w:cs="Times New Roman"/>
                <w:color w:val="000000"/>
                <w:sz w:val="14"/>
                <w:szCs w:val="14"/>
                <w:vertAlign w:val="superscript"/>
              </w:rPr>
              <w:t>1</w:t>
            </w:r>
          </w:p>
        </w:tc>
        <w:tc>
          <w:tcPr>
            <w:tcW w:w="77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F0A866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(275)</w:t>
            </w:r>
            <w:r>
              <w:rPr>
                <w:rFonts w:ascii="Times New Roman" w:eastAsia="Arial" w:hAnsi="Times New Roman" w:cs="Times New Roman"/>
                <w:color w:val="000000"/>
                <w:sz w:val="14"/>
                <w:szCs w:val="14"/>
                <w:vertAlign w:val="superscript"/>
              </w:rPr>
              <w:t>1</w:t>
            </w:r>
          </w:p>
        </w:tc>
        <w:tc>
          <w:tcPr>
            <w:tcW w:w="76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1D28CEF"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(1 269)</w:t>
            </w:r>
            <w:r>
              <w:rPr>
                <w:rFonts w:ascii="Times New Roman" w:eastAsia="Arial" w:hAnsi="Times New Roman" w:cs="Times New Roman"/>
                <w:color w:val="000000"/>
                <w:sz w:val="14"/>
                <w:szCs w:val="14"/>
                <w:vertAlign w:val="superscript"/>
              </w:rPr>
              <w:t>1</w:t>
            </w:r>
          </w:p>
        </w:tc>
        <w:tc>
          <w:tcPr>
            <w:tcW w:w="767"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5758829"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(111)</w:t>
            </w:r>
            <w:r>
              <w:rPr>
                <w:rFonts w:ascii="Times New Roman" w:eastAsia="Arial" w:hAnsi="Times New Roman" w:cs="Times New Roman"/>
                <w:color w:val="000000"/>
                <w:sz w:val="14"/>
                <w:szCs w:val="14"/>
                <w:vertAlign w:val="superscript"/>
              </w:rPr>
              <w:t>1</w:t>
            </w:r>
          </w:p>
        </w:tc>
      </w:tr>
      <w:tr w:rsidR="00E2476B" w14:paraId="3AC1F0FA" w14:textId="77777777" w:rsidTr="0018419C">
        <w:trPr>
          <w:jc w:val="center"/>
        </w:trPr>
        <w:tc>
          <w:tcPr>
            <w:tcW w:w="9402" w:type="dxa"/>
            <w:gridSpan w:val="11"/>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0BDD102B"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Répartition tâches ménagères</w:t>
            </w:r>
          </w:p>
        </w:tc>
      </w:tr>
      <w:tr w:rsidR="00E2476B" w14:paraId="3FAC5DC8"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3D4678DE"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Vous avez pris en charge l'essentiel des tâches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5397B28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16,8%</w:t>
            </w:r>
            <w:r>
              <w:rPr>
                <w:rFonts w:ascii="Times New Roman" w:eastAsia="Arial" w:hAnsi="Times New Roman" w:cs="Times New Roman"/>
                <w:color w:val="000000"/>
                <w:sz w:val="14"/>
                <w:szCs w:val="14"/>
              </w:rPr>
              <w:br/>
              <w:t>(6)</w:t>
            </w:r>
            <w:r>
              <w:rPr>
                <w:rFonts w:ascii="Times New Roman" w:eastAsia="Arial" w:hAnsi="Times New Roman" w:cs="Times New Roman"/>
                <w:color w:val="000000"/>
                <w:sz w:val="14"/>
                <w:szCs w:val="14"/>
              </w:rPr>
              <w:br/>
              <w:t>[7,4-34]</w:t>
            </w:r>
            <w:r>
              <w:rPr>
                <w:rFonts w:ascii="Times New Roman" w:eastAsia="Arial" w:hAnsi="Times New Roman" w:cs="Times New Roman"/>
                <w:color w:val="000000"/>
                <w:sz w:val="14"/>
                <w:szCs w:val="14"/>
                <w:vertAlign w:val="superscript"/>
              </w:rPr>
              <w:t>4</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7DA851E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38,5%</w:t>
            </w:r>
            <w:r>
              <w:rPr>
                <w:rFonts w:ascii="Times New Roman" w:eastAsia="Arial" w:hAnsi="Times New Roman" w:cs="Times New Roman"/>
                <w:color w:val="000000"/>
                <w:sz w:val="14"/>
                <w:szCs w:val="14"/>
              </w:rPr>
              <w:br/>
              <w:t>(19)</w:t>
            </w:r>
            <w:r>
              <w:rPr>
                <w:rFonts w:ascii="Times New Roman" w:eastAsia="Arial" w:hAnsi="Times New Roman" w:cs="Times New Roman"/>
                <w:color w:val="000000"/>
                <w:sz w:val="14"/>
                <w:szCs w:val="14"/>
              </w:rPr>
              <w:br/>
              <w:t>[23-56]</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3D5C31D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35,2%</w:t>
            </w:r>
            <w:r>
              <w:rPr>
                <w:rFonts w:ascii="Times New Roman" w:eastAsia="Arial" w:hAnsi="Times New Roman" w:cs="Times New Roman"/>
                <w:color w:val="000000"/>
                <w:sz w:val="14"/>
                <w:szCs w:val="14"/>
              </w:rPr>
              <w:br/>
              <w:t>(3 207)</w:t>
            </w:r>
            <w:r>
              <w:rPr>
                <w:rFonts w:ascii="Times New Roman" w:eastAsia="Arial" w:hAnsi="Times New Roman" w:cs="Times New Roman"/>
                <w:color w:val="000000"/>
                <w:sz w:val="14"/>
                <w:szCs w:val="14"/>
              </w:rPr>
              <w:br/>
              <w:t>[34-36]</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14EFD94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12,6%</w:t>
            </w:r>
            <w:r>
              <w:rPr>
                <w:rFonts w:ascii="Times New Roman" w:eastAsia="Arial" w:hAnsi="Times New Roman" w:cs="Times New Roman"/>
                <w:color w:val="000000"/>
                <w:sz w:val="14"/>
                <w:szCs w:val="14"/>
              </w:rPr>
              <w:br/>
              <w:t>(6)</w:t>
            </w:r>
            <w:r>
              <w:rPr>
                <w:rFonts w:ascii="Times New Roman" w:eastAsia="Arial" w:hAnsi="Times New Roman" w:cs="Times New Roman"/>
                <w:color w:val="000000"/>
                <w:sz w:val="14"/>
                <w:szCs w:val="14"/>
              </w:rPr>
              <w:br/>
              <w:t>[5,0-28]</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506FFF3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14,6%</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[3,4-45]</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739DD8A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(393)</w:t>
            </w:r>
            <w:r>
              <w:rPr>
                <w:rFonts w:ascii="Times New Roman" w:eastAsia="Arial" w:hAnsi="Times New Roman" w:cs="Times New Roman"/>
                <w:color w:val="000000"/>
                <w:sz w:val="14"/>
                <w:szCs w:val="14"/>
              </w:rPr>
              <w:br/>
              <w:t>[4,9-6,3]</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098EA24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12,0%</w:t>
            </w:r>
            <w:r>
              <w:rPr>
                <w:rFonts w:ascii="Times New Roman" w:eastAsia="Arial" w:hAnsi="Times New Roman" w:cs="Times New Roman"/>
                <w:color w:val="000000"/>
                <w:sz w:val="14"/>
                <w:szCs w:val="14"/>
              </w:rPr>
              <w:br/>
              <w:t>(142)</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3FF3EBB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17,1%</w:t>
            </w:r>
            <w:r>
              <w:rPr>
                <w:rFonts w:ascii="Times New Roman" w:eastAsia="Arial" w:hAnsi="Times New Roman" w:cs="Times New Roman"/>
                <w:color w:val="000000"/>
                <w:sz w:val="14"/>
                <w:szCs w:val="14"/>
              </w:rPr>
              <w:br/>
              <w:t>(47)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0BA76DC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14,7%</w:t>
            </w:r>
            <w:r>
              <w:rPr>
                <w:rFonts w:ascii="Times New Roman" w:eastAsia="Arial" w:hAnsi="Times New Roman" w:cs="Times New Roman"/>
                <w:color w:val="000000"/>
                <w:sz w:val="14"/>
                <w:szCs w:val="14"/>
              </w:rPr>
              <w:br/>
              <w:t>(187)</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312A528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10,8%</w:t>
            </w:r>
            <w:r>
              <w:rPr>
                <w:rFonts w:ascii="Times New Roman" w:eastAsia="Arial" w:hAnsi="Times New Roman" w:cs="Times New Roman"/>
                <w:color w:val="000000"/>
                <w:sz w:val="14"/>
                <w:szCs w:val="14"/>
              </w:rPr>
              <w:br/>
              <w:t>(12)</w:t>
            </w:r>
          </w:p>
        </w:tc>
      </w:tr>
      <w:tr w:rsidR="00E2476B" w14:paraId="241C7651"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5296949A"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 xml:space="preserve">Les tâches ont été partagées avec votre </w:t>
            </w:r>
            <w:proofErr w:type="spellStart"/>
            <w:r>
              <w:rPr>
                <w:rFonts w:ascii="Times New Roman" w:eastAsia="Arial" w:hAnsi="Times New Roman" w:cs="Times New Roman"/>
                <w:color w:val="000000"/>
                <w:sz w:val="14"/>
                <w:szCs w:val="14"/>
              </w:rPr>
              <w:t>conjoint∙e</w:t>
            </w:r>
            <w:proofErr w:type="spellEnd"/>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75CFB4B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75,7%</w:t>
            </w:r>
            <w:r>
              <w:rPr>
                <w:rFonts w:ascii="Times New Roman" w:eastAsia="Arial" w:hAnsi="Times New Roman" w:cs="Times New Roman"/>
                <w:color w:val="000000"/>
                <w:sz w:val="14"/>
                <w:szCs w:val="14"/>
              </w:rPr>
              <w:br/>
              <w:t>(36)</w:t>
            </w:r>
            <w:r>
              <w:rPr>
                <w:rFonts w:ascii="Times New Roman" w:eastAsia="Arial" w:hAnsi="Times New Roman" w:cs="Times New Roman"/>
                <w:color w:val="000000"/>
                <w:sz w:val="14"/>
                <w:szCs w:val="14"/>
              </w:rPr>
              <w:br/>
              <w:t>[57-88]</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3C5458A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55,1%</w:t>
            </w:r>
            <w:r>
              <w:rPr>
                <w:rFonts w:ascii="Times New Roman" w:eastAsia="Arial" w:hAnsi="Times New Roman" w:cs="Times New Roman"/>
                <w:color w:val="000000"/>
                <w:sz w:val="14"/>
                <w:szCs w:val="14"/>
              </w:rPr>
              <w:br/>
              <w:t>(27)</w:t>
            </w:r>
            <w:r>
              <w:rPr>
                <w:rFonts w:ascii="Times New Roman" w:eastAsia="Arial" w:hAnsi="Times New Roman" w:cs="Times New Roman"/>
                <w:color w:val="000000"/>
                <w:sz w:val="14"/>
                <w:szCs w:val="14"/>
              </w:rPr>
              <w:br/>
              <w:t>[38-71]</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0AD9AA8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60,5%</w:t>
            </w:r>
            <w:r>
              <w:rPr>
                <w:rFonts w:ascii="Times New Roman" w:eastAsia="Arial" w:hAnsi="Times New Roman" w:cs="Times New Roman"/>
                <w:color w:val="000000"/>
                <w:sz w:val="14"/>
                <w:szCs w:val="14"/>
              </w:rPr>
              <w:br/>
              <w:t>(5 447)</w:t>
            </w:r>
            <w:r>
              <w:rPr>
                <w:rFonts w:ascii="Times New Roman" w:eastAsia="Arial" w:hAnsi="Times New Roman" w:cs="Times New Roman"/>
                <w:color w:val="000000"/>
                <w:sz w:val="14"/>
                <w:szCs w:val="14"/>
              </w:rPr>
              <w:br/>
              <w:t>[59-62]</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5B6ED44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78,6%</w:t>
            </w:r>
            <w:r>
              <w:rPr>
                <w:rFonts w:ascii="Times New Roman" w:eastAsia="Arial" w:hAnsi="Times New Roman" w:cs="Times New Roman"/>
                <w:color w:val="000000"/>
                <w:sz w:val="14"/>
                <w:szCs w:val="14"/>
              </w:rPr>
              <w:br/>
              <w:t>(48)</w:t>
            </w:r>
            <w:r>
              <w:rPr>
                <w:rFonts w:ascii="Times New Roman" w:eastAsia="Arial" w:hAnsi="Times New Roman" w:cs="Times New Roman"/>
                <w:color w:val="000000"/>
                <w:sz w:val="14"/>
                <w:szCs w:val="14"/>
              </w:rPr>
              <w:br/>
              <w:t>[63-89]</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45D38C1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66,7%</w:t>
            </w:r>
            <w:r>
              <w:rPr>
                <w:rFonts w:ascii="Times New Roman" w:eastAsia="Arial" w:hAnsi="Times New Roman" w:cs="Times New Roman"/>
                <w:color w:val="000000"/>
                <w:sz w:val="14"/>
                <w:szCs w:val="14"/>
              </w:rPr>
              <w:br/>
              <w:t>(9)</w:t>
            </w:r>
            <w:r>
              <w:rPr>
                <w:rFonts w:ascii="Times New Roman" w:eastAsia="Arial" w:hAnsi="Times New Roman" w:cs="Times New Roman"/>
                <w:color w:val="000000"/>
                <w:sz w:val="14"/>
                <w:szCs w:val="14"/>
              </w:rPr>
              <w:br/>
              <w:t>[37-87]</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5FB1A9A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67,7%</w:t>
            </w:r>
            <w:r>
              <w:rPr>
                <w:rFonts w:ascii="Times New Roman" w:eastAsia="Arial" w:hAnsi="Times New Roman" w:cs="Times New Roman"/>
                <w:color w:val="000000"/>
                <w:sz w:val="14"/>
                <w:szCs w:val="14"/>
              </w:rPr>
              <w:br/>
              <w:t>(4 772)</w:t>
            </w:r>
            <w:r>
              <w:rPr>
                <w:rFonts w:ascii="Times New Roman" w:eastAsia="Arial" w:hAnsi="Times New Roman" w:cs="Times New Roman"/>
                <w:color w:val="000000"/>
                <w:sz w:val="14"/>
                <w:szCs w:val="14"/>
              </w:rPr>
              <w:br/>
              <w:t>[66-69]</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3DC5D24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75,6%</w:t>
            </w:r>
            <w:r>
              <w:rPr>
                <w:rFonts w:ascii="Times New Roman" w:eastAsia="Arial" w:hAnsi="Times New Roman" w:cs="Times New Roman"/>
                <w:color w:val="000000"/>
                <w:sz w:val="14"/>
                <w:szCs w:val="14"/>
              </w:rPr>
              <w:br/>
              <w:t>(893)</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692064C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68,7%</w:t>
            </w:r>
            <w:r>
              <w:rPr>
                <w:rFonts w:ascii="Times New Roman" w:eastAsia="Arial" w:hAnsi="Times New Roman" w:cs="Times New Roman"/>
                <w:color w:val="000000"/>
                <w:sz w:val="14"/>
                <w:szCs w:val="14"/>
              </w:rPr>
              <w:br/>
              <w:t>(189)</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1AC7EE1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67,5%</w:t>
            </w:r>
            <w:r>
              <w:rPr>
                <w:rFonts w:ascii="Times New Roman" w:eastAsia="Arial" w:hAnsi="Times New Roman" w:cs="Times New Roman"/>
                <w:color w:val="000000"/>
                <w:sz w:val="14"/>
                <w:szCs w:val="14"/>
              </w:rPr>
              <w:br/>
              <w:t>(856)</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03064F4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56,8%</w:t>
            </w:r>
            <w:r>
              <w:rPr>
                <w:rFonts w:ascii="Times New Roman" w:eastAsia="Arial" w:hAnsi="Times New Roman" w:cs="Times New Roman"/>
                <w:color w:val="000000"/>
                <w:sz w:val="14"/>
                <w:szCs w:val="14"/>
              </w:rPr>
              <w:br/>
              <w:t>(63)</w:t>
            </w:r>
          </w:p>
        </w:tc>
      </w:tr>
      <w:tr w:rsidR="00E2476B" w14:paraId="7CA43460"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72F3D040"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 xml:space="preserve">Votre </w:t>
            </w:r>
            <w:proofErr w:type="spellStart"/>
            <w:r>
              <w:rPr>
                <w:rFonts w:ascii="Times New Roman" w:eastAsia="Arial" w:hAnsi="Times New Roman" w:cs="Times New Roman"/>
                <w:color w:val="000000"/>
                <w:sz w:val="14"/>
                <w:szCs w:val="14"/>
              </w:rPr>
              <w:t>conjoint∙e</w:t>
            </w:r>
            <w:proofErr w:type="spellEnd"/>
            <w:r>
              <w:rPr>
                <w:rFonts w:ascii="Times New Roman" w:eastAsia="Arial" w:hAnsi="Times New Roman" w:cs="Times New Roman"/>
                <w:color w:val="000000"/>
                <w:sz w:val="14"/>
                <w:szCs w:val="14"/>
              </w:rPr>
              <w:t xml:space="preserve"> a pris en charge l'essentiel des tâches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0E891B6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7,4%</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[1,5-30]</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3CEC93C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2,1%</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[0,29-14]</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5AEE524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3,2%</w:t>
            </w:r>
            <w:r>
              <w:rPr>
                <w:rFonts w:ascii="Times New Roman" w:eastAsia="Arial" w:hAnsi="Times New Roman" w:cs="Times New Roman"/>
                <w:color w:val="000000"/>
                <w:sz w:val="14"/>
                <w:szCs w:val="14"/>
              </w:rPr>
              <w:br/>
              <w:t>(267)</w:t>
            </w:r>
            <w:r>
              <w:rPr>
                <w:rFonts w:ascii="Times New Roman" w:eastAsia="Arial" w:hAnsi="Times New Roman" w:cs="Times New Roman"/>
                <w:color w:val="000000"/>
                <w:sz w:val="14"/>
                <w:szCs w:val="14"/>
              </w:rPr>
              <w:br/>
              <w:t>[2,8-3,8]</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03D8040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8,8%</w:t>
            </w:r>
            <w:r>
              <w:rPr>
                <w:rFonts w:ascii="Times New Roman" w:eastAsia="Arial" w:hAnsi="Times New Roman" w:cs="Times New Roman"/>
                <w:color w:val="000000"/>
                <w:sz w:val="14"/>
                <w:szCs w:val="14"/>
              </w:rPr>
              <w:br/>
              <w:t>(6)</w:t>
            </w:r>
            <w:r>
              <w:rPr>
                <w:rFonts w:ascii="Times New Roman" w:eastAsia="Arial" w:hAnsi="Times New Roman" w:cs="Times New Roman"/>
                <w:color w:val="000000"/>
                <w:sz w:val="14"/>
                <w:szCs w:val="14"/>
              </w:rPr>
              <w:br/>
              <w:t>[3,6-20]</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111E5E6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16,0%</w:t>
            </w:r>
            <w:r>
              <w:rPr>
                <w:rFonts w:ascii="Times New Roman" w:eastAsia="Arial" w:hAnsi="Times New Roman" w:cs="Times New Roman"/>
                <w:color w:val="000000"/>
                <w:sz w:val="14"/>
                <w:szCs w:val="14"/>
              </w:rPr>
              <w:br/>
              <w:t>(4)</w:t>
            </w:r>
            <w:r>
              <w:rPr>
                <w:rFonts w:ascii="Times New Roman" w:eastAsia="Arial" w:hAnsi="Times New Roman" w:cs="Times New Roman"/>
                <w:color w:val="000000"/>
                <w:sz w:val="14"/>
                <w:szCs w:val="14"/>
              </w:rPr>
              <w:br/>
              <w:t>[5,1-40]</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5518463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25,7%</w:t>
            </w:r>
            <w:r>
              <w:rPr>
                <w:rFonts w:ascii="Times New Roman" w:eastAsia="Arial" w:hAnsi="Times New Roman" w:cs="Times New Roman"/>
                <w:color w:val="000000"/>
                <w:sz w:val="14"/>
                <w:szCs w:val="14"/>
              </w:rPr>
              <w:br/>
              <w:t>(1 831)</w:t>
            </w:r>
            <w:r>
              <w:rPr>
                <w:rFonts w:ascii="Times New Roman" w:eastAsia="Arial" w:hAnsi="Times New Roman" w:cs="Times New Roman"/>
                <w:color w:val="000000"/>
                <w:sz w:val="14"/>
                <w:szCs w:val="14"/>
              </w:rPr>
              <w:br/>
              <w:t>[24-27]</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1F49CF8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10,9%</w:t>
            </w:r>
            <w:r>
              <w:rPr>
                <w:rFonts w:ascii="Times New Roman" w:eastAsia="Arial" w:hAnsi="Times New Roman" w:cs="Times New Roman"/>
                <w:color w:val="000000"/>
                <w:sz w:val="14"/>
                <w:szCs w:val="14"/>
              </w:rPr>
              <w:br/>
              <w:t>(129)</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6DAAF59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12,7%</w:t>
            </w:r>
            <w:r>
              <w:rPr>
                <w:rFonts w:ascii="Times New Roman" w:eastAsia="Arial" w:hAnsi="Times New Roman" w:cs="Times New Roman"/>
                <w:color w:val="000000"/>
                <w:sz w:val="14"/>
                <w:szCs w:val="14"/>
              </w:rPr>
              <w:br/>
              <w:t>(35)</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529D48C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12,6%</w:t>
            </w:r>
            <w:r>
              <w:rPr>
                <w:rFonts w:ascii="Times New Roman" w:eastAsia="Arial" w:hAnsi="Times New Roman" w:cs="Times New Roman"/>
                <w:color w:val="000000"/>
                <w:sz w:val="14"/>
                <w:szCs w:val="14"/>
              </w:rPr>
              <w:br/>
              <w:t>(160)</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76FDAB5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27,0%</w:t>
            </w:r>
            <w:r>
              <w:rPr>
                <w:rFonts w:ascii="Times New Roman" w:eastAsia="Arial" w:hAnsi="Times New Roman" w:cs="Times New Roman"/>
                <w:color w:val="000000"/>
                <w:sz w:val="14"/>
                <w:szCs w:val="14"/>
              </w:rPr>
              <w:br/>
              <w:t>(30)</w:t>
            </w:r>
          </w:p>
        </w:tc>
      </w:tr>
      <w:tr w:rsidR="00E2476B" w14:paraId="736D9A86"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427A3133"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Une autre personne s'occupe des tâches ménagères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64BE41C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71EE375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4,3%</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[1,0-17]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5ACF2DA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1,0%</w:t>
            </w:r>
            <w:r>
              <w:rPr>
                <w:rFonts w:ascii="Times New Roman" w:eastAsia="Arial" w:hAnsi="Times New Roman" w:cs="Times New Roman"/>
                <w:color w:val="000000"/>
                <w:sz w:val="14"/>
                <w:szCs w:val="14"/>
              </w:rPr>
              <w:br/>
              <w:t>(119)</w:t>
            </w:r>
            <w:r>
              <w:rPr>
                <w:rFonts w:ascii="Times New Roman" w:eastAsia="Arial" w:hAnsi="Times New Roman" w:cs="Times New Roman"/>
                <w:color w:val="000000"/>
                <w:sz w:val="14"/>
                <w:szCs w:val="14"/>
              </w:rPr>
              <w:br/>
              <w:t>[0,8-1,3]</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59180A8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0A59D91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2,8%</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[0,36-19]</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33E9B8E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1,1%</w:t>
            </w:r>
            <w:r>
              <w:rPr>
                <w:rFonts w:ascii="Times New Roman" w:eastAsia="Arial" w:hAnsi="Times New Roman" w:cs="Times New Roman"/>
                <w:color w:val="000000"/>
                <w:sz w:val="14"/>
                <w:szCs w:val="14"/>
              </w:rPr>
              <w:br/>
              <w:t>(92)</w:t>
            </w:r>
            <w:r>
              <w:rPr>
                <w:rFonts w:ascii="Times New Roman" w:eastAsia="Arial" w:hAnsi="Times New Roman" w:cs="Times New Roman"/>
                <w:color w:val="000000"/>
                <w:sz w:val="14"/>
                <w:szCs w:val="14"/>
              </w:rPr>
              <w:br/>
              <w:t>[0,9-1,4]</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286700D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1,4%</w:t>
            </w:r>
            <w:r>
              <w:rPr>
                <w:rFonts w:ascii="Times New Roman" w:eastAsia="Arial" w:hAnsi="Times New Roman" w:cs="Times New Roman"/>
                <w:color w:val="000000"/>
                <w:sz w:val="14"/>
                <w:szCs w:val="14"/>
              </w:rPr>
              <w:br/>
              <w:t>(17)</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1298BF5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1,5%</w:t>
            </w:r>
            <w:r>
              <w:rPr>
                <w:rFonts w:ascii="Times New Roman" w:eastAsia="Arial" w:hAnsi="Times New Roman" w:cs="Times New Roman"/>
                <w:color w:val="000000"/>
                <w:sz w:val="14"/>
                <w:szCs w:val="14"/>
              </w:rPr>
              <w:br/>
              <w:t>(4)</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08F0D75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5,1%</w:t>
            </w:r>
            <w:r>
              <w:rPr>
                <w:rFonts w:ascii="Times New Roman" w:eastAsia="Arial" w:hAnsi="Times New Roman" w:cs="Times New Roman"/>
                <w:color w:val="000000"/>
                <w:sz w:val="14"/>
                <w:szCs w:val="14"/>
              </w:rPr>
              <w:br/>
              <w:t>(65)</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1A8174E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5,4%</w:t>
            </w:r>
            <w:r>
              <w:rPr>
                <w:rFonts w:ascii="Times New Roman" w:eastAsia="Arial" w:hAnsi="Times New Roman" w:cs="Times New Roman"/>
                <w:color w:val="000000"/>
                <w:sz w:val="14"/>
                <w:szCs w:val="14"/>
              </w:rPr>
              <w:br/>
              <w:t>(6)</w:t>
            </w:r>
          </w:p>
        </w:tc>
      </w:tr>
      <w:tr w:rsidR="00E2476B" w14:paraId="5153E375"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4ECE0F20"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307"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2270F9F"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0,13</w:t>
            </w:r>
            <w:r>
              <w:rPr>
                <w:rFonts w:ascii="Times New Roman" w:eastAsia="Arial" w:hAnsi="Times New Roman" w:cs="Times New Roman"/>
                <w:i/>
                <w:iCs/>
                <w:color w:val="000000"/>
                <w:sz w:val="14"/>
                <w:szCs w:val="14"/>
                <w:vertAlign w:val="superscript"/>
              </w:rPr>
              <w:t>2</w:t>
            </w:r>
          </w:p>
        </w:tc>
        <w:tc>
          <w:tcPr>
            <w:tcW w:w="2319"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F8F2E2A"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0,022</w:t>
            </w:r>
            <w:r>
              <w:rPr>
                <w:rFonts w:ascii="Times New Roman" w:eastAsia="Arial" w:hAnsi="Times New Roman" w:cs="Times New Roman"/>
                <w:i/>
                <w:iCs/>
                <w:color w:val="000000"/>
                <w:sz w:val="14"/>
                <w:szCs w:val="14"/>
                <w:vertAlign w:val="superscript"/>
              </w:rPr>
              <w:t>2</w:t>
            </w:r>
          </w:p>
        </w:tc>
        <w:tc>
          <w:tcPr>
            <w:tcW w:w="1541"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2EACE35"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0,091</w:t>
            </w:r>
            <w:r>
              <w:rPr>
                <w:rFonts w:ascii="Times New Roman" w:eastAsia="Arial" w:hAnsi="Times New Roman" w:cs="Times New Roman"/>
                <w:i/>
                <w:iCs/>
                <w:color w:val="000000"/>
                <w:sz w:val="14"/>
                <w:szCs w:val="14"/>
                <w:vertAlign w:val="superscript"/>
              </w:rPr>
              <w:t>3</w:t>
            </w:r>
          </w:p>
        </w:tc>
        <w:tc>
          <w:tcPr>
            <w:tcW w:w="1536"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34F5B600"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0,001</w:t>
            </w:r>
            <w:r>
              <w:rPr>
                <w:rFonts w:ascii="Times New Roman" w:eastAsia="Arial" w:hAnsi="Times New Roman" w:cs="Times New Roman"/>
                <w:i/>
                <w:iCs/>
                <w:color w:val="000000"/>
                <w:sz w:val="14"/>
                <w:szCs w:val="14"/>
                <w:vertAlign w:val="superscript"/>
              </w:rPr>
              <w:t>3</w:t>
            </w:r>
          </w:p>
        </w:tc>
      </w:tr>
      <w:tr w:rsidR="00E2476B" w14:paraId="20545D6D" w14:textId="77777777" w:rsidTr="0018419C">
        <w:trPr>
          <w:jc w:val="center"/>
        </w:trPr>
        <w:tc>
          <w:tcPr>
            <w:tcW w:w="9402"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1A49E7F5"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Répartition tâches enfants foyer</w:t>
            </w:r>
          </w:p>
        </w:tc>
      </w:tr>
      <w:tr w:rsidR="00E2476B" w14:paraId="14EAA217"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5F90D3A5"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Vous avez pris en charge l'essentiel des tâches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521451D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6,0%</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[0,77-34]</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7095347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69,3%</w:t>
            </w:r>
            <w:r>
              <w:rPr>
                <w:rFonts w:ascii="Times New Roman" w:eastAsia="Arial" w:hAnsi="Times New Roman" w:cs="Times New Roman"/>
                <w:color w:val="000000"/>
                <w:sz w:val="14"/>
                <w:szCs w:val="14"/>
              </w:rPr>
              <w:br/>
              <w:t>(11)</w:t>
            </w:r>
            <w:r>
              <w:rPr>
                <w:rFonts w:ascii="Times New Roman" w:eastAsia="Arial" w:hAnsi="Times New Roman" w:cs="Times New Roman"/>
                <w:color w:val="000000"/>
                <w:sz w:val="14"/>
                <w:szCs w:val="14"/>
              </w:rPr>
              <w:br/>
              <w:t>[44-87]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270BC23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29,5%</w:t>
            </w:r>
            <w:r>
              <w:rPr>
                <w:rFonts w:ascii="Times New Roman" w:eastAsia="Arial" w:hAnsi="Times New Roman" w:cs="Times New Roman"/>
                <w:color w:val="000000"/>
                <w:sz w:val="14"/>
                <w:szCs w:val="14"/>
              </w:rPr>
              <w:br/>
              <w:t>(1 077)</w:t>
            </w:r>
            <w:r>
              <w:rPr>
                <w:rFonts w:ascii="Times New Roman" w:eastAsia="Arial" w:hAnsi="Times New Roman" w:cs="Times New Roman"/>
                <w:color w:val="000000"/>
                <w:sz w:val="14"/>
                <w:szCs w:val="14"/>
              </w:rPr>
              <w:br/>
              <w:t>[28-31]</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0927200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47,8%</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[6,8-92]</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3D04C18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17,1%</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[2,3-64]</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7A80293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4,6%</w:t>
            </w:r>
            <w:r>
              <w:rPr>
                <w:rFonts w:ascii="Times New Roman" w:eastAsia="Arial" w:hAnsi="Times New Roman" w:cs="Times New Roman"/>
                <w:color w:val="000000"/>
                <w:sz w:val="14"/>
                <w:szCs w:val="14"/>
              </w:rPr>
              <w:br/>
              <w:t>(129)</w:t>
            </w:r>
            <w:r>
              <w:rPr>
                <w:rFonts w:ascii="Times New Roman" w:eastAsia="Arial" w:hAnsi="Times New Roman" w:cs="Times New Roman"/>
                <w:color w:val="000000"/>
                <w:sz w:val="14"/>
                <w:szCs w:val="14"/>
              </w:rPr>
              <w:br/>
              <w:t>[3,8-5,6]</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21BAC58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13,0%</w:t>
            </w:r>
            <w:r>
              <w:rPr>
                <w:rFonts w:ascii="Times New Roman" w:eastAsia="Arial" w:hAnsi="Times New Roman" w:cs="Times New Roman"/>
                <w:color w:val="000000"/>
                <w:sz w:val="14"/>
                <w:szCs w:val="14"/>
              </w:rPr>
              <w:br/>
              <w:t>(32)</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15399BA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(11)</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5E14F89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15,4%</w:t>
            </w:r>
            <w:r>
              <w:rPr>
                <w:rFonts w:ascii="Times New Roman" w:eastAsia="Arial" w:hAnsi="Times New Roman" w:cs="Times New Roman"/>
                <w:color w:val="000000"/>
                <w:sz w:val="14"/>
                <w:szCs w:val="14"/>
              </w:rPr>
              <w:br/>
              <w:t>(12)</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65915EB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p>
        </w:tc>
      </w:tr>
      <w:tr w:rsidR="00E2476B" w14:paraId="26A86699"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08591484"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 xml:space="preserve">Les tâches ont été partagées avec votre </w:t>
            </w:r>
            <w:proofErr w:type="spellStart"/>
            <w:r>
              <w:rPr>
                <w:rFonts w:ascii="Times New Roman" w:eastAsia="Arial" w:hAnsi="Times New Roman" w:cs="Times New Roman"/>
                <w:color w:val="000000"/>
                <w:sz w:val="14"/>
                <w:szCs w:val="14"/>
              </w:rPr>
              <w:t>conjoint∙e</w:t>
            </w:r>
            <w:proofErr w:type="spellEnd"/>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5C74BC5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81,9%</w:t>
            </w:r>
            <w:r>
              <w:rPr>
                <w:rFonts w:ascii="Times New Roman" w:eastAsia="Arial" w:hAnsi="Times New Roman" w:cs="Times New Roman"/>
                <w:color w:val="000000"/>
                <w:sz w:val="14"/>
                <w:szCs w:val="14"/>
              </w:rPr>
              <w:br/>
              <w:t>(7)</w:t>
            </w:r>
            <w:r>
              <w:rPr>
                <w:rFonts w:ascii="Times New Roman" w:eastAsia="Arial" w:hAnsi="Times New Roman" w:cs="Times New Roman"/>
                <w:color w:val="000000"/>
                <w:sz w:val="14"/>
                <w:szCs w:val="14"/>
              </w:rPr>
              <w:br/>
              <w:t>[45-96]</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056AD5F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22,5%</w:t>
            </w:r>
            <w:r>
              <w:rPr>
                <w:rFonts w:ascii="Times New Roman" w:eastAsia="Arial" w:hAnsi="Times New Roman" w:cs="Times New Roman"/>
                <w:color w:val="000000"/>
                <w:sz w:val="14"/>
                <w:szCs w:val="14"/>
              </w:rPr>
              <w:br/>
              <w:t>(5)</w:t>
            </w:r>
            <w:r>
              <w:rPr>
                <w:rFonts w:ascii="Times New Roman" w:eastAsia="Arial" w:hAnsi="Times New Roman" w:cs="Times New Roman"/>
                <w:color w:val="000000"/>
                <w:sz w:val="14"/>
                <w:szCs w:val="14"/>
              </w:rPr>
              <w:br/>
              <w:t>[8,7-47]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6E9E1AB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67,5%</w:t>
            </w:r>
            <w:r>
              <w:rPr>
                <w:rFonts w:ascii="Times New Roman" w:eastAsia="Arial" w:hAnsi="Times New Roman" w:cs="Times New Roman"/>
                <w:color w:val="000000"/>
                <w:sz w:val="14"/>
                <w:szCs w:val="14"/>
              </w:rPr>
              <w:br/>
              <w:t>(2 441)</w:t>
            </w:r>
            <w:r>
              <w:rPr>
                <w:rFonts w:ascii="Times New Roman" w:eastAsia="Arial" w:hAnsi="Times New Roman" w:cs="Times New Roman"/>
                <w:color w:val="000000"/>
                <w:sz w:val="14"/>
                <w:szCs w:val="14"/>
              </w:rPr>
              <w:br/>
              <w:t>[66-69]</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4274106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52,2%</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[8,0-93]</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79A75B7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47,7%</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[15-83]</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246C1E8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75,1%</w:t>
            </w:r>
            <w:r>
              <w:rPr>
                <w:rFonts w:ascii="Times New Roman" w:eastAsia="Arial" w:hAnsi="Times New Roman" w:cs="Times New Roman"/>
                <w:color w:val="000000"/>
                <w:sz w:val="14"/>
                <w:szCs w:val="14"/>
              </w:rPr>
              <w:br/>
              <w:t>(2 127)</w:t>
            </w:r>
            <w:r>
              <w:rPr>
                <w:rFonts w:ascii="Times New Roman" w:eastAsia="Arial" w:hAnsi="Times New Roman" w:cs="Times New Roman"/>
                <w:color w:val="000000"/>
                <w:sz w:val="14"/>
                <w:szCs w:val="14"/>
              </w:rPr>
              <w:br/>
              <w:t>[73-77]</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62DCBDB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70,3%</w:t>
            </w:r>
            <w:r>
              <w:rPr>
                <w:rFonts w:ascii="Times New Roman" w:eastAsia="Arial" w:hAnsi="Times New Roman" w:cs="Times New Roman"/>
                <w:color w:val="000000"/>
                <w:sz w:val="14"/>
                <w:szCs w:val="14"/>
              </w:rPr>
              <w:br/>
              <w:t>(173)</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4966318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65,9%</w:t>
            </w:r>
            <w:r>
              <w:rPr>
                <w:rFonts w:ascii="Times New Roman" w:eastAsia="Arial" w:hAnsi="Times New Roman" w:cs="Times New Roman"/>
                <w:color w:val="000000"/>
                <w:sz w:val="14"/>
                <w:szCs w:val="14"/>
              </w:rPr>
              <w:br/>
              <w:t>(27)</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7086D60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74,4%</w:t>
            </w:r>
            <w:r>
              <w:rPr>
                <w:rFonts w:ascii="Times New Roman" w:eastAsia="Arial" w:hAnsi="Times New Roman" w:cs="Times New Roman"/>
                <w:color w:val="000000"/>
                <w:sz w:val="14"/>
                <w:szCs w:val="14"/>
              </w:rPr>
              <w:br/>
              <w:t>(58)</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7FCE413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69,6%</w:t>
            </w:r>
            <w:r>
              <w:rPr>
                <w:rFonts w:ascii="Times New Roman" w:eastAsia="Arial" w:hAnsi="Times New Roman" w:cs="Times New Roman"/>
                <w:color w:val="000000"/>
                <w:sz w:val="14"/>
                <w:szCs w:val="14"/>
              </w:rPr>
              <w:br/>
              <w:t>(16)</w:t>
            </w:r>
          </w:p>
        </w:tc>
      </w:tr>
      <w:tr w:rsidR="00E2476B" w14:paraId="7F10B6E6"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2574B50E"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 xml:space="preserve">Votre </w:t>
            </w:r>
            <w:proofErr w:type="spellStart"/>
            <w:r>
              <w:rPr>
                <w:rFonts w:ascii="Times New Roman" w:eastAsia="Arial" w:hAnsi="Times New Roman" w:cs="Times New Roman"/>
                <w:color w:val="000000"/>
                <w:sz w:val="14"/>
                <w:szCs w:val="14"/>
              </w:rPr>
              <w:t>conjoint∙e</w:t>
            </w:r>
            <w:proofErr w:type="spellEnd"/>
            <w:r>
              <w:rPr>
                <w:rFonts w:ascii="Times New Roman" w:eastAsia="Arial" w:hAnsi="Times New Roman" w:cs="Times New Roman"/>
                <w:color w:val="000000"/>
                <w:sz w:val="14"/>
                <w:szCs w:val="14"/>
              </w:rPr>
              <w:t xml:space="preserve"> a pris en charge l'essentiel des tâches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095299C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12,1%</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[1,6-53]</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40E229E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3F6E6F1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2,3%</w:t>
            </w:r>
            <w:r>
              <w:rPr>
                <w:rFonts w:ascii="Times New Roman" w:eastAsia="Arial" w:hAnsi="Times New Roman" w:cs="Times New Roman"/>
                <w:color w:val="000000"/>
                <w:sz w:val="14"/>
                <w:szCs w:val="14"/>
              </w:rPr>
              <w:br/>
              <w:t>(73)</w:t>
            </w:r>
            <w:r>
              <w:rPr>
                <w:rFonts w:ascii="Times New Roman" w:eastAsia="Arial" w:hAnsi="Times New Roman" w:cs="Times New Roman"/>
                <w:color w:val="000000"/>
                <w:sz w:val="14"/>
                <w:szCs w:val="14"/>
              </w:rPr>
              <w:br/>
              <w:t>[1,8-3,0]</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0AA9907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2617F26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35,2%</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[8,5-76]</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7FBB5D1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19,7%</w:t>
            </w:r>
            <w:r>
              <w:rPr>
                <w:rFonts w:ascii="Times New Roman" w:eastAsia="Arial" w:hAnsi="Times New Roman" w:cs="Times New Roman"/>
                <w:color w:val="000000"/>
                <w:sz w:val="14"/>
                <w:szCs w:val="14"/>
              </w:rPr>
              <w:br/>
              <w:t>(549)</w:t>
            </w:r>
            <w:r>
              <w:rPr>
                <w:rFonts w:ascii="Times New Roman" w:eastAsia="Arial" w:hAnsi="Times New Roman" w:cs="Times New Roman"/>
                <w:color w:val="000000"/>
                <w:sz w:val="14"/>
                <w:szCs w:val="14"/>
              </w:rPr>
              <w:br/>
              <w:t>[18-21]</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51EE347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16,3%</w:t>
            </w:r>
            <w:r>
              <w:rPr>
                <w:rFonts w:ascii="Times New Roman" w:eastAsia="Arial" w:hAnsi="Times New Roman" w:cs="Times New Roman"/>
                <w:color w:val="000000"/>
                <w:sz w:val="14"/>
                <w:szCs w:val="14"/>
              </w:rPr>
              <w:br/>
              <w:t>(40)</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3A6054A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4,9%</w:t>
            </w:r>
            <w:r>
              <w:rPr>
                <w:rFonts w:ascii="Times New Roman" w:eastAsia="Arial" w:hAnsi="Times New Roman" w:cs="Times New Roman"/>
                <w:color w:val="000000"/>
                <w:sz w:val="14"/>
                <w:szCs w:val="14"/>
              </w:rPr>
              <w:br/>
              <w:t>(2)</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1C9D9D0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6,4%</w:t>
            </w:r>
            <w:r>
              <w:rPr>
                <w:rFonts w:ascii="Times New Roman" w:eastAsia="Arial" w:hAnsi="Times New Roman" w:cs="Times New Roman"/>
                <w:color w:val="000000"/>
                <w:sz w:val="14"/>
                <w:szCs w:val="14"/>
              </w:rPr>
              <w:br/>
              <w:t>(5)</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659E257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30,4%</w:t>
            </w:r>
            <w:r>
              <w:rPr>
                <w:rFonts w:ascii="Times New Roman" w:eastAsia="Arial" w:hAnsi="Times New Roman" w:cs="Times New Roman"/>
                <w:color w:val="000000"/>
                <w:sz w:val="14"/>
                <w:szCs w:val="14"/>
              </w:rPr>
              <w:br/>
              <w:t>(7)</w:t>
            </w:r>
          </w:p>
        </w:tc>
      </w:tr>
      <w:tr w:rsidR="00E2476B" w14:paraId="1CAB36A0" w14:textId="77777777" w:rsidTr="0018419C">
        <w:trPr>
          <w:jc w:val="center"/>
        </w:trPr>
        <w:tc>
          <w:tcPr>
            <w:tcW w:w="1699" w:type="dxa"/>
            <w:tcBorders>
              <w:left w:val="single" w:sz="12" w:space="0" w:color="000000"/>
              <w:right w:val="single" w:sz="4" w:space="0" w:color="000000"/>
            </w:tcBorders>
            <w:shd w:val="clear" w:color="auto" w:fill="FFFFFF"/>
            <w:tcMar>
              <w:top w:w="0" w:type="dxa"/>
              <w:left w:w="0" w:type="dxa"/>
              <w:bottom w:w="0" w:type="dxa"/>
              <w:right w:w="0" w:type="dxa"/>
            </w:tcMar>
          </w:tcPr>
          <w:p w14:paraId="3F457FE1"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Une autre personne s'occupe des enfants</w:t>
            </w:r>
          </w:p>
        </w:tc>
        <w:tc>
          <w:tcPr>
            <w:tcW w:w="768" w:type="dxa"/>
            <w:tcBorders>
              <w:left w:val="single" w:sz="4" w:space="0" w:color="000000"/>
              <w:right w:val="single" w:sz="4" w:space="0" w:color="000000"/>
            </w:tcBorders>
            <w:shd w:val="clear" w:color="auto" w:fill="FFFFFF"/>
            <w:tcMar>
              <w:top w:w="0" w:type="dxa"/>
              <w:left w:w="0" w:type="dxa"/>
              <w:bottom w:w="0" w:type="dxa"/>
              <w:right w:w="0" w:type="dxa"/>
            </w:tcMar>
          </w:tcPr>
          <w:p w14:paraId="6847AAF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207773F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8,2%</w:t>
            </w:r>
            <w:r>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br/>
              <w:t>[1,2-41]</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21A9A71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0,7%</w:t>
            </w:r>
            <w:r>
              <w:rPr>
                <w:rFonts w:ascii="Times New Roman" w:eastAsia="Arial" w:hAnsi="Times New Roman" w:cs="Times New Roman"/>
                <w:color w:val="000000"/>
                <w:sz w:val="14"/>
                <w:szCs w:val="14"/>
              </w:rPr>
              <w:br/>
              <w:t>(26)</w:t>
            </w:r>
            <w:r>
              <w:rPr>
                <w:rFonts w:ascii="Times New Roman" w:eastAsia="Arial" w:hAnsi="Times New Roman" w:cs="Times New Roman"/>
                <w:color w:val="000000"/>
                <w:sz w:val="14"/>
                <w:szCs w:val="14"/>
              </w:rPr>
              <w:br/>
              <w:t>[0,5-1,1]</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047B488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089A984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br/>
            </w:r>
          </w:p>
        </w:tc>
        <w:tc>
          <w:tcPr>
            <w:tcW w:w="774" w:type="dxa"/>
            <w:tcBorders>
              <w:left w:val="single" w:sz="4" w:space="0" w:color="000000"/>
              <w:right w:val="single" w:sz="4" w:space="0" w:color="000000"/>
            </w:tcBorders>
            <w:shd w:val="clear" w:color="auto" w:fill="FFFFFF"/>
            <w:tcMar>
              <w:top w:w="0" w:type="dxa"/>
              <w:left w:w="0" w:type="dxa"/>
              <w:bottom w:w="0" w:type="dxa"/>
              <w:right w:w="0" w:type="dxa"/>
            </w:tcMar>
          </w:tcPr>
          <w:p w14:paraId="2DD15DF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0,6%</w:t>
            </w:r>
            <w:r>
              <w:rPr>
                <w:rFonts w:ascii="Times New Roman" w:eastAsia="Arial" w:hAnsi="Times New Roman" w:cs="Times New Roman"/>
                <w:color w:val="000000"/>
                <w:sz w:val="14"/>
                <w:szCs w:val="14"/>
              </w:rPr>
              <w:br/>
              <w:t>(18)</w:t>
            </w:r>
            <w:r>
              <w:rPr>
                <w:rFonts w:ascii="Times New Roman" w:eastAsia="Arial" w:hAnsi="Times New Roman" w:cs="Times New Roman"/>
                <w:color w:val="000000"/>
                <w:sz w:val="14"/>
                <w:szCs w:val="14"/>
              </w:rPr>
              <w:br/>
              <w:t>[0,4-1,0]</w:t>
            </w:r>
          </w:p>
        </w:tc>
        <w:tc>
          <w:tcPr>
            <w:tcW w:w="771" w:type="dxa"/>
            <w:tcBorders>
              <w:left w:val="single" w:sz="4" w:space="0" w:color="000000"/>
              <w:right w:val="single" w:sz="4" w:space="0" w:color="000000"/>
            </w:tcBorders>
            <w:shd w:val="clear" w:color="auto" w:fill="FFFFFF"/>
            <w:tcMar>
              <w:top w:w="0" w:type="dxa"/>
              <w:left w:w="0" w:type="dxa"/>
              <w:bottom w:w="0" w:type="dxa"/>
              <w:right w:w="0" w:type="dxa"/>
            </w:tcMar>
          </w:tcPr>
          <w:p w14:paraId="540FD6E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(1)</w:t>
            </w:r>
          </w:p>
        </w:tc>
        <w:tc>
          <w:tcPr>
            <w:tcW w:w="770" w:type="dxa"/>
            <w:tcBorders>
              <w:left w:val="single" w:sz="4" w:space="0" w:color="000000"/>
              <w:right w:val="single" w:sz="4" w:space="0" w:color="000000"/>
            </w:tcBorders>
            <w:shd w:val="clear" w:color="auto" w:fill="FFFFFF"/>
            <w:tcMar>
              <w:top w:w="0" w:type="dxa"/>
              <w:left w:w="0" w:type="dxa"/>
              <w:bottom w:w="0" w:type="dxa"/>
              <w:right w:w="0" w:type="dxa"/>
            </w:tcMar>
          </w:tcPr>
          <w:p w14:paraId="7EB5336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2,4%</w:t>
            </w:r>
            <w:r>
              <w:rPr>
                <w:rFonts w:ascii="Times New Roman" w:eastAsia="Arial" w:hAnsi="Times New Roman" w:cs="Times New Roman"/>
                <w:color w:val="000000"/>
                <w:sz w:val="14"/>
                <w:szCs w:val="14"/>
              </w:rPr>
              <w:br/>
              <w:t>(1)</w:t>
            </w:r>
          </w:p>
        </w:tc>
        <w:tc>
          <w:tcPr>
            <w:tcW w:w="769" w:type="dxa"/>
            <w:tcBorders>
              <w:left w:val="single" w:sz="4" w:space="0" w:color="000000"/>
              <w:right w:val="single" w:sz="4" w:space="0" w:color="000000"/>
            </w:tcBorders>
            <w:shd w:val="clear" w:color="auto" w:fill="FFFFFF"/>
            <w:tcMar>
              <w:top w:w="0" w:type="dxa"/>
              <w:left w:w="0" w:type="dxa"/>
              <w:bottom w:w="0" w:type="dxa"/>
              <w:right w:w="0" w:type="dxa"/>
            </w:tcMar>
          </w:tcPr>
          <w:p w14:paraId="08814F6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3,8%</w:t>
            </w:r>
            <w:r>
              <w:rPr>
                <w:rFonts w:ascii="Times New Roman" w:eastAsia="Arial" w:hAnsi="Times New Roman" w:cs="Times New Roman"/>
                <w:color w:val="000000"/>
                <w:sz w:val="14"/>
                <w:szCs w:val="14"/>
              </w:rPr>
              <w:br/>
              <w:t>(3)</w:t>
            </w:r>
          </w:p>
        </w:tc>
        <w:tc>
          <w:tcPr>
            <w:tcW w:w="767" w:type="dxa"/>
            <w:tcBorders>
              <w:left w:val="single" w:sz="4" w:space="0" w:color="000000"/>
              <w:right w:val="single" w:sz="12" w:space="0" w:color="000000"/>
            </w:tcBorders>
            <w:shd w:val="clear" w:color="auto" w:fill="FFFFFF"/>
            <w:tcMar>
              <w:top w:w="0" w:type="dxa"/>
              <w:left w:w="0" w:type="dxa"/>
              <w:bottom w:w="0" w:type="dxa"/>
              <w:right w:w="0" w:type="dxa"/>
            </w:tcMar>
          </w:tcPr>
          <w:p w14:paraId="63CF242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p>
        </w:tc>
      </w:tr>
      <w:tr w:rsidR="00E2476B" w14:paraId="4F45E655" w14:textId="77777777" w:rsidTr="0018419C">
        <w:trPr>
          <w:jc w:val="center"/>
        </w:trPr>
        <w:tc>
          <w:tcPr>
            <w:tcW w:w="1699"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6F5B6A05" w14:textId="77777777" w:rsidR="00E2476B" w:rsidRDefault="00E2476B" w:rsidP="0018419C">
            <w:pPr>
              <w:pStyle w:val="Standard"/>
              <w:spacing w:before="100" w:after="100"/>
              <w:ind w:left="300" w:right="100"/>
            </w:pPr>
            <w:r>
              <w:rPr>
                <w:rFonts w:ascii="Times New Roman" w:eastAsia="Arial" w:hAnsi="Times New Roman" w:cs="Times New Roman"/>
                <w:bCs/>
                <w:i/>
                <w:iCs/>
                <w:color w:val="000000"/>
                <w:sz w:val="14"/>
                <w:szCs w:val="14"/>
              </w:rPr>
              <w:t>P-valeur</w:t>
            </w:r>
          </w:p>
        </w:tc>
        <w:tc>
          <w:tcPr>
            <w:tcW w:w="2307"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20FF301D"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&lt;0,001</w:t>
            </w:r>
          </w:p>
        </w:tc>
        <w:tc>
          <w:tcPr>
            <w:tcW w:w="2319"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78E58A65"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0,015</w:t>
            </w:r>
          </w:p>
        </w:tc>
        <w:tc>
          <w:tcPr>
            <w:tcW w:w="1541" w:type="dxa"/>
            <w:gridSpan w:val="2"/>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18FB37EF"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0,018</w:t>
            </w:r>
          </w:p>
        </w:tc>
        <w:tc>
          <w:tcPr>
            <w:tcW w:w="1536" w:type="dxa"/>
            <w:gridSpan w:val="2"/>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789D8D62" w14:textId="77777777" w:rsidR="00E2476B" w:rsidRDefault="00E2476B" w:rsidP="0018419C">
            <w:pPr>
              <w:pStyle w:val="Standard"/>
              <w:spacing w:before="100" w:after="100"/>
              <w:ind w:left="100" w:right="100"/>
              <w:jc w:val="center"/>
            </w:pPr>
            <w:r>
              <w:rPr>
                <w:rFonts w:ascii="Times New Roman" w:eastAsia="Arial" w:hAnsi="Times New Roman" w:cs="Times New Roman"/>
                <w:i/>
                <w:iCs/>
                <w:color w:val="000000"/>
                <w:sz w:val="14"/>
                <w:szCs w:val="14"/>
              </w:rPr>
              <w:t>0,005</w:t>
            </w:r>
          </w:p>
        </w:tc>
      </w:tr>
      <w:tr w:rsidR="00E2476B" w14:paraId="077A2264" w14:textId="77777777" w:rsidTr="0018419C">
        <w:trPr>
          <w:jc w:val="center"/>
        </w:trPr>
        <w:tc>
          <w:tcPr>
            <w:tcW w:w="9402" w:type="dxa"/>
            <w:gridSpan w:val="11"/>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7A21CED"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313C85F7"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79EC34B6"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75AF1E1A"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(Effectifs non pondérés) [Intervalle de confiance à 95 %].</w:t>
            </w:r>
          </w:p>
          <w:p w14:paraId="5A22D28A"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Répondant∙es en couple cohabitant dans l'année de l'enquête Virage ; Répondant∙es en couple cohabitant dans l'année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Pour Virage PG : pourcentages pondérés. Pour Virage LGBT : pourcentages et effectifs non pondérés</w:t>
            </w:r>
          </w:p>
          <w:p w14:paraId="04F3E528"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12,6% des hommes homosexuels en couple cohabitant dans l'enquête Virage en population générale déclarent avoir pris en charge l'essentiel des tâches ménagères, avec un intervalle de confiance à 95% de [5% - 28%].</w:t>
            </w:r>
          </w:p>
          <w:p w14:paraId="1BAAEE06"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lastRenderedPageBreak/>
              <w:t>Sources</w:t>
            </w:r>
            <w:r>
              <w:rPr>
                <w:rFonts w:ascii="Times New Roman" w:eastAsia="Arial" w:hAnsi="Times New Roman" w:cs="Times New Roman"/>
                <w:color w:val="000000"/>
                <w:sz w:val="14"/>
                <w:szCs w:val="14"/>
              </w:rPr>
              <w:t xml:space="preserve"> : Enquête Virage PG, Ined, 2015 ; enquête Virage LGBT, Ined, 2015-2016.</w:t>
            </w:r>
          </w:p>
        </w:tc>
      </w:tr>
    </w:tbl>
    <w:p w14:paraId="7386115E" w14:textId="77777777" w:rsidR="00E2476B" w:rsidRDefault="00E2476B" w:rsidP="00E2476B">
      <w:pPr>
        <w:pStyle w:val="Textbody"/>
      </w:pPr>
      <w:r>
        <w:t>Les bisexuelles semblent assumer une forte charge domestique, elles sont proches des hétérosexuelles dans la prise en charge des tâches ménagères et prennent plus souvent en charge l’essentiel des tâches liées aux enfants. Mis en regard du résultat d’une moindre institutionnalisation des relations des femmes bisexuelles (Chapitre I) on peut se demander s’il n’y a pas une vulnérabilité spécifique des femmes bisexuelles dans le couple. Elles seraient exposées à des charges domestiques et parentales importantes tout en étant moins mariées et partageant moins leur patrimoine avec leur partenaire.</w:t>
      </w:r>
    </w:p>
    <w:p w14:paraId="79554871" w14:textId="77777777" w:rsidR="00E2476B" w:rsidRDefault="00E2476B" w:rsidP="00E2476B">
      <w:pPr>
        <w:pStyle w:val="Textbody"/>
      </w:pPr>
      <w:r>
        <w:t>Chez les hommes, les gays déclarent moins souvent que les hétéros que leur conjoint a pris en charge l'essentiel des tâches domestiques.</w:t>
      </w:r>
    </w:p>
    <w:p w14:paraId="57C91CA6" w14:textId="77777777" w:rsidR="00E2476B" w:rsidRDefault="00E2476B" w:rsidP="00E2476B">
      <w:pPr>
        <w:pStyle w:val="Textbody"/>
      </w:pPr>
      <w:r>
        <w:t xml:space="preserve">Dans Virage LGBT, la plus grande prise en charge des tâches domestiques par les femmes bisexuelles se retrouve par rapport aux lesbiennes (p-valeur = 0,090), elle est même significative concernant les enfants. On peut faire l'hypothèse qu'elle résulte de la proportion d'entre elle en couple de sexe différent, les femmes passent en moyenne davantage de temps au travail domestique que les hommes, si l’écart se réduit au fil du temps il ne se résorbe pas (Bouchet-Valat et </w:t>
      </w:r>
      <w:proofErr w:type="spellStart"/>
      <w:r>
        <w:t>Toulemon</w:t>
      </w:r>
      <w:proofErr w:type="spellEnd"/>
      <w:r>
        <w:t> (</w:t>
      </w:r>
      <w:proofErr w:type="spellStart"/>
      <w:r>
        <w:t>eds</w:t>
      </w:r>
      <w:proofErr w:type="spellEnd"/>
      <w:r>
        <w:t xml:space="preserve">.) </w:t>
      </w:r>
      <w:proofErr w:type="gramStart"/>
      <w:r>
        <w:t>2026;</w:t>
      </w:r>
      <w:proofErr w:type="gramEnd"/>
      <w:r>
        <w:t xml:space="preserve"> Champagne, </w:t>
      </w:r>
      <w:proofErr w:type="spellStart"/>
      <w:r>
        <w:t>Pailhé</w:t>
      </w:r>
      <w:proofErr w:type="spellEnd"/>
      <w:r>
        <w:t xml:space="preserve"> et </w:t>
      </w:r>
      <w:proofErr w:type="spellStart"/>
      <w:r>
        <w:t>Solaz</w:t>
      </w:r>
      <w:proofErr w:type="spellEnd"/>
      <w:r>
        <w:t xml:space="preserve"> 2015). Chez les hommes, les bisexuels déclarent plus souvent que </w:t>
      </w:r>
      <w:proofErr w:type="spellStart"/>
      <w:r>
        <w:t>le∙a</w:t>
      </w:r>
      <w:proofErr w:type="spellEnd"/>
      <w:r>
        <w:t xml:space="preserve"> </w:t>
      </w:r>
      <w:proofErr w:type="spellStart"/>
      <w:r>
        <w:t>conjoint∙e</w:t>
      </w:r>
      <w:proofErr w:type="spellEnd"/>
      <w:r>
        <w:t xml:space="preserve"> a pris en charge l'essentiel des charges, même interprétation ici : ils sont dans des couples avec une femme qui porte la charge domestique. Nous creusons ici avec la répartition par type de couple.</w:t>
      </w:r>
    </w:p>
    <w:p w14:paraId="595CE10C" w14:textId="77777777" w:rsidR="00E2476B" w:rsidRDefault="00E2476B" w:rsidP="00E2476B">
      <w:r>
        <w:t xml:space="preserve">Table 7b : Sexuation des rôles domestiques chez les personnes en couple cohabitant par type de couple.  </w:t>
      </w:r>
    </w:p>
    <w:tbl>
      <w:tblPr>
        <w:tblW w:w="5000" w:type="pct"/>
        <w:jc w:val="center"/>
        <w:tblLayout w:type="fixed"/>
        <w:tblCellMar>
          <w:left w:w="10" w:type="dxa"/>
          <w:right w:w="10" w:type="dxa"/>
        </w:tblCellMar>
        <w:tblLook w:val="0000" w:firstRow="0" w:lastRow="0" w:firstColumn="0" w:lastColumn="0" w:noHBand="0" w:noVBand="0"/>
      </w:tblPr>
      <w:tblGrid>
        <w:gridCol w:w="1552"/>
        <w:gridCol w:w="1303"/>
        <w:gridCol w:w="1303"/>
        <w:gridCol w:w="1303"/>
        <w:gridCol w:w="1303"/>
        <w:gridCol w:w="7"/>
        <w:gridCol w:w="1303"/>
        <w:gridCol w:w="1300"/>
      </w:tblGrid>
      <w:tr w:rsidR="00E2476B" w14:paraId="022BE0D1" w14:textId="77777777" w:rsidTr="0018419C">
        <w:trPr>
          <w:tblHeader/>
          <w:jc w:val="center"/>
        </w:trPr>
        <w:tc>
          <w:tcPr>
            <w:tcW w:w="155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5B3273E8" w14:textId="77777777" w:rsidR="00E2476B" w:rsidRDefault="00E2476B" w:rsidP="0018419C">
            <w:pPr>
              <w:pStyle w:val="Standard"/>
              <w:spacing w:before="40" w:after="40"/>
              <w:ind w:left="100" w:right="100"/>
              <w:rPr>
                <w:rFonts w:ascii="Arial" w:eastAsia="Arial" w:hAnsi="Arial" w:cs="Arial"/>
                <w:color w:val="000000"/>
                <w:sz w:val="14"/>
                <w:szCs w:val="14"/>
              </w:rPr>
            </w:pPr>
          </w:p>
        </w:tc>
        <w:tc>
          <w:tcPr>
            <w:tcW w:w="3921"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995705C"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Virage LGBT — Femmes</w:t>
            </w:r>
          </w:p>
        </w:tc>
        <w:tc>
          <w:tcPr>
            <w:tcW w:w="3925" w:type="dxa"/>
            <w:gridSpan w:val="4"/>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5045489"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Virage LGBT — Hommes</w:t>
            </w:r>
          </w:p>
        </w:tc>
      </w:tr>
      <w:tr w:rsidR="00E2476B" w14:paraId="480694C0" w14:textId="77777777" w:rsidTr="0018419C">
        <w:trPr>
          <w:tblHeader/>
          <w:jc w:val="center"/>
        </w:trPr>
        <w:tc>
          <w:tcPr>
            <w:tcW w:w="155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685C6B9E" w14:textId="77777777" w:rsidR="00E2476B" w:rsidRDefault="00E2476B" w:rsidP="0018419C">
            <w:pPr>
              <w:pStyle w:val="Standard"/>
              <w:spacing w:before="40" w:after="40"/>
              <w:ind w:left="100" w:right="100"/>
              <w:rPr>
                <w:rFonts w:ascii="Arial" w:eastAsia="Arial" w:hAnsi="Arial" w:cs="Arial"/>
                <w:color w:val="000000"/>
                <w:sz w:val="14"/>
                <w:szCs w:val="14"/>
              </w:rPr>
            </w:pPr>
          </w:p>
        </w:tc>
        <w:tc>
          <w:tcPr>
            <w:tcW w:w="130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C99875C"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Homo en couple</w:t>
            </w:r>
            <w:r>
              <w:rPr>
                <w:rFonts w:ascii="Arial" w:eastAsia="Arial" w:hAnsi="Arial" w:cs="Arial"/>
                <w:color w:val="000000"/>
                <w:sz w:val="14"/>
                <w:szCs w:val="14"/>
              </w:rPr>
              <w:br/>
              <w:t>(1 170)</w:t>
            </w:r>
            <w:r>
              <w:rPr>
                <w:rFonts w:ascii="Arial" w:eastAsia="Arial" w:hAnsi="Arial" w:cs="Arial"/>
                <w:color w:val="000000"/>
                <w:sz w:val="14"/>
                <w:szCs w:val="14"/>
                <w:vertAlign w:val="superscript"/>
              </w:rPr>
              <w:t>1</w:t>
            </w:r>
          </w:p>
        </w:tc>
        <w:tc>
          <w:tcPr>
            <w:tcW w:w="130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8EAA1AC"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Bi en couple de même sexe</w:t>
            </w:r>
            <w:r>
              <w:rPr>
                <w:rFonts w:ascii="Arial" w:eastAsia="Arial" w:hAnsi="Arial" w:cs="Arial"/>
                <w:color w:val="000000"/>
                <w:sz w:val="14"/>
                <w:szCs w:val="14"/>
              </w:rPr>
              <w:br/>
              <w:t>(162)</w:t>
            </w:r>
            <w:r>
              <w:rPr>
                <w:rFonts w:ascii="Arial" w:eastAsia="Arial" w:hAnsi="Arial" w:cs="Arial"/>
                <w:color w:val="000000"/>
                <w:sz w:val="14"/>
                <w:szCs w:val="14"/>
                <w:vertAlign w:val="superscript"/>
              </w:rPr>
              <w:t>1</w:t>
            </w:r>
          </w:p>
        </w:tc>
        <w:tc>
          <w:tcPr>
            <w:tcW w:w="130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C4927BE"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Bi en couple de sexe différent</w:t>
            </w:r>
            <w:r>
              <w:rPr>
                <w:rFonts w:ascii="Arial" w:eastAsia="Arial" w:hAnsi="Arial" w:cs="Arial"/>
                <w:color w:val="000000"/>
                <w:sz w:val="14"/>
                <w:szCs w:val="14"/>
              </w:rPr>
              <w:br/>
              <w:t>(108)</w:t>
            </w:r>
            <w:r>
              <w:rPr>
                <w:rFonts w:ascii="Arial" w:eastAsia="Arial" w:hAnsi="Arial" w:cs="Arial"/>
                <w:color w:val="000000"/>
                <w:sz w:val="14"/>
                <w:szCs w:val="14"/>
                <w:vertAlign w:val="superscript"/>
              </w:rPr>
              <w:t>1</w:t>
            </w:r>
          </w:p>
        </w:tc>
        <w:tc>
          <w:tcPr>
            <w:tcW w:w="1314"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D8658D8"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Homo en couple</w:t>
            </w:r>
            <w:r>
              <w:rPr>
                <w:rFonts w:ascii="Arial" w:eastAsia="Arial" w:hAnsi="Arial" w:cs="Arial"/>
                <w:color w:val="000000"/>
                <w:sz w:val="14"/>
                <w:szCs w:val="14"/>
              </w:rPr>
              <w:br/>
              <w:t>(1 244)</w:t>
            </w:r>
            <w:r>
              <w:rPr>
                <w:rFonts w:ascii="Arial" w:eastAsia="Arial" w:hAnsi="Arial" w:cs="Arial"/>
                <w:color w:val="000000"/>
                <w:sz w:val="14"/>
                <w:szCs w:val="14"/>
                <w:vertAlign w:val="superscript"/>
              </w:rPr>
              <w:t>1</w:t>
            </w:r>
          </w:p>
        </w:tc>
        <w:tc>
          <w:tcPr>
            <w:tcW w:w="130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60B58D8"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Bi en couple de même sexe</w:t>
            </w:r>
            <w:r>
              <w:rPr>
                <w:rFonts w:ascii="Arial" w:eastAsia="Arial" w:hAnsi="Arial" w:cs="Arial"/>
                <w:color w:val="000000"/>
                <w:sz w:val="14"/>
                <w:szCs w:val="14"/>
              </w:rPr>
              <w:br/>
              <w:t>(33)</w:t>
            </w:r>
            <w:r>
              <w:rPr>
                <w:rFonts w:ascii="Arial" w:eastAsia="Arial" w:hAnsi="Arial" w:cs="Arial"/>
                <w:color w:val="000000"/>
                <w:sz w:val="14"/>
                <w:szCs w:val="14"/>
                <w:vertAlign w:val="superscript"/>
              </w:rPr>
              <w:t>1</w:t>
            </w:r>
          </w:p>
        </w:tc>
        <w:tc>
          <w:tcPr>
            <w:tcW w:w="1304"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C5C3269"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Bi en couple de sexe différent</w:t>
            </w:r>
            <w:r>
              <w:rPr>
                <w:rFonts w:ascii="Arial" w:eastAsia="Arial" w:hAnsi="Arial" w:cs="Arial"/>
                <w:color w:val="000000"/>
                <w:sz w:val="14"/>
                <w:szCs w:val="14"/>
              </w:rPr>
              <w:br/>
              <w:t>(76)</w:t>
            </w:r>
            <w:r>
              <w:rPr>
                <w:rFonts w:ascii="Arial" w:eastAsia="Arial" w:hAnsi="Arial" w:cs="Arial"/>
                <w:color w:val="000000"/>
                <w:sz w:val="14"/>
                <w:szCs w:val="14"/>
                <w:vertAlign w:val="superscript"/>
              </w:rPr>
              <w:t>1</w:t>
            </w:r>
          </w:p>
        </w:tc>
      </w:tr>
      <w:tr w:rsidR="00E2476B" w14:paraId="7B2DAAD1" w14:textId="77777777" w:rsidTr="0018419C">
        <w:trPr>
          <w:jc w:val="center"/>
        </w:trPr>
        <w:tc>
          <w:tcPr>
            <w:tcW w:w="9404" w:type="dxa"/>
            <w:gridSpan w:val="8"/>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3F8562D7"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Répartition tâches ménagères</w:t>
            </w:r>
          </w:p>
        </w:tc>
      </w:tr>
      <w:tr w:rsidR="00E2476B" w14:paraId="119D60CF"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21FF1687" w14:textId="77777777" w:rsidR="00E2476B" w:rsidRDefault="00E2476B" w:rsidP="0018419C">
            <w:pPr>
              <w:pStyle w:val="Standard"/>
              <w:spacing w:before="100" w:after="100"/>
              <w:ind w:left="102" w:right="102"/>
            </w:pPr>
            <w:r>
              <w:rPr>
                <w:rFonts w:ascii="Arial" w:eastAsia="Arial" w:hAnsi="Arial" w:cs="Arial"/>
                <w:color w:val="000000"/>
                <w:sz w:val="14"/>
                <w:szCs w:val="14"/>
              </w:rPr>
              <w:t>Vous avez pris en charge l'essentiel des tâches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2100399"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12,0%</w:t>
            </w:r>
            <w:r>
              <w:rPr>
                <w:rFonts w:ascii="Arial" w:eastAsia="Arial" w:hAnsi="Arial" w:cs="Arial"/>
                <w:color w:val="000000"/>
                <w:sz w:val="14"/>
                <w:szCs w:val="14"/>
              </w:rPr>
              <w:br/>
              <w:t>(140)</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B66D42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10,5%</w:t>
            </w:r>
            <w:r>
              <w:rPr>
                <w:rFonts w:ascii="Arial" w:eastAsia="Arial" w:hAnsi="Arial" w:cs="Arial"/>
                <w:color w:val="000000"/>
                <w:sz w:val="14"/>
                <w:szCs w:val="14"/>
              </w:rPr>
              <w:br/>
              <w:t>(17)</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2E5D8A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25,9%</w:t>
            </w:r>
            <w:r>
              <w:rPr>
                <w:rFonts w:ascii="Arial" w:eastAsia="Arial" w:hAnsi="Arial" w:cs="Arial"/>
                <w:color w:val="000000"/>
                <w:sz w:val="14"/>
                <w:szCs w:val="14"/>
              </w:rPr>
              <w:br/>
              <w:t>(28)</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06B440A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14,9%</w:t>
            </w:r>
            <w:r>
              <w:rPr>
                <w:rFonts w:ascii="Arial" w:eastAsia="Arial" w:hAnsi="Arial" w:cs="Arial"/>
                <w:color w:val="000000"/>
                <w:sz w:val="14"/>
                <w:szCs w:val="14"/>
              </w:rPr>
              <w:br/>
              <w:t>(185)</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4C2107EE"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12,1%</w:t>
            </w:r>
            <w:r>
              <w:rPr>
                <w:rFonts w:ascii="Arial" w:eastAsia="Arial" w:hAnsi="Arial" w:cs="Arial"/>
                <w:color w:val="000000"/>
                <w:sz w:val="14"/>
                <w:szCs w:val="14"/>
              </w:rPr>
              <w:br/>
              <w:t>(4)</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2A3A175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7,9%</w:t>
            </w:r>
            <w:r>
              <w:rPr>
                <w:rFonts w:ascii="Arial" w:eastAsia="Arial" w:hAnsi="Arial" w:cs="Arial"/>
                <w:color w:val="000000"/>
                <w:sz w:val="14"/>
                <w:szCs w:val="14"/>
              </w:rPr>
              <w:br/>
              <w:t>(6)</w:t>
            </w:r>
          </w:p>
        </w:tc>
      </w:tr>
      <w:tr w:rsidR="00E2476B" w14:paraId="47EBF893"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5D97ABA1" w14:textId="77777777" w:rsidR="00E2476B" w:rsidRDefault="00E2476B" w:rsidP="0018419C">
            <w:pPr>
              <w:pStyle w:val="Standard"/>
              <w:spacing w:before="100" w:after="100"/>
              <w:ind w:left="102" w:right="102"/>
            </w:pPr>
            <w:r>
              <w:rPr>
                <w:rFonts w:ascii="Arial" w:eastAsia="Arial" w:hAnsi="Arial" w:cs="Arial"/>
                <w:color w:val="000000"/>
                <w:sz w:val="14"/>
                <w:szCs w:val="14"/>
              </w:rPr>
              <w:t xml:space="preserve">Les tâches ont été partagées avec votre </w:t>
            </w:r>
            <w:proofErr w:type="spellStart"/>
            <w:r>
              <w:rPr>
                <w:rFonts w:ascii="Arial" w:eastAsia="Arial" w:hAnsi="Arial" w:cs="Arial"/>
                <w:color w:val="000000"/>
                <w:sz w:val="14"/>
                <w:szCs w:val="14"/>
              </w:rPr>
              <w:t>conjoint∙e</w:t>
            </w:r>
            <w:proofErr w:type="spellEnd"/>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EA035C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75,6%</w:t>
            </w:r>
            <w:r>
              <w:rPr>
                <w:rFonts w:ascii="Arial" w:eastAsia="Arial" w:hAnsi="Arial" w:cs="Arial"/>
                <w:color w:val="000000"/>
                <w:sz w:val="14"/>
                <w:szCs w:val="14"/>
              </w:rPr>
              <w:br/>
              <w:t>(884)</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033CCC0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77,8%</w:t>
            </w:r>
            <w:r>
              <w:rPr>
                <w:rFonts w:ascii="Arial" w:eastAsia="Arial" w:hAnsi="Arial" w:cs="Arial"/>
                <w:color w:val="000000"/>
                <w:sz w:val="14"/>
                <w:szCs w:val="14"/>
              </w:rPr>
              <w:br/>
              <w:t>(126)</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E6CA24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56,5%</w:t>
            </w:r>
            <w:r>
              <w:rPr>
                <w:rFonts w:ascii="Arial" w:eastAsia="Arial" w:hAnsi="Arial" w:cs="Arial"/>
                <w:color w:val="000000"/>
                <w:sz w:val="14"/>
                <w:szCs w:val="14"/>
              </w:rPr>
              <w:br/>
              <w:t>(61)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389A674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67,7%</w:t>
            </w:r>
            <w:r>
              <w:rPr>
                <w:rFonts w:ascii="Arial" w:eastAsia="Arial" w:hAnsi="Arial" w:cs="Arial"/>
                <w:color w:val="000000"/>
                <w:sz w:val="14"/>
                <w:szCs w:val="14"/>
              </w:rPr>
              <w:br/>
              <w:t>(842)</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16798F8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72,7%</w:t>
            </w:r>
            <w:r>
              <w:rPr>
                <w:rFonts w:ascii="Arial" w:eastAsia="Arial" w:hAnsi="Arial" w:cs="Arial"/>
                <w:color w:val="000000"/>
                <w:sz w:val="14"/>
                <w:szCs w:val="14"/>
              </w:rPr>
              <w:br/>
              <w:t>(24)</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5082E084"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51,3%</w:t>
            </w:r>
            <w:r>
              <w:rPr>
                <w:rFonts w:ascii="Arial" w:eastAsia="Arial" w:hAnsi="Arial" w:cs="Arial"/>
                <w:color w:val="000000"/>
                <w:sz w:val="14"/>
                <w:szCs w:val="14"/>
              </w:rPr>
              <w:br/>
              <w:t>(39)</w:t>
            </w:r>
          </w:p>
        </w:tc>
      </w:tr>
      <w:tr w:rsidR="00E2476B" w14:paraId="4AEBC3F6"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42AC0A53" w14:textId="77777777" w:rsidR="00E2476B" w:rsidRDefault="00E2476B" w:rsidP="0018419C">
            <w:pPr>
              <w:pStyle w:val="Standard"/>
              <w:spacing w:before="100" w:after="100"/>
              <w:ind w:left="102" w:right="102"/>
            </w:pPr>
            <w:r>
              <w:rPr>
                <w:rFonts w:ascii="Arial" w:eastAsia="Arial" w:hAnsi="Arial" w:cs="Arial"/>
                <w:color w:val="000000"/>
                <w:sz w:val="14"/>
                <w:szCs w:val="14"/>
              </w:rPr>
              <w:lastRenderedPageBreak/>
              <w:t xml:space="preserve">Votre </w:t>
            </w:r>
            <w:proofErr w:type="spellStart"/>
            <w:r>
              <w:rPr>
                <w:rFonts w:ascii="Arial" w:eastAsia="Arial" w:hAnsi="Arial" w:cs="Arial"/>
                <w:color w:val="000000"/>
                <w:sz w:val="14"/>
                <w:szCs w:val="14"/>
              </w:rPr>
              <w:t>conjoint∙e</w:t>
            </w:r>
            <w:proofErr w:type="spellEnd"/>
            <w:r>
              <w:rPr>
                <w:rFonts w:ascii="Arial" w:eastAsia="Arial" w:hAnsi="Arial" w:cs="Arial"/>
                <w:color w:val="000000"/>
                <w:sz w:val="14"/>
                <w:szCs w:val="14"/>
              </w:rPr>
              <w:t xml:space="preserve"> a pris en charge l'essentiel des tâches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D14F3B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10,9%</w:t>
            </w:r>
            <w:r>
              <w:rPr>
                <w:rFonts w:ascii="Arial" w:eastAsia="Arial" w:hAnsi="Arial" w:cs="Arial"/>
                <w:color w:val="000000"/>
                <w:sz w:val="14"/>
                <w:szCs w:val="14"/>
              </w:rPr>
              <w:br/>
              <w:t>(128)</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07D653A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11,1%</w:t>
            </w:r>
            <w:r>
              <w:rPr>
                <w:rFonts w:ascii="Arial" w:eastAsia="Arial" w:hAnsi="Arial" w:cs="Arial"/>
                <w:color w:val="000000"/>
                <w:sz w:val="14"/>
                <w:szCs w:val="14"/>
              </w:rPr>
              <w:br/>
              <w:t>(18)</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452F80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14,8%</w:t>
            </w:r>
            <w:r>
              <w:rPr>
                <w:rFonts w:ascii="Arial" w:eastAsia="Arial" w:hAnsi="Arial" w:cs="Arial"/>
                <w:color w:val="000000"/>
                <w:sz w:val="14"/>
                <w:szCs w:val="14"/>
              </w:rPr>
              <w:br/>
              <w:t>(16)</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3E028C7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12,2%</w:t>
            </w:r>
            <w:r>
              <w:rPr>
                <w:rFonts w:ascii="Arial" w:eastAsia="Arial" w:hAnsi="Arial" w:cs="Arial"/>
                <w:color w:val="000000"/>
                <w:sz w:val="14"/>
                <w:szCs w:val="14"/>
              </w:rPr>
              <w:br/>
              <w:t>(152)</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02D2D21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12,1%</w:t>
            </w:r>
            <w:r>
              <w:rPr>
                <w:rFonts w:ascii="Arial" w:eastAsia="Arial" w:hAnsi="Arial" w:cs="Arial"/>
                <w:color w:val="000000"/>
                <w:sz w:val="14"/>
                <w:szCs w:val="14"/>
              </w:rPr>
              <w:br/>
              <w:t>(4)</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6CD1E284"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34,2%</w:t>
            </w:r>
            <w:r>
              <w:rPr>
                <w:rFonts w:ascii="Arial" w:eastAsia="Arial" w:hAnsi="Arial" w:cs="Arial"/>
                <w:color w:val="000000"/>
                <w:sz w:val="14"/>
                <w:szCs w:val="14"/>
              </w:rPr>
              <w:br/>
              <w:t>(26)</w:t>
            </w:r>
          </w:p>
        </w:tc>
      </w:tr>
      <w:tr w:rsidR="00E2476B" w14:paraId="7FBC0B5E"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51C99566" w14:textId="77777777" w:rsidR="00E2476B" w:rsidRDefault="00E2476B" w:rsidP="0018419C">
            <w:pPr>
              <w:pStyle w:val="Standard"/>
              <w:spacing w:before="100" w:after="100"/>
              <w:ind w:left="102" w:right="102"/>
            </w:pPr>
            <w:r>
              <w:rPr>
                <w:rFonts w:ascii="Arial" w:eastAsia="Arial" w:hAnsi="Arial" w:cs="Arial"/>
                <w:color w:val="000000"/>
                <w:sz w:val="14"/>
                <w:szCs w:val="14"/>
              </w:rPr>
              <w:t>Une autre personne s'occupe des tâches ménagères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3D754C8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1,5%</w:t>
            </w:r>
            <w:r>
              <w:rPr>
                <w:rFonts w:ascii="Arial" w:eastAsia="Arial" w:hAnsi="Arial" w:cs="Arial"/>
                <w:color w:val="000000"/>
                <w:sz w:val="14"/>
                <w:szCs w:val="14"/>
              </w:rPr>
              <w:br/>
              <w:t>(17)</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8050AF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0,6%</w:t>
            </w:r>
            <w:r>
              <w:rPr>
                <w:rFonts w:ascii="Arial" w:eastAsia="Arial" w:hAnsi="Arial" w:cs="Arial"/>
                <w:color w:val="000000"/>
                <w:sz w:val="14"/>
                <w:szCs w:val="14"/>
              </w:rPr>
              <w:br/>
              <w:t>(1)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4837E1A"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2,8%</w:t>
            </w:r>
            <w:r>
              <w:rPr>
                <w:rFonts w:ascii="Arial" w:eastAsia="Arial" w:hAnsi="Arial" w:cs="Arial"/>
                <w:color w:val="000000"/>
                <w:sz w:val="14"/>
                <w:szCs w:val="14"/>
              </w:rPr>
              <w:br/>
              <w:t>(3)</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3897E64"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5,1%</w:t>
            </w:r>
            <w:r>
              <w:rPr>
                <w:rFonts w:ascii="Arial" w:eastAsia="Arial" w:hAnsi="Arial" w:cs="Arial"/>
                <w:color w:val="000000"/>
                <w:sz w:val="14"/>
                <w:szCs w:val="14"/>
              </w:rPr>
              <w:br/>
              <w:t>(64)</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5CC29F1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3,0%</w:t>
            </w:r>
            <w:r>
              <w:rPr>
                <w:rFonts w:ascii="Arial" w:eastAsia="Arial" w:hAnsi="Arial" w:cs="Arial"/>
                <w:color w:val="000000"/>
                <w:sz w:val="14"/>
                <w:szCs w:val="14"/>
              </w:rPr>
              <w:br/>
              <w:t>(1)</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315E0A4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6,6%</w:t>
            </w:r>
            <w:r>
              <w:rPr>
                <w:rFonts w:ascii="Arial" w:eastAsia="Arial" w:hAnsi="Arial" w:cs="Arial"/>
                <w:color w:val="000000"/>
                <w:sz w:val="14"/>
                <w:szCs w:val="14"/>
              </w:rPr>
              <w:br/>
              <w:t>(5)</w:t>
            </w:r>
          </w:p>
        </w:tc>
      </w:tr>
      <w:tr w:rsidR="00E2476B" w14:paraId="6E80C83A"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6C0D1858"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P-valeur</w:t>
            </w:r>
          </w:p>
        </w:tc>
        <w:tc>
          <w:tcPr>
            <w:tcW w:w="3921"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4D6BEA4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&lt;0,001</w:t>
            </w:r>
            <w:r>
              <w:rPr>
                <w:rFonts w:ascii="Arial" w:eastAsia="Arial" w:hAnsi="Arial" w:cs="Arial"/>
                <w:color w:val="000000"/>
                <w:sz w:val="14"/>
                <w:szCs w:val="14"/>
                <w:vertAlign w:val="superscript"/>
              </w:rPr>
              <w:t>2</w:t>
            </w:r>
          </w:p>
        </w:tc>
        <w:tc>
          <w:tcPr>
            <w:tcW w:w="3925" w:type="dxa"/>
            <w:gridSpan w:val="4"/>
            <w:tcBorders>
              <w:left w:val="single" w:sz="4" w:space="0" w:color="000000"/>
              <w:right w:val="single" w:sz="12" w:space="0" w:color="000000"/>
            </w:tcBorders>
            <w:shd w:val="clear" w:color="auto" w:fill="FFFFFF"/>
            <w:tcMar>
              <w:top w:w="0" w:type="dxa"/>
              <w:left w:w="0" w:type="dxa"/>
              <w:bottom w:w="0" w:type="dxa"/>
              <w:right w:w="0" w:type="dxa"/>
            </w:tcMar>
          </w:tcPr>
          <w:p w14:paraId="40072E1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&lt;0,001</w:t>
            </w:r>
            <w:r>
              <w:rPr>
                <w:rFonts w:ascii="Arial" w:eastAsia="Arial" w:hAnsi="Arial" w:cs="Arial"/>
                <w:color w:val="000000"/>
                <w:sz w:val="14"/>
                <w:szCs w:val="14"/>
                <w:vertAlign w:val="superscript"/>
              </w:rPr>
              <w:t>2</w:t>
            </w:r>
          </w:p>
        </w:tc>
      </w:tr>
      <w:tr w:rsidR="00E2476B" w14:paraId="383A6D3B" w14:textId="77777777" w:rsidTr="0018419C">
        <w:trPr>
          <w:jc w:val="center"/>
        </w:trPr>
        <w:tc>
          <w:tcPr>
            <w:tcW w:w="9404" w:type="dxa"/>
            <w:gridSpan w:val="8"/>
            <w:tcBorders>
              <w:left w:val="single" w:sz="12" w:space="0" w:color="000000"/>
              <w:right w:val="single" w:sz="12" w:space="0" w:color="000000"/>
            </w:tcBorders>
            <w:shd w:val="clear" w:color="auto" w:fill="FFFFFF"/>
            <w:tcMar>
              <w:top w:w="0" w:type="dxa"/>
              <w:left w:w="0" w:type="dxa"/>
              <w:bottom w:w="0" w:type="dxa"/>
              <w:right w:w="0" w:type="dxa"/>
            </w:tcMar>
          </w:tcPr>
          <w:p w14:paraId="5D8E5407"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Répartition tâches enfants foyer</w:t>
            </w:r>
          </w:p>
        </w:tc>
      </w:tr>
      <w:tr w:rsidR="00E2476B" w14:paraId="0C667861"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347D3E5C" w14:textId="77777777" w:rsidR="00E2476B" w:rsidRDefault="00E2476B" w:rsidP="0018419C">
            <w:pPr>
              <w:pStyle w:val="Standard"/>
              <w:spacing w:before="100" w:after="100"/>
              <w:ind w:left="102" w:right="102"/>
            </w:pPr>
            <w:r>
              <w:rPr>
                <w:rFonts w:ascii="Arial" w:eastAsia="Arial" w:hAnsi="Arial" w:cs="Arial"/>
                <w:color w:val="000000"/>
                <w:sz w:val="14"/>
                <w:szCs w:val="14"/>
              </w:rPr>
              <w:t>Vous avez pris en charge l'essentiel des tâches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3CE25AA"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13,2%</w:t>
            </w:r>
            <w:r>
              <w:rPr>
                <w:rFonts w:ascii="Arial" w:eastAsia="Arial" w:hAnsi="Arial" w:cs="Arial"/>
                <w:color w:val="000000"/>
                <w:sz w:val="14"/>
                <w:szCs w:val="14"/>
              </w:rPr>
              <w:br/>
              <w:t>(32)</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687C73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24,0%</w:t>
            </w:r>
            <w:r>
              <w:rPr>
                <w:rFonts w:ascii="Arial" w:eastAsia="Arial" w:hAnsi="Arial" w:cs="Arial"/>
                <w:color w:val="000000"/>
                <w:sz w:val="14"/>
                <w:szCs w:val="14"/>
              </w:rPr>
              <w:br/>
              <w:t>(6)</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31F28EB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31,3%</w:t>
            </w:r>
            <w:r>
              <w:rPr>
                <w:rFonts w:ascii="Arial" w:eastAsia="Arial" w:hAnsi="Arial" w:cs="Arial"/>
                <w:color w:val="000000"/>
                <w:sz w:val="14"/>
                <w:szCs w:val="14"/>
              </w:rPr>
              <w:br/>
              <w:t>(5)</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15A582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15,6%</w:t>
            </w:r>
            <w:r>
              <w:rPr>
                <w:rFonts w:ascii="Arial" w:eastAsia="Arial" w:hAnsi="Arial" w:cs="Arial"/>
                <w:color w:val="000000"/>
                <w:sz w:val="14"/>
                <w:szCs w:val="14"/>
              </w:rPr>
              <w:br/>
              <w:t>(12)</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41F591A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04E2D08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r>
      <w:tr w:rsidR="00E2476B" w14:paraId="7EBBF2CB"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5224D098" w14:textId="77777777" w:rsidR="00E2476B" w:rsidRDefault="00E2476B" w:rsidP="0018419C">
            <w:pPr>
              <w:pStyle w:val="Standard"/>
              <w:spacing w:before="100" w:after="100"/>
              <w:ind w:left="102" w:right="102"/>
            </w:pPr>
            <w:r>
              <w:rPr>
                <w:rFonts w:ascii="Arial" w:eastAsia="Arial" w:hAnsi="Arial" w:cs="Arial"/>
                <w:color w:val="000000"/>
                <w:sz w:val="14"/>
                <w:szCs w:val="14"/>
              </w:rPr>
              <w:t xml:space="preserve">Les tâches ont été partagées avec votre </w:t>
            </w:r>
            <w:proofErr w:type="spellStart"/>
            <w:r>
              <w:rPr>
                <w:rFonts w:ascii="Arial" w:eastAsia="Arial" w:hAnsi="Arial" w:cs="Arial"/>
                <w:color w:val="000000"/>
                <w:sz w:val="14"/>
                <w:szCs w:val="14"/>
              </w:rPr>
              <w:t>conjoint∙e</w:t>
            </w:r>
            <w:proofErr w:type="spellEnd"/>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6963294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70,4%</w:t>
            </w:r>
            <w:r>
              <w:rPr>
                <w:rFonts w:ascii="Arial" w:eastAsia="Arial" w:hAnsi="Arial" w:cs="Arial"/>
                <w:color w:val="000000"/>
                <w:sz w:val="14"/>
                <w:szCs w:val="14"/>
              </w:rPr>
              <w:br/>
              <w:t>(171)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C32EB9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68,0%</w:t>
            </w:r>
            <w:r>
              <w:rPr>
                <w:rFonts w:ascii="Arial" w:eastAsia="Arial" w:hAnsi="Arial" w:cs="Arial"/>
                <w:color w:val="000000"/>
                <w:sz w:val="14"/>
                <w:szCs w:val="14"/>
              </w:rPr>
              <w:br/>
              <w:t>(17)</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6884200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62,5%</w:t>
            </w:r>
            <w:r>
              <w:rPr>
                <w:rFonts w:ascii="Arial" w:eastAsia="Arial" w:hAnsi="Arial" w:cs="Arial"/>
                <w:color w:val="000000"/>
                <w:sz w:val="14"/>
                <w:szCs w:val="14"/>
              </w:rPr>
              <w:br/>
              <w:t>(10)</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2FCD53C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75,3%</w:t>
            </w:r>
            <w:r>
              <w:rPr>
                <w:rFonts w:ascii="Arial" w:eastAsia="Arial" w:hAnsi="Arial" w:cs="Arial"/>
                <w:color w:val="000000"/>
                <w:sz w:val="14"/>
                <w:szCs w:val="14"/>
              </w:rPr>
              <w:br/>
              <w:t>(58)</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7314E69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100,0%</w:t>
            </w:r>
            <w:r>
              <w:rPr>
                <w:rFonts w:ascii="Arial" w:eastAsia="Arial" w:hAnsi="Arial" w:cs="Arial"/>
                <w:color w:val="000000"/>
                <w:sz w:val="14"/>
                <w:szCs w:val="14"/>
              </w:rPr>
              <w:br/>
              <w:t>(1)</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03DE35A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68,2%</w:t>
            </w:r>
            <w:r>
              <w:rPr>
                <w:rFonts w:ascii="Arial" w:eastAsia="Arial" w:hAnsi="Arial" w:cs="Arial"/>
                <w:color w:val="000000"/>
                <w:sz w:val="14"/>
                <w:szCs w:val="14"/>
              </w:rPr>
              <w:br/>
              <w:t>(15)</w:t>
            </w:r>
          </w:p>
        </w:tc>
      </w:tr>
      <w:tr w:rsidR="00E2476B" w14:paraId="17938844"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0B5E5461" w14:textId="77777777" w:rsidR="00E2476B" w:rsidRDefault="00E2476B" w:rsidP="0018419C">
            <w:pPr>
              <w:pStyle w:val="Standard"/>
              <w:spacing w:before="100" w:after="100"/>
              <w:ind w:left="102" w:right="102"/>
            </w:pPr>
            <w:r>
              <w:rPr>
                <w:rFonts w:ascii="Arial" w:eastAsia="Arial" w:hAnsi="Arial" w:cs="Arial"/>
                <w:color w:val="000000"/>
                <w:sz w:val="14"/>
                <w:szCs w:val="14"/>
              </w:rPr>
              <w:t xml:space="preserve">Votre </w:t>
            </w:r>
            <w:proofErr w:type="spellStart"/>
            <w:r>
              <w:rPr>
                <w:rFonts w:ascii="Arial" w:eastAsia="Arial" w:hAnsi="Arial" w:cs="Arial"/>
                <w:color w:val="000000"/>
                <w:sz w:val="14"/>
                <w:szCs w:val="14"/>
              </w:rPr>
              <w:t>conjoint∙e</w:t>
            </w:r>
            <w:proofErr w:type="spellEnd"/>
            <w:r>
              <w:rPr>
                <w:rFonts w:ascii="Arial" w:eastAsia="Arial" w:hAnsi="Arial" w:cs="Arial"/>
                <w:color w:val="000000"/>
                <w:sz w:val="14"/>
                <w:szCs w:val="14"/>
              </w:rPr>
              <w:t xml:space="preserve"> a pris en charge l'essentiel des tâches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3CD7BFD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16,0%</w:t>
            </w:r>
            <w:r>
              <w:rPr>
                <w:rFonts w:ascii="Arial" w:eastAsia="Arial" w:hAnsi="Arial" w:cs="Arial"/>
                <w:color w:val="000000"/>
                <w:sz w:val="14"/>
                <w:szCs w:val="14"/>
              </w:rPr>
              <w:br/>
              <w:t>(39)</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3BE67FB4"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8,0%</w:t>
            </w:r>
            <w:r>
              <w:rPr>
                <w:rFonts w:ascii="Arial" w:eastAsia="Arial" w:hAnsi="Arial" w:cs="Arial"/>
                <w:color w:val="000000"/>
                <w:sz w:val="14"/>
                <w:szCs w:val="14"/>
              </w:rPr>
              <w:br/>
              <w:t>(2)</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14BE00D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83434B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5,2%</w:t>
            </w:r>
            <w:r>
              <w:rPr>
                <w:rFonts w:ascii="Arial" w:eastAsia="Arial" w:hAnsi="Arial" w:cs="Arial"/>
                <w:color w:val="000000"/>
                <w:sz w:val="14"/>
                <w:szCs w:val="14"/>
              </w:rPr>
              <w:br/>
              <w:t>(4)</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5D82CA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31369F8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31,8%</w:t>
            </w:r>
            <w:r>
              <w:rPr>
                <w:rFonts w:ascii="Arial" w:eastAsia="Arial" w:hAnsi="Arial" w:cs="Arial"/>
                <w:color w:val="000000"/>
                <w:sz w:val="14"/>
                <w:szCs w:val="14"/>
              </w:rPr>
              <w:br/>
              <w:t>(7)</w:t>
            </w:r>
          </w:p>
        </w:tc>
      </w:tr>
      <w:tr w:rsidR="00E2476B" w14:paraId="195649A6" w14:textId="77777777" w:rsidTr="0018419C">
        <w:trPr>
          <w:jc w:val="center"/>
        </w:trPr>
        <w:tc>
          <w:tcPr>
            <w:tcW w:w="1558" w:type="dxa"/>
            <w:tcBorders>
              <w:left w:val="single" w:sz="12" w:space="0" w:color="000000"/>
              <w:right w:val="single" w:sz="4" w:space="0" w:color="000000"/>
            </w:tcBorders>
            <w:shd w:val="clear" w:color="auto" w:fill="FFFFFF"/>
            <w:tcMar>
              <w:top w:w="0" w:type="dxa"/>
              <w:left w:w="0" w:type="dxa"/>
              <w:bottom w:w="0" w:type="dxa"/>
              <w:right w:w="0" w:type="dxa"/>
            </w:tcMar>
          </w:tcPr>
          <w:p w14:paraId="11DF5A58" w14:textId="77777777" w:rsidR="00E2476B" w:rsidRDefault="00E2476B" w:rsidP="0018419C">
            <w:pPr>
              <w:pStyle w:val="Standard"/>
              <w:spacing w:before="100" w:after="100"/>
              <w:ind w:left="102" w:right="102"/>
            </w:pPr>
            <w:r>
              <w:rPr>
                <w:rFonts w:ascii="Arial" w:eastAsia="Arial" w:hAnsi="Arial" w:cs="Arial"/>
                <w:color w:val="000000"/>
                <w:sz w:val="14"/>
                <w:szCs w:val="14"/>
              </w:rPr>
              <w:t>Une autre personne s'occupe des enfants</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409999F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0,4%</w:t>
            </w:r>
            <w:r>
              <w:rPr>
                <w:rFonts w:ascii="Arial" w:eastAsia="Arial" w:hAnsi="Arial" w:cs="Arial"/>
                <w:color w:val="000000"/>
                <w:sz w:val="14"/>
                <w:szCs w:val="14"/>
              </w:rPr>
              <w:br/>
              <w:t>(1)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5FB3805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044EDED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6,3%</w:t>
            </w:r>
            <w:r>
              <w:rPr>
                <w:rFonts w:ascii="Arial" w:eastAsia="Arial" w:hAnsi="Arial" w:cs="Arial"/>
                <w:color w:val="000000"/>
                <w:sz w:val="14"/>
                <w:szCs w:val="14"/>
              </w:rPr>
              <w:br/>
              <w:t>(1)</w:t>
            </w:r>
          </w:p>
        </w:tc>
        <w:tc>
          <w:tcPr>
            <w:tcW w:w="1307" w:type="dxa"/>
            <w:tcBorders>
              <w:left w:val="single" w:sz="4" w:space="0" w:color="000000"/>
              <w:right w:val="single" w:sz="4" w:space="0" w:color="000000"/>
            </w:tcBorders>
            <w:shd w:val="clear" w:color="auto" w:fill="FFFFFF"/>
            <w:tcMar>
              <w:top w:w="0" w:type="dxa"/>
              <w:left w:w="0" w:type="dxa"/>
              <w:bottom w:w="0" w:type="dxa"/>
              <w:right w:w="0" w:type="dxa"/>
            </w:tcMar>
          </w:tcPr>
          <w:p w14:paraId="60C702FE"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3,9%</w:t>
            </w:r>
            <w:r>
              <w:rPr>
                <w:rFonts w:ascii="Arial" w:eastAsia="Arial" w:hAnsi="Arial" w:cs="Arial"/>
                <w:color w:val="000000"/>
                <w:sz w:val="14"/>
                <w:szCs w:val="14"/>
              </w:rPr>
              <w:br/>
              <w:t>(3)</w:t>
            </w:r>
          </w:p>
        </w:tc>
        <w:tc>
          <w:tcPr>
            <w:tcW w:w="1314"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4DCAA8E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c>
          <w:tcPr>
            <w:tcW w:w="1304" w:type="dxa"/>
            <w:tcBorders>
              <w:left w:val="single" w:sz="4" w:space="0" w:color="000000"/>
              <w:right w:val="single" w:sz="12" w:space="0" w:color="000000"/>
            </w:tcBorders>
            <w:shd w:val="clear" w:color="auto" w:fill="FFFFFF"/>
            <w:tcMar>
              <w:top w:w="0" w:type="dxa"/>
              <w:left w:w="0" w:type="dxa"/>
              <w:bottom w:w="0" w:type="dxa"/>
              <w:right w:w="0" w:type="dxa"/>
            </w:tcMar>
          </w:tcPr>
          <w:p w14:paraId="72BEB5E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w:t>
            </w:r>
          </w:p>
        </w:tc>
      </w:tr>
      <w:tr w:rsidR="00E2476B" w14:paraId="1181F92B" w14:textId="77777777" w:rsidTr="0018419C">
        <w:trPr>
          <w:jc w:val="center"/>
        </w:trPr>
        <w:tc>
          <w:tcPr>
            <w:tcW w:w="1558"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1E542539" w14:textId="77777777" w:rsidR="00E2476B" w:rsidRDefault="00E2476B" w:rsidP="0018419C">
            <w:pPr>
              <w:pStyle w:val="Standard"/>
              <w:spacing w:before="100" w:after="100"/>
              <w:ind w:left="300" w:right="100"/>
            </w:pPr>
            <w:r>
              <w:rPr>
                <w:rFonts w:ascii="Arial" w:eastAsia="Arial" w:hAnsi="Arial" w:cs="Arial"/>
                <w:bCs/>
                <w:i/>
                <w:iCs/>
                <w:color w:val="000000"/>
                <w:sz w:val="14"/>
                <w:szCs w:val="14"/>
              </w:rPr>
              <w:t>P-valeur</w:t>
            </w:r>
          </w:p>
        </w:tc>
        <w:tc>
          <w:tcPr>
            <w:tcW w:w="3921"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1D24ACD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0,036</w:t>
            </w:r>
          </w:p>
        </w:tc>
        <w:tc>
          <w:tcPr>
            <w:tcW w:w="3925" w:type="dxa"/>
            <w:gridSpan w:val="4"/>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230853C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0,006</w:t>
            </w:r>
          </w:p>
        </w:tc>
      </w:tr>
      <w:tr w:rsidR="00E2476B" w14:paraId="5B03C540" w14:textId="77777777" w:rsidTr="0018419C">
        <w:trPr>
          <w:jc w:val="center"/>
        </w:trPr>
        <w:tc>
          <w:tcPr>
            <w:tcW w:w="9404" w:type="dxa"/>
            <w:gridSpan w:val="8"/>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240A93C"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entre parenthèses.</w:t>
            </w:r>
          </w:p>
          <w:p w14:paraId="45A928A1"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exact de Fisher.</w:t>
            </w:r>
          </w:p>
          <w:p w14:paraId="05888D6C"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Répondant∙es en couple cohabitant dans l'année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Virage LGBT : effectifs et pourcentages non pondérés.</w:t>
            </w:r>
          </w:p>
          <w:p w14:paraId="62A60F0C"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12% des femmes homosexuelles en couple cohabitant dans l'enquête Virage LGBT ont pris en charge l'essentiel des tâches ménagères.</w:t>
            </w:r>
          </w:p>
          <w:p w14:paraId="179C1CA6"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LGBT, Ined, 2015-2016.</w:t>
            </w:r>
          </w:p>
        </w:tc>
      </w:tr>
    </w:tbl>
    <w:p w14:paraId="3AB303E3" w14:textId="77777777" w:rsidR="00E2476B" w:rsidRDefault="00E2476B" w:rsidP="00E2476B">
      <w:pPr>
        <w:pStyle w:val="Textbody"/>
      </w:pPr>
      <w:r>
        <w:t xml:space="preserve">Ce tableau confirme l'hypothèse interprétative posée juste avant. Les femmes </w:t>
      </w:r>
      <w:proofErr w:type="spellStart"/>
      <w:r>
        <w:t>bies</w:t>
      </w:r>
      <w:proofErr w:type="spellEnd"/>
      <w:r>
        <w:t xml:space="preserve"> en couple de même sexe déclarent dans des proportions similaires (77,8% de tâches partagées) aux lesbiennes (75,6%) prendre en charge les tâches ménagères tandis que celles en couple de sexe différent le déclarent beaucoup plus souvent (56,5% de partage et 25,9% de prise en charge exclusive contre 10-12% pour les deux autres groupes). De même pour les hommes, ce sont les bis en couple de sexe différent qui déclarent le plus que leur conjointe a pris en charge l'essentiel des tâches.</w:t>
      </w:r>
    </w:p>
    <w:p w14:paraId="00A8FAED" w14:textId="77777777" w:rsidR="00E2476B" w:rsidRDefault="00E2476B" w:rsidP="00E2476B">
      <w:pPr>
        <w:pStyle w:val="Textbody"/>
      </w:pPr>
      <w:r>
        <w:t xml:space="preserve">Les tâches liées aux enfants vont dans le même sens, (31,3% bi-différent, 24,0% bi-même sexe, 13,2% homo pour la prise en charge exclusive), avec des </w:t>
      </w:r>
      <w:proofErr w:type="spellStart"/>
      <w:r>
        <w:t>bies</w:t>
      </w:r>
      <w:proofErr w:type="spellEnd"/>
      <w:r>
        <w:t xml:space="preserve"> en couple de même sexe qui déclarent plus souvent prendre en charge les enfants que les lesbiennes mais les effectifs sont ici extrêmement fragiles.  </w:t>
      </w:r>
    </w:p>
    <w:p w14:paraId="6DAF194E" w14:textId="77777777" w:rsidR="00E2476B" w:rsidRDefault="00E2476B" w:rsidP="00E2476B">
      <w:pPr>
        <w:pStyle w:val="Textbody"/>
      </w:pPr>
      <w:r>
        <w:t xml:space="preserve">Un fil rouge traverse nos différentes dimensions des styles de conjugalité : le type de couple (même sexe / sexe différent) structure les conjugalités des bisexuelles au-delà de l'identification. Les bisexuelles en couple avec un homme adhèrent moins à la fusion conjugale et se confient moins à </w:t>
      </w:r>
      <w:r>
        <w:lastRenderedPageBreak/>
        <w:t xml:space="preserve">leur partenaire que les hétérosexuelles, pouvant laisser penser à une vision autonome du couple.  Pourtant elles semblent porter une charge domestique et parentale similaire aux hétérosexuelles et supérieure aux </w:t>
      </w:r>
      <w:proofErr w:type="spellStart"/>
      <w:r>
        <w:t>bies</w:t>
      </w:r>
      <w:proofErr w:type="spellEnd"/>
      <w:r>
        <w:t xml:space="preserve"> en couple de même sexe dans l’échantillon LGBT. Les bisexuelles en couple de même sexe ont un style conjugal très proche des lesbiennes en couple. Chez les hommes bisexuels, les résultats sont moins évidents. Ils se confient moins, particulièrement en couple de même sexe. De plus ils semblent avoir une sociabilité amicale, familiale et extérieure réduite par rapport aux gays.   </w:t>
      </w:r>
    </w:p>
    <w:p w14:paraId="716AC2EA" w14:textId="77777777" w:rsidR="00E2476B" w:rsidRDefault="00E2476B" w:rsidP="00E2476B">
      <w:pPr>
        <w:pStyle w:val="Titre3"/>
      </w:pPr>
      <w:bookmarkStart w:id="69" w:name="__RefHeading___Toc52648_3216639541"/>
      <w:r>
        <w:t>Les représentations de la conjugalité des parents</w:t>
      </w:r>
      <w:bookmarkEnd w:id="69"/>
    </w:p>
    <w:p w14:paraId="27C480DF" w14:textId="77777777" w:rsidR="00E2476B" w:rsidRDefault="00E2476B" w:rsidP="00E2476B">
      <w:pPr>
        <w:pStyle w:val="Textbody"/>
      </w:pPr>
      <w:r>
        <w:t>Afin d'affiner la compréhension des styles de conjugalité des personnes bisexuelles il est légitime de se demander de quels modèles conjugaux et représentations de la conjugalité ont-elles héritées. Un ensemble de questions est posé sur la situation familiale dans l'enfance. Nous en reprenons certaines ici.</w:t>
      </w:r>
    </w:p>
    <w:p w14:paraId="3890BA36" w14:textId="77777777" w:rsidR="00E2476B" w:rsidRDefault="00E2476B" w:rsidP="00E2476B">
      <w:r>
        <w:t xml:space="preserve">Table 8 : Situation parentale et familiale dans l’enfance.   </w:t>
      </w:r>
    </w:p>
    <w:tbl>
      <w:tblPr>
        <w:tblW w:w="5000" w:type="pct"/>
        <w:jc w:val="center"/>
        <w:tblLayout w:type="fixed"/>
        <w:tblCellMar>
          <w:left w:w="10" w:type="dxa"/>
          <w:right w:w="10" w:type="dxa"/>
        </w:tblCellMar>
        <w:tblLook w:val="0000" w:firstRow="0" w:lastRow="0" w:firstColumn="0" w:lastColumn="0" w:noHBand="0" w:noVBand="0"/>
      </w:tblPr>
      <w:tblGrid>
        <w:gridCol w:w="1009"/>
        <w:gridCol w:w="835"/>
        <w:gridCol w:w="836"/>
        <w:gridCol w:w="836"/>
        <w:gridCol w:w="837"/>
        <w:gridCol w:w="837"/>
        <w:gridCol w:w="837"/>
        <w:gridCol w:w="836"/>
        <w:gridCol w:w="837"/>
        <w:gridCol w:w="836"/>
        <w:gridCol w:w="838"/>
      </w:tblGrid>
      <w:tr w:rsidR="00E2476B" w14:paraId="09A6CB9B" w14:textId="77777777" w:rsidTr="0018419C">
        <w:trPr>
          <w:tblHeader/>
          <w:jc w:val="center"/>
        </w:trPr>
        <w:tc>
          <w:tcPr>
            <w:tcW w:w="1011"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344833C" w14:textId="77777777" w:rsidR="00E2476B" w:rsidRDefault="00E2476B" w:rsidP="0018419C">
            <w:pPr>
              <w:pStyle w:val="Standard"/>
              <w:spacing w:before="40" w:after="40"/>
              <w:ind w:left="100" w:right="100"/>
              <w:rPr>
                <w:rFonts w:ascii="Arial" w:eastAsia="Arial" w:hAnsi="Arial" w:cs="Arial"/>
                <w:color w:val="000000"/>
                <w:sz w:val="14"/>
                <w:szCs w:val="14"/>
              </w:rPr>
            </w:pPr>
          </w:p>
        </w:tc>
        <w:tc>
          <w:tcPr>
            <w:tcW w:w="2516"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66B5191"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Virage PG — Femmes</w:t>
            </w:r>
          </w:p>
        </w:tc>
        <w:tc>
          <w:tcPr>
            <w:tcW w:w="2520"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E24E711"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Virage PG — Hommes</w:t>
            </w:r>
          </w:p>
        </w:tc>
        <w:tc>
          <w:tcPr>
            <w:tcW w:w="1679"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8C14447"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LGBT — Femmes</w:t>
            </w:r>
          </w:p>
        </w:tc>
        <w:tc>
          <w:tcPr>
            <w:tcW w:w="1680" w:type="dxa"/>
            <w:gridSpan w:val="2"/>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9652E1D"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LGBT — Hommes</w:t>
            </w:r>
          </w:p>
        </w:tc>
      </w:tr>
      <w:tr w:rsidR="00E2476B" w14:paraId="773A8837" w14:textId="77777777" w:rsidTr="0018419C">
        <w:trPr>
          <w:tblHeader/>
          <w:jc w:val="center"/>
        </w:trPr>
        <w:tc>
          <w:tcPr>
            <w:tcW w:w="1011"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5EDDAE35" w14:textId="77777777" w:rsidR="00E2476B" w:rsidRDefault="00E2476B" w:rsidP="0018419C">
            <w:pPr>
              <w:pStyle w:val="Standard"/>
              <w:spacing w:before="40" w:after="40"/>
              <w:ind w:left="100" w:right="100"/>
              <w:rPr>
                <w:rFonts w:ascii="Arial" w:eastAsia="Arial" w:hAnsi="Arial" w:cs="Arial"/>
                <w:color w:val="000000"/>
                <w:sz w:val="14"/>
                <w:szCs w:val="14"/>
              </w:rPr>
            </w:pPr>
          </w:p>
        </w:tc>
        <w:tc>
          <w:tcPr>
            <w:tcW w:w="838"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9710A3B"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Homo</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83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0A2779E"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Bi</w:t>
            </w:r>
            <w:r>
              <w:rPr>
                <w:rFonts w:ascii="Arial" w:eastAsia="Arial" w:hAnsi="Arial" w:cs="Arial"/>
                <w:color w:val="000000"/>
                <w:sz w:val="14"/>
                <w:szCs w:val="14"/>
              </w:rPr>
              <w:br/>
              <w:t>(135)</w:t>
            </w:r>
            <w:r>
              <w:rPr>
                <w:rFonts w:ascii="Arial" w:eastAsia="Arial" w:hAnsi="Arial" w:cs="Arial"/>
                <w:color w:val="000000"/>
                <w:sz w:val="14"/>
                <w:szCs w:val="14"/>
                <w:vertAlign w:val="superscript"/>
              </w:rPr>
              <w:t>1</w:t>
            </w:r>
          </w:p>
        </w:tc>
        <w:tc>
          <w:tcPr>
            <w:tcW w:w="83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3D39760"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Hétéro</w:t>
            </w:r>
            <w:r>
              <w:rPr>
                <w:rFonts w:ascii="Arial" w:eastAsia="Arial" w:hAnsi="Arial" w:cs="Arial"/>
                <w:color w:val="000000"/>
                <w:sz w:val="14"/>
                <w:szCs w:val="14"/>
              </w:rPr>
              <w:br/>
              <w:t>(15 297)</w:t>
            </w:r>
            <w:r>
              <w:rPr>
                <w:rFonts w:ascii="Arial" w:eastAsia="Arial" w:hAnsi="Arial" w:cs="Arial"/>
                <w:color w:val="000000"/>
                <w:sz w:val="14"/>
                <w:szCs w:val="14"/>
                <w:vertAlign w:val="superscript"/>
              </w:rPr>
              <w:t>1</w:t>
            </w:r>
          </w:p>
        </w:tc>
        <w:tc>
          <w:tcPr>
            <w:tcW w:w="84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76339CF"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Homo</w:t>
            </w:r>
            <w:r>
              <w:rPr>
                <w:rFonts w:ascii="Arial" w:eastAsia="Arial" w:hAnsi="Arial" w:cs="Arial"/>
                <w:color w:val="000000"/>
                <w:sz w:val="14"/>
                <w:szCs w:val="14"/>
              </w:rPr>
              <w:br/>
              <w:t>(180)</w:t>
            </w:r>
            <w:r>
              <w:rPr>
                <w:rFonts w:ascii="Arial" w:eastAsia="Arial" w:hAnsi="Arial" w:cs="Arial"/>
                <w:color w:val="000000"/>
                <w:sz w:val="14"/>
                <w:szCs w:val="14"/>
                <w:vertAlign w:val="superscript"/>
              </w:rPr>
              <w:t>1</w:t>
            </w:r>
          </w:p>
        </w:tc>
        <w:tc>
          <w:tcPr>
            <w:tcW w:w="84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4AD89D9"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Bi</w:t>
            </w:r>
            <w:r>
              <w:rPr>
                <w:rFonts w:ascii="Arial" w:eastAsia="Arial" w:hAnsi="Arial" w:cs="Arial"/>
                <w:color w:val="000000"/>
                <w:sz w:val="14"/>
                <w:szCs w:val="14"/>
              </w:rPr>
              <w:br/>
              <w:t>(94)</w:t>
            </w:r>
            <w:r>
              <w:rPr>
                <w:rFonts w:ascii="Arial" w:eastAsia="Arial" w:hAnsi="Arial" w:cs="Arial"/>
                <w:color w:val="000000"/>
                <w:sz w:val="14"/>
                <w:szCs w:val="14"/>
                <w:vertAlign w:val="superscript"/>
              </w:rPr>
              <w:t>1</w:t>
            </w:r>
          </w:p>
        </w:tc>
        <w:tc>
          <w:tcPr>
            <w:tcW w:w="84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08E26E5"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Hétéro</w:t>
            </w:r>
            <w:r>
              <w:rPr>
                <w:rFonts w:ascii="Arial" w:eastAsia="Arial" w:hAnsi="Arial" w:cs="Arial"/>
                <w:color w:val="000000"/>
                <w:sz w:val="14"/>
                <w:szCs w:val="14"/>
              </w:rPr>
              <w:br/>
              <w:t>(11 422)</w:t>
            </w:r>
            <w:r>
              <w:rPr>
                <w:rFonts w:ascii="Arial" w:eastAsia="Arial" w:hAnsi="Arial" w:cs="Arial"/>
                <w:color w:val="000000"/>
                <w:sz w:val="14"/>
                <w:szCs w:val="14"/>
                <w:vertAlign w:val="superscript"/>
              </w:rPr>
              <w:t>1</w:t>
            </w:r>
          </w:p>
        </w:tc>
        <w:tc>
          <w:tcPr>
            <w:tcW w:w="83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876E999"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Homo</w:t>
            </w:r>
            <w:r>
              <w:rPr>
                <w:rFonts w:ascii="Arial" w:eastAsia="Arial" w:hAnsi="Arial" w:cs="Arial"/>
                <w:color w:val="000000"/>
                <w:sz w:val="14"/>
                <w:szCs w:val="14"/>
              </w:rPr>
              <w:br/>
              <w:t>(2 362)</w:t>
            </w:r>
            <w:r>
              <w:rPr>
                <w:rFonts w:ascii="Arial" w:eastAsia="Arial" w:hAnsi="Arial" w:cs="Arial"/>
                <w:color w:val="000000"/>
                <w:sz w:val="14"/>
                <w:szCs w:val="14"/>
                <w:vertAlign w:val="superscript"/>
              </w:rPr>
              <w:t>1</w:t>
            </w:r>
          </w:p>
        </w:tc>
        <w:tc>
          <w:tcPr>
            <w:tcW w:w="840"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4EC5438"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Bi</w:t>
            </w:r>
            <w:r>
              <w:rPr>
                <w:rFonts w:ascii="Arial" w:eastAsia="Arial" w:hAnsi="Arial" w:cs="Arial"/>
                <w:color w:val="000000"/>
                <w:sz w:val="14"/>
                <w:szCs w:val="14"/>
              </w:rPr>
              <w:br/>
              <w:t>(654)</w:t>
            </w:r>
            <w:r>
              <w:rPr>
                <w:rFonts w:ascii="Arial" w:eastAsia="Arial" w:hAnsi="Arial" w:cs="Arial"/>
                <w:color w:val="000000"/>
                <w:sz w:val="14"/>
                <w:szCs w:val="14"/>
                <w:vertAlign w:val="superscript"/>
              </w:rPr>
              <w:t>1</w:t>
            </w:r>
          </w:p>
        </w:tc>
        <w:tc>
          <w:tcPr>
            <w:tcW w:w="839"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967C6AF"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Homo</w:t>
            </w:r>
            <w:r>
              <w:rPr>
                <w:rFonts w:ascii="Arial" w:eastAsia="Arial" w:hAnsi="Arial" w:cs="Arial"/>
                <w:color w:val="000000"/>
                <w:sz w:val="14"/>
                <w:szCs w:val="14"/>
              </w:rPr>
              <w:br/>
              <w:t>(2 954)</w:t>
            </w:r>
            <w:r>
              <w:rPr>
                <w:rFonts w:ascii="Arial" w:eastAsia="Arial" w:hAnsi="Arial" w:cs="Arial"/>
                <w:color w:val="000000"/>
                <w:sz w:val="14"/>
                <w:szCs w:val="14"/>
                <w:vertAlign w:val="superscript"/>
              </w:rPr>
              <w:t>1</w:t>
            </w:r>
          </w:p>
        </w:tc>
        <w:tc>
          <w:tcPr>
            <w:tcW w:w="841"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6D3DCEFC" w14:textId="77777777" w:rsidR="00E2476B" w:rsidRDefault="00E2476B" w:rsidP="0018419C">
            <w:pPr>
              <w:pStyle w:val="Standard"/>
              <w:spacing w:before="40" w:after="40"/>
              <w:ind w:left="100" w:right="100"/>
              <w:jc w:val="center"/>
            </w:pPr>
            <w:r>
              <w:rPr>
                <w:rFonts w:ascii="Arial" w:eastAsia="Arial" w:hAnsi="Arial" w:cs="Arial"/>
                <w:b/>
                <w:color w:val="000000"/>
                <w:sz w:val="14"/>
                <w:szCs w:val="14"/>
              </w:rPr>
              <w:t>Bi</w:t>
            </w:r>
            <w:r>
              <w:rPr>
                <w:rFonts w:ascii="Arial" w:eastAsia="Arial" w:hAnsi="Arial" w:cs="Arial"/>
                <w:color w:val="000000"/>
                <w:sz w:val="14"/>
                <w:szCs w:val="14"/>
              </w:rPr>
              <w:br/>
              <w:t>(315)</w:t>
            </w:r>
            <w:r>
              <w:rPr>
                <w:rFonts w:ascii="Arial" w:eastAsia="Arial" w:hAnsi="Arial" w:cs="Arial"/>
                <w:color w:val="000000"/>
                <w:sz w:val="14"/>
                <w:szCs w:val="14"/>
                <w:vertAlign w:val="superscript"/>
              </w:rPr>
              <w:t>1</w:t>
            </w:r>
          </w:p>
        </w:tc>
      </w:tr>
      <w:tr w:rsidR="00E2476B" w14:paraId="60401A27" w14:textId="77777777" w:rsidTr="0018419C">
        <w:trPr>
          <w:jc w:val="center"/>
        </w:trPr>
        <w:tc>
          <w:tcPr>
            <w:tcW w:w="9406" w:type="dxa"/>
            <w:gridSpan w:val="11"/>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1B888AC3"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Privations matérielles ou négligences graves</w:t>
            </w:r>
          </w:p>
        </w:tc>
      </w:tr>
      <w:tr w:rsidR="00E2476B" w14:paraId="55E948F3"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163836AB" w14:textId="77777777" w:rsidR="00E2476B" w:rsidRDefault="00E2476B" w:rsidP="0018419C">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0595F23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94,1</w:t>
            </w:r>
            <w:r>
              <w:rPr>
                <w:rFonts w:ascii="Arial" w:eastAsia="Arial" w:hAnsi="Arial" w:cs="Arial"/>
                <w:color w:val="000000"/>
                <w:sz w:val="14"/>
                <w:szCs w:val="14"/>
              </w:rPr>
              <w:br/>
              <w:t>[87-97]</w:t>
            </w:r>
            <w:r>
              <w:rPr>
                <w:rFonts w:ascii="Times New Roman" w:eastAsia="Arial" w:hAnsi="Times New Roman" w:cs="Times New Roman"/>
                <w:color w:val="000000"/>
                <w:sz w:val="14"/>
                <w:szCs w:val="14"/>
                <w:vertAlign w:val="superscript"/>
              </w:rPr>
              <w:t xml:space="preserve"> 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4794B3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87,2</w:t>
            </w:r>
            <w:r>
              <w:rPr>
                <w:rFonts w:ascii="Arial" w:eastAsia="Arial" w:hAnsi="Arial" w:cs="Arial"/>
                <w:color w:val="000000"/>
                <w:sz w:val="14"/>
                <w:szCs w:val="14"/>
              </w:rPr>
              <w:br/>
              <w:t>[78-93]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C47822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95,3</w:t>
            </w:r>
            <w:r>
              <w:rPr>
                <w:rFonts w:ascii="Arial" w:eastAsia="Arial" w:hAnsi="Arial" w:cs="Arial"/>
                <w:color w:val="000000"/>
                <w:sz w:val="14"/>
                <w:szCs w:val="14"/>
              </w:rPr>
              <w:br/>
              <w:t>[95-96]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E57FD3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97,3</w:t>
            </w:r>
            <w:r>
              <w:rPr>
                <w:rFonts w:ascii="Arial" w:eastAsia="Arial" w:hAnsi="Arial" w:cs="Arial"/>
                <w:color w:val="000000"/>
                <w:sz w:val="14"/>
                <w:szCs w:val="14"/>
              </w:rPr>
              <w:br/>
              <w:t>[89-99]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099D69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89,4</w:t>
            </w:r>
            <w:r>
              <w:rPr>
                <w:rFonts w:ascii="Arial" w:eastAsia="Arial" w:hAnsi="Arial" w:cs="Arial"/>
                <w:color w:val="000000"/>
                <w:sz w:val="14"/>
                <w:szCs w:val="14"/>
              </w:rPr>
              <w:br/>
              <w:t>[72-97]</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8C912F9"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95,8</w:t>
            </w:r>
            <w:r>
              <w:rPr>
                <w:rFonts w:ascii="Arial" w:eastAsia="Arial" w:hAnsi="Arial" w:cs="Arial"/>
                <w:color w:val="000000"/>
                <w:sz w:val="14"/>
                <w:szCs w:val="14"/>
              </w:rPr>
              <w:br/>
              <w:t>[95-96]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4E9D14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95,7</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90F076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94,1</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09B0BF9"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96,6</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1727335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94,8</w:t>
            </w:r>
          </w:p>
        </w:tc>
      </w:tr>
      <w:tr w:rsidR="00E2476B" w14:paraId="033FCE76"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71A082E4" w14:textId="77777777" w:rsidR="00E2476B" w:rsidRDefault="00E2476B" w:rsidP="0018419C">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35CA654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5,9</w:t>
            </w:r>
            <w:r>
              <w:rPr>
                <w:rFonts w:ascii="Arial" w:eastAsia="Arial" w:hAnsi="Arial" w:cs="Arial"/>
                <w:color w:val="000000"/>
                <w:sz w:val="14"/>
                <w:szCs w:val="14"/>
              </w:rPr>
              <w:br/>
              <w:t>[2,6-13]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09B555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12,8</w:t>
            </w:r>
            <w:r>
              <w:rPr>
                <w:rFonts w:ascii="Arial" w:eastAsia="Arial" w:hAnsi="Arial" w:cs="Arial"/>
                <w:color w:val="000000"/>
                <w:sz w:val="14"/>
                <w:szCs w:val="14"/>
              </w:rPr>
              <w:br/>
              <w:t>[7,2-22]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225C59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4,7</w:t>
            </w:r>
            <w:r>
              <w:rPr>
                <w:rFonts w:ascii="Arial" w:eastAsia="Arial" w:hAnsi="Arial" w:cs="Arial"/>
                <w:color w:val="000000"/>
                <w:sz w:val="14"/>
                <w:szCs w:val="14"/>
              </w:rPr>
              <w:br/>
              <w:t>[4,3-5,2]</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E193926"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2,7</w:t>
            </w:r>
            <w:r>
              <w:rPr>
                <w:rFonts w:ascii="Arial" w:eastAsia="Arial" w:hAnsi="Arial" w:cs="Arial"/>
                <w:color w:val="000000"/>
                <w:sz w:val="14"/>
                <w:szCs w:val="14"/>
              </w:rPr>
              <w:br/>
              <w:t>[0,60-11]</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8B228B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10,6</w:t>
            </w:r>
            <w:r>
              <w:rPr>
                <w:rFonts w:ascii="Arial" w:eastAsia="Arial" w:hAnsi="Arial" w:cs="Arial"/>
                <w:color w:val="000000"/>
                <w:sz w:val="14"/>
                <w:szCs w:val="14"/>
              </w:rPr>
              <w:br/>
              <w:t>[3,5-28]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5D1D4DE"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4,2</w:t>
            </w:r>
            <w:r>
              <w:rPr>
                <w:rFonts w:ascii="Arial" w:eastAsia="Arial" w:hAnsi="Arial" w:cs="Arial"/>
                <w:color w:val="000000"/>
                <w:sz w:val="14"/>
                <w:szCs w:val="14"/>
              </w:rPr>
              <w:br/>
              <w:t>[3,7-4,8]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DE02C6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4,3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C13560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CD7839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3,4</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22DFEAC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5,2</w:t>
            </w:r>
          </w:p>
        </w:tc>
      </w:tr>
      <w:tr w:rsidR="00E2476B" w14:paraId="7E842A2A"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41E02E61"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0600AD8"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r>
              <w:rPr>
                <w:rFonts w:ascii="Arial" w:eastAsia="Arial" w:hAnsi="Arial" w:cs="Arial"/>
                <w:i/>
                <w:iCs/>
                <w:color w:val="000000"/>
                <w:sz w:val="14"/>
                <w:szCs w:val="14"/>
                <w:vertAlign w:val="superscript"/>
              </w:rPr>
              <w:t>2</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F8CD584"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0,2</w:t>
            </w:r>
            <w:r>
              <w:rPr>
                <w:rFonts w:ascii="Arial" w:eastAsia="Arial" w:hAnsi="Arial" w:cs="Arial"/>
                <w:i/>
                <w:iCs/>
                <w:color w:val="000000"/>
                <w:sz w:val="14"/>
                <w:szCs w:val="14"/>
                <w:vertAlign w:val="superscript"/>
              </w:rPr>
              <w:t>2</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28E7E2A6"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0,088</w:t>
            </w:r>
            <w:r>
              <w:rPr>
                <w:rFonts w:ascii="Arial" w:eastAsia="Arial" w:hAnsi="Arial" w:cs="Arial"/>
                <w:i/>
                <w:iCs/>
                <w:color w:val="000000"/>
                <w:sz w:val="14"/>
                <w:szCs w:val="14"/>
                <w:vertAlign w:val="superscript"/>
              </w:rPr>
              <w:t>3</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62EECEE6"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0,10</w:t>
            </w:r>
            <w:r>
              <w:rPr>
                <w:rFonts w:ascii="Arial" w:eastAsia="Arial" w:hAnsi="Arial" w:cs="Arial"/>
                <w:i/>
                <w:iCs/>
                <w:color w:val="000000"/>
                <w:sz w:val="14"/>
                <w:szCs w:val="14"/>
                <w:vertAlign w:val="superscript"/>
              </w:rPr>
              <w:t>3</w:t>
            </w:r>
          </w:p>
        </w:tc>
      </w:tr>
      <w:tr w:rsidR="00E2476B" w14:paraId="0A355A35" w14:textId="77777777" w:rsidTr="0018419C">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2F527A94"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Conflit très grave avec le père</w:t>
            </w:r>
          </w:p>
        </w:tc>
      </w:tr>
      <w:tr w:rsidR="00E2476B" w14:paraId="5C10E3B1"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3BD25FF2" w14:textId="77777777" w:rsidR="00E2476B" w:rsidRDefault="00E2476B" w:rsidP="0018419C">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10B7A5B4"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86,8</w:t>
            </w:r>
            <w:r>
              <w:rPr>
                <w:rFonts w:ascii="Arial" w:eastAsia="Arial" w:hAnsi="Arial" w:cs="Arial"/>
                <w:color w:val="000000"/>
                <w:sz w:val="14"/>
                <w:szCs w:val="14"/>
              </w:rPr>
              <w:br/>
              <w:t>[77-93]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05C953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76,3</w:t>
            </w:r>
            <w:r>
              <w:rPr>
                <w:rFonts w:ascii="Arial" w:eastAsia="Arial" w:hAnsi="Arial" w:cs="Arial"/>
                <w:color w:val="000000"/>
                <w:sz w:val="14"/>
                <w:szCs w:val="14"/>
              </w:rPr>
              <w:br/>
              <w:t>[66-84]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AD68E3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93,3</w:t>
            </w:r>
            <w:r>
              <w:rPr>
                <w:rFonts w:ascii="Arial" w:eastAsia="Arial" w:hAnsi="Arial" w:cs="Arial"/>
                <w:color w:val="000000"/>
                <w:sz w:val="14"/>
                <w:szCs w:val="14"/>
              </w:rPr>
              <w:br/>
              <w:t>[93-94]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419D4D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88,1</w:t>
            </w:r>
            <w:r>
              <w:rPr>
                <w:rFonts w:ascii="Arial" w:eastAsia="Arial" w:hAnsi="Arial" w:cs="Arial"/>
                <w:color w:val="000000"/>
                <w:sz w:val="14"/>
                <w:szCs w:val="14"/>
              </w:rPr>
              <w:br/>
              <w:t>[81-93]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E06997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88,3</w:t>
            </w:r>
            <w:r>
              <w:rPr>
                <w:rFonts w:ascii="Arial" w:eastAsia="Arial" w:hAnsi="Arial" w:cs="Arial"/>
                <w:color w:val="000000"/>
                <w:sz w:val="14"/>
                <w:szCs w:val="14"/>
              </w:rPr>
              <w:br/>
              <w:t>[76-95]</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E3B2D66"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93,5</w:t>
            </w:r>
            <w:r>
              <w:rPr>
                <w:rFonts w:ascii="Arial" w:eastAsia="Arial" w:hAnsi="Arial" w:cs="Arial"/>
                <w:color w:val="000000"/>
                <w:sz w:val="14"/>
                <w:szCs w:val="14"/>
              </w:rPr>
              <w:br/>
              <w:t>[93-94]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F49659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78,8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DCA386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73,4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1E2A14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81,0</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0E5132A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82,3</w:t>
            </w:r>
          </w:p>
        </w:tc>
      </w:tr>
      <w:tr w:rsidR="00E2476B" w14:paraId="344D49B9"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0EFBF1E4" w14:textId="77777777" w:rsidR="00E2476B" w:rsidRDefault="00E2476B" w:rsidP="0018419C">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727B8394"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13,2</w:t>
            </w:r>
            <w:r>
              <w:rPr>
                <w:rFonts w:ascii="Arial" w:eastAsia="Arial" w:hAnsi="Arial" w:cs="Arial"/>
                <w:color w:val="000000"/>
                <w:sz w:val="14"/>
                <w:szCs w:val="14"/>
              </w:rPr>
              <w:br/>
              <w:t>[7,1-23]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773B71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23,7</w:t>
            </w:r>
            <w:r>
              <w:rPr>
                <w:rFonts w:ascii="Arial" w:eastAsia="Arial" w:hAnsi="Arial" w:cs="Arial"/>
                <w:color w:val="000000"/>
                <w:sz w:val="14"/>
                <w:szCs w:val="14"/>
              </w:rPr>
              <w:br/>
              <w:t>[16-34]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D4467D6"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6,7</w:t>
            </w:r>
            <w:r>
              <w:rPr>
                <w:rFonts w:ascii="Arial" w:eastAsia="Arial" w:hAnsi="Arial" w:cs="Arial"/>
                <w:color w:val="000000"/>
                <w:sz w:val="14"/>
                <w:szCs w:val="14"/>
              </w:rPr>
              <w:br/>
              <w:t>[6,2-7,2]</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450859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11,9</w:t>
            </w:r>
            <w:r>
              <w:rPr>
                <w:rFonts w:ascii="Arial" w:eastAsia="Arial" w:hAnsi="Arial" w:cs="Arial"/>
                <w:color w:val="000000"/>
                <w:sz w:val="14"/>
                <w:szCs w:val="14"/>
              </w:rPr>
              <w:br/>
              <w:t>[7,2-19]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020B2D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11,7</w:t>
            </w:r>
            <w:r>
              <w:rPr>
                <w:rFonts w:ascii="Arial" w:eastAsia="Arial" w:hAnsi="Arial" w:cs="Arial"/>
                <w:color w:val="000000"/>
                <w:sz w:val="14"/>
                <w:szCs w:val="14"/>
              </w:rPr>
              <w:br/>
              <w:t>[5,2-24]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17AA20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6,5</w:t>
            </w:r>
            <w:r>
              <w:rPr>
                <w:rFonts w:ascii="Arial" w:eastAsia="Arial" w:hAnsi="Arial" w:cs="Arial"/>
                <w:color w:val="000000"/>
                <w:sz w:val="14"/>
                <w:szCs w:val="14"/>
              </w:rPr>
              <w:br/>
              <w:t>[6,0-7,2]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8A7976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21,2</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0690E1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26,6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94F1606"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19,0</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5A0CB374"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17,7</w:t>
            </w:r>
          </w:p>
        </w:tc>
      </w:tr>
      <w:tr w:rsidR="00E2476B" w14:paraId="237D10A9"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14121D38"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5F7AD1C"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9B8D4C0"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0,032</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22C6B1D4"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0,004</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3BA0D0F5"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0,6</w:t>
            </w:r>
          </w:p>
        </w:tc>
      </w:tr>
      <w:tr w:rsidR="00E2476B" w14:paraId="42117616" w14:textId="77777777" w:rsidTr="0018419C">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0FF4EC14"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Conflit très grave avec la mère</w:t>
            </w:r>
          </w:p>
        </w:tc>
      </w:tr>
      <w:tr w:rsidR="00E2476B" w14:paraId="1D1E1A32"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32EBF406" w14:textId="77777777" w:rsidR="00E2476B" w:rsidRDefault="00E2476B" w:rsidP="0018419C">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20FD4F5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78,3</w:t>
            </w:r>
            <w:r>
              <w:rPr>
                <w:rFonts w:ascii="Arial" w:eastAsia="Arial" w:hAnsi="Arial" w:cs="Arial"/>
                <w:color w:val="000000"/>
                <w:sz w:val="14"/>
                <w:szCs w:val="14"/>
              </w:rPr>
              <w:br/>
              <w:t>[63-88]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0D9892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77,9</w:t>
            </w:r>
            <w:r>
              <w:rPr>
                <w:rFonts w:ascii="Arial" w:eastAsia="Arial" w:hAnsi="Arial" w:cs="Arial"/>
                <w:color w:val="000000"/>
                <w:sz w:val="14"/>
                <w:szCs w:val="14"/>
              </w:rPr>
              <w:br/>
              <w:t>[68-86]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4709BF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94,6</w:t>
            </w:r>
            <w:r>
              <w:rPr>
                <w:rFonts w:ascii="Arial" w:eastAsia="Arial" w:hAnsi="Arial" w:cs="Arial"/>
                <w:color w:val="000000"/>
                <w:sz w:val="14"/>
                <w:szCs w:val="14"/>
              </w:rPr>
              <w:br/>
              <w:t>[94-95]</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F1C9FB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96,3</w:t>
            </w:r>
            <w:r>
              <w:rPr>
                <w:rFonts w:ascii="Arial" w:eastAsia="Arial" w:hAnsi="Arial" w:cs="Arial"/>
                <w:color w:val="000000"/>
                <w:sz w:val="14"/>
                <w:szCs w:val="14"/>
              </w:rPr>
              <w:br/>
              <w:t>[92-98]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828C7F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87,2</w:t>
            </w:r>
            <w:r>
              <w:rPr>
                <w:rFonts w:ascii="Arial" w:eastAsia="Arial" w:hAnsi="Arial" w:cs="Arial"/>
                <w:color w:val="000000"/>
                <w:sz w:val="14"/>
                <w:szCs w:val="14"/>
              </w:rPr>
              <w:br/>
              <w:t>[75-94]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F8B177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96,9</w:t>
            </w:r>
            <w:r>
              <w:rPr>
                <w:rFonts w:ascii="Arial" w:eastAsia="Arial" w:hAnsi="Arial" w:cs="Arial"/>
                <w:color w:val="000000"/>
                <w:sz w:val="14"/>
                <w:szCs w:val="14"/>
              </w:rPr>
              <w:br/>
              <w:t>[96-97]</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60FB21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86,0</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3307E0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83,0</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660235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91,5</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0139AFE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89,3</w:t>
            </w:r>
          </w:p>
        </w:tc>
      </w:tr>
      <w:tr w:rsidR="00E2476B" w14:paraId="638E24D9"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26DFAB83" w14:textId="77777777" w:rsidR="00E2476B" w:rsidRDefault="00E2476B" w:rsidP="0018419C">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6DC37A2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21,7</w:t>
            </w:r>
            <w:r>
              <w:rPr>
                <w:rFonts w:ascii="Arial" w:eastAsia="Arial" w:hAnsi="Arial" w:cs="Arial"/>
                <w:color w:val="000000"/>
                <w:sz w:val="14"/>
                <w:szCs w:val="14"/>
              </w:rPr>
              <w:br/>
              <w:t>[12-37]</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F32C74E"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22,1</w:t>
            </w:r>
            <w:r>
              <w:rPr>
                <w:rFonts w:ascii="Arial" w:eastAsia="Arial" w:hAnsi="Arial" w:cs="Arial"/>
                <w:color w:val="000000"/>
                <w:sz w:val="14"/>
                <w:szCs w:val="14"/>
              </w:rPr>
              <w:br/>
              <w:t>[14-32]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A14F159"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5,4</w:t>
            </w:r>
            <w:r>
              <w:rPr>
                <w:rFonts w:ascii="Arial" w:eastAsia="Arial" w:hAnsi="Arial" w:cs="Arial"/>
                <w:color w:val="000000"/>
                <w:sz w:val="14"/>
                <w:szCs w:val="14"/>
              </w:rPr>
              <w:br/>
              <w:t>[5,0-5,9]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07BC07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3,7</w:t>
            </w:r>
            <w:r>
              <w:rPr>
                <w:rFonts w:ascii="Arial" w:eastAsia="Arial" w:hAnsi="Arial" w:cs="Arial"/>
                <w:color w:val="000000"/>
                <w:sz w:val="14"/>
                <w:szCs w:val="14"/>
              </w:rPr>
              <w:br/>
              <w:t>[1,6-8,3]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6938CF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12,8</w:t>
            </w:r>
            <w:r>
              <w:rPr>
                <w:rFonts w:ascii="Arial" w:eastAsia="Arial" w:hAnsi="Arial" w:cs="Arial"/>
                <w:color w:val="000000"/>
                <w:sz w:val="14"/>
                <w:szCs w:val="14"/>
              </w:rPr>
              <w:br/>
              <w:t>[6,0-25]</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593C3C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3,1</w:t>
            </w:r>
            <w:r>
              <w:rPr>
                <w:rFonts w:ascii="Arial" w:eastAsia="Arial" w:hAnsi="Arial" w:cs="Arial"/>
                <w:color w:val="000000"/>
                <w:sz w:val="14"/>
                <w:szCs w:val="14"/>
              </w:rPr>
              <w:br/>
              <w:t>[2,7-3,6]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0C9D61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14,0</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A284BCA"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17,0</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6F046C6"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8,5</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1AD7CAD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10,7</w:t>
            </w:r>
          </w:p>
        </w:tc>
      </w:tr>
      <w:tr w:rsidR="00E2476B" w14:paraId="09F2278E"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5F288B3F"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172D7BD"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DCB3E10"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19189B78"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0,058</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60111226"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0,2</w:t>
            </w:r>
          </w:p>
        </w:tc>
      </w:tr>
      <w:tr w:rsidR="00E2476B" w14:paraId="31BA384B" w14:textId="77777777" w:rsidTr="0018419C">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29E42DB5"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Fugue ou mise à la porte</w:t>
            </w:r>
          </w:p>
        </w:tc>
      </w:tr>
      <w:tr w:rsidR="00E2476B" w14:paraId="0717F8C4"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500E7049" w14:textId="77777777" w:rsidR="00E2476B" w:rsidRDefault="00E2476B" w:rsidP="0018419C">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54F66E9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85,4</w:t>
            </w:r>
            <w:r>
              <w:rPr>
                <w:rFonts w:ascii="Arial" w:eastAsia="Arial" w:hAnsi="Arial" w:cs="Arial"/>
                <w:color w:val="000000"/>
                <w:sz w:val="14"/>
                <w:szCs w:val="14"/>
              </w:rPr>
              <w:br/>
              <w:t>[72-93]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CFDA16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81,4</w:t>
            </w:r>
            <w:r>
              <w:rPr>
                <w:rFonts w:ascii="Arial" w:eastAsia="Arial" w:hAnsi="Arial" w:cs="Arial"/>
                <w:color w:val="000000"/>
                <w:sz w:val="14"/>
                <w:szCs w:val="14"/>
              </w:rPr>
              <w:br/>
              <w:t>[72-88]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9259A4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95,6</w:t>
            </w:r>
            <w:r>
              <w:rPr>
                <w:rFonts w:ascii="Arial" w:eastAsia="Arial" w:hAnsi="Arial" w:cs="Arial"/>
                <w:color w:val="000000"/>
                <w:sz w:val="14"/>
                <w:szCs w:val="14"/>
              </w:rPr>
              <w:br/>
              <w:t>[95-96]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29C4F9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96,1</w:t>
            </w:r>
            <w:r>
              <w:rPr>
                <w:rFonts w:ascii="Arial" w:eastAsia="Arial" w:hAnsi="Arial" w:cs="Arial"/>
                <w:color w:val="000000"/>
                <w:sz w:val="14"/>
                <w:szCs w:val="14"/>
              </w:rPr>
              <w:br/>
              <w:t>[90-99]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1A522F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89,6</w:t>
            </w:r>
            <w:r>
              <w:rPr>
                <w:rFonts w:ascii="Arial" w:eastAsia="Arial" w:hAnsi="Arial" w:cs="Arial"/>
                <w:color w:val="000000"/>
                <w:sz w:val="14"/>
                <w:szCs w:val="14"/>
              </w:rPr>
              <w:br/>
              <w:t>[78-95]</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273AA3B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95,8</w:t>
            </w:r>
            <w:r>
              <w:rPr>
                <w:rFonts w:ascii="Arial" w:eastAsia="Arial" w:hAnsi="Arial" w:cs="Arial"/>
                <w:color w:val="000000"/>
                <w:sz w:val="14"/>
                <w:szCs w:val="14"/>
              </w:rPr>
              <w:br/>
              <w:t>[95-96]</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FA84CE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89,1</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4699DE3A"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87,5</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7EF416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93,4</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50AC8FD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93,2</w:t>
            </w:r>
          </w:p>
        </w:tc>
      </w:tr>
      <w:tr w:rsidR="00E2476B" w14:paraId="5A556732"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3DAF24C3" w14:textId="77777777" w:rsidR="00E2476B" w:rsidRDefault="00E2476B" w:rsidP="0018419C">
            <w:pPr>
              <w:pStyle w:val="Standard"/>
              <w:spacing w:before="100" w:after="100"/>
              <w:ind w:left="300" w:right="100"/>
            </w:pPr>
            <w:r>
              <w:rPr>
                <w:rFonts w:ascii="Arial" w:eastAsia="Arial" w:hAnsi="Arial" w:cs="Arial"/>
                <w:color w:val="000000"/>
                <w:sz w:val="14"/>
                <w:szCs w:val="14"/>
              </w:rPr>
              <w:lastRenderedPageBreak/>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0322111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14,6</w:t>
            </w:r>
            <w:r>
              <w:rPr>
                <w:rFonts w:ascii="Arial" w:eastAsia="Arial" w:hAnsi="Arial" w:cs="Arial"/>
                <w:color w:val="000000"/>
                <w:sz w:val="14"/>
                <w:szCs w:val="14"/>
              </w:rPr>
              <w:br/>
              <w:t>[7,0-28]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CF6D82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18,6</w:t>
            </w:r>
            <w:r>
              <w:rPr>
                <w:rFonts w:ascii="Arial" w:eastAsia="Arial" w:hAnsi="Arial" w:cs="Arial"/>
                <w:color w:val="000000"/>
                <w:sz w:val="14"/>
                <w:szCs w:val="14"/>
              </w:rPr>
              <w:br/>
              <w:t>[12-28]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4CE40F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4,4</w:t>
            </w:r>
            <w:r>
              <w:rPr>
                <w:rFonts w:ascii="Arial" w:eastAsia="Arial" w:hAnsi="Arial" w:cs="Arial"/>
                <w:color w:val="000000"/>
                <w:sz w:val="14"/>
                <w:szCs w:val="14"/>
              </w:rPr>
              <w:br/>
              <w:t>[3,9-4,8]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79FC99A"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3,9</w:t>
            </w:r>
            <w:r>
              <w:rPr>
                <w:rFonts w:ascii="Arial" w:eastAsia="Arial" w:hAnsi="Arial" w:cs="Arial"/>
                <w:color w:val="000000"/>
                <w:sz w:val="14"/>
                <w:szCs w:val="14"/>
              </w:rPr>
              <w:br/>
              <w:t>[1,5-9,9]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80612C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10,4</w:t>
            </w:r>
            <w:r>
              <w:rPr>
                <w:rFonts w:ascii="Arial" w:eastAsia="Arial" w:hAnsi="Arial" w:cs="Arial"/>
                <w:color w:val="000000"/>
                <w:sz w:val="14"/>
                <w:szCs w:val="14"/>
              </w:rPr>
              <w:br/>
              <w:t>[4,5-22]</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C0B4379"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4,2</w:t>
            </w:r>
            <w:r>
              <w:rPr>
                <w:rFonts w:ascii="Arial" w:eastAsia="Arial" w:hAnsi="Arial" w:cs="Arial"/>
                <w:color w:val="000000"/>
                <w:sz w:val="14"/>
                <w:szCs w:val="14"/>
              </w:rPr>
              <w:br/>
              <w:t>[3,7-4,7]</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728311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BEFA7FA"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12,5</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40C084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6,6</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2CA53E57"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6,8</w:t>
            </w:r>
          </w:p>
        </w:tc>
      </w:tr>
      <w:tr w:rsidR="00E2476B" w14:paraId="17A26FBF"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1964CFF8"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4B8B18A9"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23DF4BF"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0,075</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0DE305B4"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0,3</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595E7459"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&gt;0,9</w:t>
            </w:r>
          </w:p>
        </w:tc>
      </w:tr>
      <w:tr w:rsidR="00E2476B" w14:paraId="6A79572F" w14:textId="77777777" w:rsidTr="0018419C">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4DA5BE10"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Tensions graves ou climat de violence entre parents</w:t>
            </w:r>
          </w:p>
        </w:tc>
      </w:tr>
      <w:tr w:rsidR="00E2476B" w14:paraId="56B71AD6"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4C128B14" w14:textId="77777777" w:rsidR="00E2476B" w:rsidRDefault="00E2476B" w:rsidP="0018419C">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7E6E526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77,2</w:t>
            </w:r>
            <w:r>
              <w:rPr>
                <w:rFonts w:ascii="Arial" w:eastAsia="Arial" w:hAnsi="Arial" w:cs="Arial"/>
                <w:color w:val="000000"/>
                <w:sz w:val="14"/>
                <w:szCs w:val="14"/>
              </w:rPr>
              <w:br/>
              <w:t>[66-85]</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95C5F4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68,4</w:t>
            </w:r>
            <w:r>
              <w:rPr>
                <w:rFonts w:ascii="Arial" w:eastAsia="Arial" w:hAnsi="Arial" w:cs="Arial"/>
                <w:color w:val="000000"/>
                <w:sz w:val="14"/>
                <w:szCs w:val="14"/>
              </w:rPr>
              <w:br/>
              <w:t>[58-77]</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7C13989"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87,5</w:t>
            </w:r>
            <w:r>
              <w:rPr>
                <w:rFonts w:ascii="Arial" w:eastAsia="Arial" w:hAnsi="Arial" w:cs="Arial"/>
                <w:color w:val="000000"/>
                <w:sz w:val="14"/>
                <w:szCs w:val="14"/>
              </w:rPr>
              <w:br/>
              <w:t>[87-88]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AC8FC7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80,2</w:t>
            </w:r>
            <w:r>
              <w:rPr>
                <w:rFonts w:ascii="Arial" w:eastAsia="Arial" w:hAnsi="Arial" w:cs="Arial"/>
                <w:color w:val="000000"/>
                <w:sz w:val="14"/>
                <w:szCs w:val="14"/>
              </w:rPr>
              <w:br/>
              <w:t>[72-86]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B89FD7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79,3</w:t>
            </w:r>
            <w:r>
              <w:rPr>
                <w:rFonts w:ascii="Arial" w:eastAsia="Arial" w:hAnsi="Arial" w:cs="Arial"/>
                <w:color w:val="000000"/>
                <w:sz w:val="14"/>
                <w:szCs w:val="14"/>
              </w:rPr>
              <w:br/>
              <w:t>[67-88]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7CE1D9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89,5</w:t>
            </w:r>
            <w:r>
              <w:rPr>
                <w:rFonts w:ascii="Arial" w:eastAsia="Arial" w:hAnsi="Arial" w:cs="Arial"/>
                <w:color w:val="000000"/>
                <w:sz w:val="14"/>
                <w:szCs w:val="14"/>
              </w:rPr>
              <w:br/>
              <w:t>[89-90]</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95215C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72,4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5D19562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61,8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300B8D5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73,6</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463ABED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73,8</w:t>
            </w:r>
          </w:p>
        </w:tc>
      </w:tr>
      <w:tr w:rsidR="00E2476B" w14:paraId="4F7CB333"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498D6573" w14:textId="77777777" w:rsidR="00E2476B" w:rsidRDefault="00E2476B" w:rsidP="0018419C">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5079C139"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22,8</w:t>
            </w:r>
            <w:r>
              <w:rPr>
                <w:rFonts w:ascii="Arial" w:eastAsia="Arial" w:hAnsi="Arial" w:cs="Arial"/>
                <w:color w:val="000000"/>
                <w:sz w:val="14"/>
                <w:szCs w:val="14"/>
              </w:rPr>
              <w:br/>
              <w:t>[15-34]</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69F6766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31,6</w:t>
            </w:r>
            <w:r>
              <w:rPr>
                <w:rFonts w:ascii="Arial" w:eastAsia="Arial" w:hAnsi="Arial" w:cs="Arial"/>
                <w:color w:val="000000"/>
                <w:sz w:val="14"/>
                <w:szCs w:val="14"/>
              </w:rPr>
              <w:br/>
              <w:t>[23-42]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F285CC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12,5</w:t>
            </w:r>
            <w:r>
              <w:rPr>
                <w:rFonts w:ascii="Arial" w:eastAsia="Arial" w:hAnsi="Arial" w:cs="Arial"/>
                <w:color w:val="000000"/>
                <w:sz w:val="14"/>
                <w:szCs w:val="14"/>
              </w:rPr>
              <w:br/>
              <w:t>[12-13]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A7CFE16"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19,8</w:t>
            </w:r>
            <w:r>
              <w:rPr>
                <w:rFonts w:ascii="Arial" w:eastAsia="Arial" w:hAnsi="Arial" w:cs="Arial"/>
                <w:color w:val="000000"/>
                <w:sz w:val="14"/>
                <w:szCs w:val="14"/>
              </w:rPr>
              <w:br/>
              <w:t>[14-28]</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82C751F"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20,7</w:t>
            </w:r>
            <w:r>
              <w:rPr>
                <w:rFonts w:ascii="Arial" w:eastAsia="Arial" w:hAnsi="Arial" w:cs="Arial"/>
                <w:color w:val="000000"/>
                <w:sz w:val="14"/>
                <w:szCs w:val="14"/>
              </w:rPr>
              <w:br/>
              <w:t>[12-33]</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C960C0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10,5</w:t>
            </w:r>
            <w:r>
              <w:rPr>
                <w:rFonts w:ascii="Arial" w:eastAsia="Arial" w:hAnsi="Arial" w:cs="Arial"/>
                <w:color w:val="000000"/>
                <w:sz w:val="14"/>
                <w:szCs w:val="14"/>
              </w:rPr>
              <w:br/>
              <w:t>[9,8-11]</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7357C28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27,6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08CF97E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38,2</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F035C5A"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26,4</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5EFA9D98"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26,2</w:t>
            </w:r>
          </w:p>
        </w:tc>
      </w:tr>
      <w:tr w:rsidR="00E2476B" w14:paraId="35992F0E"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7DF38357"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P-valeur</w:t>
            </w:r>
          </w:p>
        </w:tc>
        <w:tc>
          <w:tcPr>
            <w:tcW w:w="2516"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2029C51"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p>
        </w:tc>
        <w:tc>
          <w:tcPr>
            <w:tcW w:w="252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39337EB5"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p>
        </w:tc>
        <w:tc>
          <w:tcPr>
            <w:tcW w:w="1679"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0790B0D7"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p>
        </w:tc>
        <w:tc>
          <w:tcPr>
            <w:tcW w:w="1680"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54DCCC5F"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&lt;0,001</w:t>
            </w:r>
          </w:p>
        </w:tc>
      </w:tr>
      <w:tr w:rsidR="00E2476B" w14:paraId="64555459" w14:textId="77777777" w:rsidTr="0018419C">
        <w:trPr>
          <w:jc w:val="center"/>
        </w:trPr>
        <w:tc>
          <w:tcPr>
            <w:tcW w:w="9406"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50AEFE0F" w14:textId="77777777" w:rsidR="00E2476B" w:rsidRDefault="00E2476B" w:rsidP="0018419C">
            <w:pPr>
              <w:pStyle w:val="Standard"/>
              <w:spacing w:before="100" w:after="100"/>
              <w:ind w:left="100" w:right="100"/>
            </w:pPr>
            <w:r>
              <w:rPr>
                <w:rFonts w:ascii="Arial" w:eastAsia="Arial" w:hAnsi="Arial" w:cs="Arial"/>
                <w:bCs/>
                <w:i/>
                <w:iCs/>
                <w:color w:val="000000"/>
                <w:sz w:val="14"/>
                <w:szCs w:val="14"/>
              </w:rPr>
              <w:t>Aide éducative à la maison</w:t>
            </w:r>
          </w:p>
        </w:tc>
      </w:tr>
      <w:tr w:rsidR="00E2476B" w14:paraId="62D4060B"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3891BE70" w14:textId="77777777" w:rsidR="00E2476B" w:rsidRDefault="00E2476B" w:rsidP="0018419C">
            <w:pPr>
              <w:pStyle w:val="Standard"/>
              <w:spacing w:before="100" w:after="100"/>
              <w:ind w:left="300" w:right="100"/>
            </w:pPr>
            <w:r>
              <w:rPr>
                <w:rFonts w:ascii="Arial" w:eastAsia="Arial" w:hAnsi="Arial" w:cs="Arial"/>
                <w:color w:val="000000"/>
                <w:sz w:val="14"/>
                <w:szCs w:val="14"/>
              </w:rPr>
              <w:t>Non</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4A439BF0"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95,9</w:t>
            </w:r>
            <w:r>
              <w:rPr>
                <w:rFonts w:ascii="Arial" w:eastAsia="Arial" w:hAnsi="Arial" w:cs="Arial"/>
                <w:color w:val="000000"/>
                <w:sz w:val="14"/>
                <w:szCs w:val="14"/>
              </w:rPr>
              <w:br/>
              <w:t>[89-99]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EC22A7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94,6</w:t>
            </w:r>
            <w:r>
              <w:rPr>
                <w:rFonts w:ascii="Arial" w:eastAsia="Arial" w:hAnsi="Arial" w:cs="Arial"/>
                <w:color w:val="000000"/>
                <w:sz w:val="14"/>
                <w:szCs w:val="14"/>
              </w:rPr>
              <w:br/>
              <w:t>[87-98]</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19E30C3E"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98,4</w:t>
            </w:r>
            <w:r>
              <w:rPr>
                <w:rFonts w:ascii="Arial" w:eastAsia="Arial" w:hAnsi="Arial" w:cs="Arial"/>
                <w:color w:val="000000"/>
                <w:sz w:val="14"/>
                <w:szCs w:val="14"/>
              </w:rPr>
              <w:br/>
              <w:t>[98-99]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6595C2C"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96,7</w:t>
            </w:r>
            <w:r>
              <w:rPr>
                <w:rFonts w:ascii="Arial" w:eastAsia="Arial" w:hAnsi="Arial" w:cs="Arial"/>
                <w:color w:val="000000"/>
                <w:sz w:val="14"/>
                <w:szCs w:val="14"/>
              </w:rPr>
              <w:br/>
              <w:t>[89-99]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D31DFE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100,0</w:t>
            </w:r>
            <w:r>
              <w:rPr>
                <w:rFonts w:ascii="Arial" w:eastAsia="Arial" w:hAnsi="Arial" w:cs="Arial"/>
                <w:color w:val="000000"/>
                <w:sz w:val="14"/>
                <w:szCs w:val="14"/>
              </w:rPr>
              <w:br/>
              <w:t>[100-100]</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1D6835B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98,5</w:t>
            </w:r>
            <w:r>
              <w:rPr>
                <w:rFonts w:ascii="Arial" w:eastAsia="Arial" w:hAnsi="Arial" w:cs="Arial"/>
                <w:color w:val="000000"/>
                <w:sz w:val="14"/>
                <w:szCs w:val="14"/>
              </w:rPr>
              <w:br/>
              <w:t>[98-99]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1E1137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98,4</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2B52E6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98,1</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2BC1DB4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98,5</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470696CD"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98,7</w:t>
            </w:r>
          </w:p>
        </w:tc>
      </w:tr>
      <w:tr w:rsidR="00E2476B" w14:paraId="70BE8D3A" w14:textId="77777777" w:rsidTr="0018419C">
        <w:trPr>
          <w:jc w:val="center"/>
        </w:trPr>
        <w:tc>
          <w:tcPr>
            <w:tcW w:w="1011" w:type="dxa"/>
            <w:tcBorders>
              <w:left w:val="single" w:sz="12" w:space="0" w:color="000000"/>
              <w:right w:val="single" w:sz="4" w:space="0" w:color="000000"/>
            </w:tcBorders>
            <w:shd w:val="clear" w:color="auto" w:fill="FFFFFF"/>
            <w:tcMar>
              <w:top w:w="0" w:type="dxa"/>
              <w:left w:w="0" w:type="dxa"/>
              <w:bottom w:w="0" w:type="dxa"/>
              <w:right w:w="0" w:type="dxa"/>
            </w:tcMar>
          </w:tcPr>
          <w:p w14:paraId="7AF8D073" w14:textId="77777777" w:rsidR="00E2476B" w:rsidRDefault="00E2476B" w:rsidP="0018419C">
            <w:pPr>
              <w:pStyle w:val="Standard"/>
              <w:spacing w:before="100" w:after="100"/>
              <w:ind w:left="300" w:right="100"/>
            </w:pPr>
            <w:r>
              <w:rPr>
                <w:rFonts w:ascii="Arial" w:eastAsia="Arial" w:hAnsi="Arial" w:cs="Arial"/>
                <w:color w:val="000000"/>
                <w:sz w:val="14"/>
                <w:szCs w:val="14"/>
              </w:rPr>
              <w:t>Oui</w:t>
            </w:r>
          </w:p>
        </w:tc>
        <w:tc>
          <w:tcPr>
            <w:tcW w:w="838" w:type="dxa"/>
            <w:tcBorders>
              <w:left w:val="single" w:sz="4" w:space="0" w:color="000000"/>
              <w:right w:val="single" w:sz="4" w:space="0" w:color="000000"/>
            </w:tcBorders>
            <w:shd w:val="clear" w:color="auto" w:fill="FFFFFF"/>
            <w:tcMar>
              <w:top w:w="0" w:type="dxa"/>
              <w:left w:w="0" w:type="dxa"/>
              <w:bottom w:w="0" w:type="dxa"/>
              <w:right w:w="0" w:type="dxa"/>
            </w:tcMar>
          </w:tcPr>
          <w:p w14:paraId="3661C0AB"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4,1</w:t>
            </w:r>
            <w:r>
              <w:rPr>
                <w:rFonts w:ascii="Arial" w:eastAsia="Arial" w:hAnsi="Arial" w:cs="Arial"/>
                <w:color w:val="000000"/>
                <w:sz w:val="14"/>
                <w:szCs w:val="14"/>
              </w:rPr>
              <w:br/>
              <w:t>[1,5-11]</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F29216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5,4</w:t>
            </w:r>
            <w:r>
              <w:rPr>
                <w:rFonts w:ascii="Arial" w:eastAsia="Arial" w:hAnsi="Arial" w:cs="Arial"/>
                <w:color w:val="000000"/>
                <w:sz w:val="14"/>
                <w:szCs w:val="14"/>
              </w:rPr>
              <w:br/>
              <w:t>[2,0-13]</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47F28E7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1,6</w:t>
            </w:r>
            <w:r>
              <w:rPr>
                <w:rFonts w:ascii="Arial" w:eastAsia="Arial" w:hAnsi="Arial" w:cs="Arial"/>
                <w:color w:val="000000"/>
                <w:sz w:val="14"/>
                <w:szCs w:val="14"/>
              </w:rPr>
              <w:br/>
              <w:t>[1,3-1,9]</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F5000E3"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3,3</w:t>
            </w:r>
            <w:r>
              <w:rPr>
                <w:rFonts w:ascii="Arial" w:eastAsia="Arial" w:hAnsi="Arial" w:cs="Arial"/>
                <w:color w:val="000000"/>
                <w:sz w:val="14"/>
                <w:szCs w:val="14"/>
              </w:rPr>
              <w:br/>
              <w:t>[0,95-11]</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7B3ECAE5"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0,0</w:t>
            </w:r>
            <w:r>
              <w:rPr>
                <w:rFonts w:ascii="Arial" w:eastAsia="Arial" w:hAnsi="Arial" w:cs="Arial"/>
                <w:color w:val="000000"/>
                <w:sz w:val="14"/>
                <w:szCs w:val="14"/>
              </w:rPr>
              <w:br/>
              <w:t>[0,00-0,00]</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32FAA981"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1,5</w:t>
            </w:r>
            <w:r>
              <w:rPr>
                <w:rFonts w:ascii="Arial" w:eastAsia="Arial" w:hAnsi="Arial" w:cs="Arial"/>
                <w:color w:val="000000"/>
                <w:sz w:val="14"/>
                <w:szCs w:val="14"/>
              </w:rPr>
              <w:br/>
              <w:t>[1,2-1,9]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55458C82"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1,6</w:t>
            </w:r>
          </w:p>
        </w:tc>
        <w:tc>
          <w:tcPr>
            <w:tcW w:w="840" w:type="dxa"/>
            <w:tcBorders>
              <w:left w:val="single" w:sz="4" w:space="0" w:color="000000"/>
              <w:right w:val="single" w:sz="4" w:space="0" w:color="000000"/>
            </w:tcBorders>
            <w:shd w:val="clear" w:color="auto" w:fill="FFFFFF"/>
            <w:tcMar>
              <w:top w:w="0" w:type="dxa"/>
              <w:left w:w="0" w:type="dxa"/>
              <w:bottom w:w="0" w:type="dxa"/>
              <w:right w:w="0" w:type="dxa"/>
            </w:tcMar>
          </w:tcPr>
          <w:p w14:paraId="682C3E7A"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1,9</w:t>
            </w:r>
          </w:p>
        </w:tc>
        <w:tc>
          <w:tcPr>
            <w:tcW w:w="839" w:type="dxa"/>
            <w:tcBorders>
              <w:left w:val="single" w:sz="4" w:space="0" w:color="000000"/>
              <w:right w:val="single" w:sz="4" w:space="0" w:color="000000"/>
            </w:tcBorders>
            <w:shd w:val="clear" w:color="auto" w:fill="FFFFFF"/>
            <w:tcMar>
              <w:top w:w="0" w:type="dxa"/>
              <w:left w:w="0" w:type="dxa"/>
              <w:bottom w:w="0" w:type="dxa"/>
              <w:right w:w="0" w:type="dxa"/>
            </w:tcMar>
          </w:tcPr>
          <w:p w14:paraId="0465B3B4"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1,5</w:t>
            </w:r>
          </w:p>
        </w:tc>
        <w:tc>
          <w:tcPr>
            <w:tcW w:w="841" w:type="dxa"/>
            <w:tcBorders>
              <w:left w:val="single" w:sz="4" w:space="0" w:color="000000"/>
              <w:right w:val="single" w:sz="12" w:space="0" w:color="000000"/>
            </w:tcBorders>
            <w:shd w:val="clear" w:color="auto" w:fill="FFFFFF"/>
            <w:tcMar>
              <w:top w:w="0" w:type="dxa"/>
              <w:left w:w="0" w:type="dxa"/>
              <w:bottom w:w="0" w:type="dxa"/>
              <w:right w:w="0" w:type="dxa"/>
            </w:tcMar>
          </w:tcPr>
          <w:p w14:paraId="4CABAAA6" w14:textId="77777777" w:rsidR="00E2476B" w:rsidRDefault="00E2476B" w:rsidP="0018419C">
            <w:pPr>
              <w:pStyle w:val="Standard"/>
              <w:spacing w:before="100" w:after="100"/>
              <w:ind w:left="100" w:right="100"/>
              <w:jc w:val="center"/>
            </w:pPr>
            <w:r>
              <w:rPr>
                <w:rFonts w:ascii="Arial" w:eastAsia="Arial" w:hAnsi="Arial" w:cs="Arial"/>
                <w:color w:val="000000"/>
                <w:sz w:val="14"/>
                <w:szCs w:val="14"/>
              </w:rPr>
              <w:t>1,3</w:t>
            </w:r>
          </w:p>
        </w:tc>
      </w:tr>
      <w:tr w:rsidR="00E2476B" w14:paraId="1A4109D1" w14:textId="77777777" w:rsidTr="0018419C">
        <w:trPr>
          <w:jc w:val="center"/>
        </w:trPr>
        <w:tc>
          <w:tcPr>
            <w:tcW w:w="1011"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593CCBA0" w14:textId="77777777" w:rsidR="00E2476B" w:rsidRDefault="00E2476B" w:rsidP="0018419C">
            <w:pPr>
              <w:pStyle w:val="Standard"/>
              <w:spacing w:before="100" w:after="100"/>
              <w:ind w:left="300" w:right="100"/>
            </w:pPr>
            <w:r>
              <w:rPr>
                <w:rFonts w:ascii="Arial" w:eastAsia="Arial" w:hAnsi="Arial" w:cs="Arial"/>
                <w:bCs/>
                <w:i/>
                <w:iCs/>
                <w:color w:val="000000"/>
                <w:sz w:val="14"/>
                <w:szCs w:val="14"/>
              </w:rPr>
              <w:t>P-valeur</w:t>
            </w:r>
          </w:p>
        </w:tc>
        <w:tc>
          <w:tcPr>
            <w:tcW w:w="2516"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0C5CA626"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0,005</w:t>
            </w:r>
          </w:p>
        </w:tc>
        <w:tc>
          <w:tcPr>
            <w:tcW w:w="2520"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595EBE4B"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0,3</w:t>
            </w:r>
          </w:p>
        </w:tc>
        <w:tc>
          <w:tcPr>
            <w:tcW w:w="1679" w:type="dxa"/>
            <w:gridSpan w:val="2"/>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22B72FD2"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0,6</w:t>
            </w:r>
          </w:p>
        </w:tc>
        <w:tc>
          <w:tcPr>
            <w:tcW w:w="1680" w:type="dxa"/>
            <w:gridSpan w:val="2"/>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68B24655" w14:textId="77777777" w:rsidR="00E2476B" w:rsidRDefault="00E2476B" w:rsidP="0018419C">
            <w:pPr>
              <w:pStyle w:val="Standard"/>
              <w:spacing w:before="100" w:after="100"/>
              <w:ind w:left="100" w:right="100"/>
              <w:jc w:val="center"/>
            </w:pPr>
            <w:r>
              <w:rPr>
                <w:rFonts w:ascii="Arial" w:eastAsia="Arial" w:hAnsi="Arial" w:cs="Arial"/>
                <w:i/>
                <w:iCs/>
                <w:color w:val="000000"/>
                <w:sz w:val="14"/>
                <w:szCs w:val="14"/>
              </w:rPr>
              <w:t>&gt;0,9</w:t>
            </w:r>
          </w:p>
        </w:tc>
      </w:tr>
      <w:tr w:rsidR="00E2476B" w14:paraId="318F0666" w14:textId="77777777" w:rsidTr="0018419C">
        <w:trPr>
          <w:jc w:val="center"/>
        </w:trPr>
        <w:tc>
          <w:tcPr>
            <w:tcW w:w="9406" w:type="dxa"/>
            <w:gridSpan w:val="11"/>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C224FB9"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5B5939E8"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090F60FC"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2E086602"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[Intervalle de confiance à 95 %].</w:t>
            </w:r>
          </w:p>
          <w:p w14:paraId="133E38FD"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Ensemble des répondant∙es de l'enquête Virage ; Répondant∙es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 Pour Virage PG : pourcentages pondérés. Pour Virage LGBT : pourcentages et effectifs non pondérés.</w:t>
            </w:r>
          </w:p>
          <w:p w14:paraId="551D08B7"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94,1% des femmes homosexuelles dans l'enquête Virage en population générale n'ont pas subi de privations matérielles ou négligences graves dans l'enfance, avec un intervalle de confiance à 95% de [87% - 97%].</w:t>
            </w:r>
          </w:p>
          <w:p w14:paraId="55E44745"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xml:space="preserve"> : Enquête Virage PG, Ined, 2015 ; enquête Virage LGBT, Ined, 2015-2016</w:t>
            </w:r>
          </w:p>
        </w:tc>
      </w:tr>
    </w:tbl>
    <w:p w14:paraId="56F532D9" w14:textId="77777777" w:rsidR="00E2476B" w:rsidRDefault="00E2476B" w:rsidP="00E2476B">
      <w:pPr>
        <w:pStyle w:val="Titre4"/>
        <w:spacing w:before="240"/>
      </w:pPr>
      <w:r>
        <w:t>Les bisexuelles déclarent un climat familial plus conflictuel</w:t>
      </w:r>
    </w:p>
    <w:p w14:paraId="17AC86BA" w14:textId="77777777" w:rsidR="00E2476B" w:rsidRDefault="00E2476B" w:rsidP="00E2476B">
      <w:pPr>
        <w:pStyle w:val="Textbody"/>
      </w:pPr>
      <w:r>
        <w:t xml:space="preserve">Les résultats pour les femmes dans Virage PG sont les plus significatifs : par rapport aux hétérosexuelles, elles déclarent nettement plus souvent des privations matérielles ou des négligences graves dans l'enfance, un conflit très grave avec le père, un conflit très grave avec la mère, une fugue ou une mise à la porte, des tensions graves ou un climat de violence entre parents ou encore la présence d'une aide éducative à la maison. Ces éléments, témoignant d'un environnement familial plus conflictuel voire plus violent, donnent du contexte aux représentations de la conjugalité des femmes bisexuelles. Ils viennent également éclairer la partie sur les conflits qui arrive plus tard dans le chapitre. Les écarts entre lesbiennes et bisexuelles ne sont jamais significatifs. Dans Virage LGBT, deux variables nous permettent toutefois d'observer une tendance à un climat familial plus conflictuel chez les bisexuelles : les conflits très graves avec le père sont plus souvent déclarés par les bisexuelles que les lesbiennes et les tensions graves / climat de violence entre parents. Ce résultat peut témoigner </w:t>
      </w:r>
      <w:proofErr w:type="gramStart"/>
      <w:r>
        <w:t>d’un climat familiale</w:t>
      </w:r>
      <w:proofErr w:type="gramEnd"/>
      <w:r>
        <w:t xml:space="preserve"> effectivement plus </w:t>
      </w:r>
      <w:r>
        <w:lastRenderedPageBreak/>
        <w:t>conflictuel et aussi d’une meilleur capacité à déclarer, nous retrouverons cette tension en Chapitre 3 quand nous aborderons les violences.</w:t>
      </w:r>
    </w:p>
    <w:p w14:paraId="50B94385" w14:textId="77777777" w:rsidR="00E2476B" w:rsidRDefault="00E2476B" w:rsidP="00E2476B">
      <w:pPr>
        <w:pStyle w:val="Textbody"/>
      </w:pPr>
      <w:r>
        <w:t>Les hommes bisexuels déclarent plus souvent que les hétérosexuels un conflit très grave avec la mère et des tensions graves / climat de violence entre parents. Les hommes gays déclarent plus souvent un conflit très grave avec le père que les hétérosexuels. Aucun écart entre gays et bisexuels n'est significatif en population générale et aucun résultat de Virage LGBT ne nous permet d'approfondir.</w:t>
      </w:r>
    </w:p>
    <w:p w14:paraId="6E6016C3" w14:textId="77777777" w:rsidR="00E2476B" w:rsidRDefault="00E2476B" w:rsidP="00E2476B">
      <w:pPr>
        <w:pStyle w:val="Titre4"/>
      </w:pPr>
      <w:r>
        <w:t>Des styles de conjugalités spécifiques aux femmes bisexuelles</w:t>
      </w:r>
    </w:p>
    <w:p w14:paraId="775621AF" w14:textId="77777777" w:rsidR="00E2476B" w:rsidRDefault="00E2476B" w:rsidP="00E2476B">
      <w:pPr>
        <w:pStyle w:val="Textbody"/>
      </w:pPr>
      <w:r>
        <w:t xml:space="preserve">Si on reprend la classification des types d’interactions conjugales de Widmer et </w:t>
      </w:r>
      <w:proofErr w:type="spellStart"/>
      <w:r>
        <w:t>Kellerhalls</w:t>
      </w:r>
      <w:proofErr w:type="spellEnd"/>
      <w:r>
        <w:t xml:space="preserve">, les femmes bisexuelles semblent appartenir aux styles </w:t>
      </w:r>
      <w:r>
        <w:rPr>
          <w:i/>
          <w:iCs/>
        </w:rPr>
        <w:t>Association</w:t>
      </w:r>
      <w:r>
        <w:t xml:space="preserve"> ou </w:t>
      </w:r>
      <w:r>
        <w:rPr>
          <w:i/>
          <w:iCs/>
        </w:rPr>
        <w:t>Parallèle</w:t>
      </w:r>
      <w:r>
        <w:t xml:space="preserve">, tous deux privilégiant l’autonomie à la fusion. Les résultats sur le degré d’ouverture / clôture des couples et sur la sexuation des rôles domestiques sont moins évidents. </w:t>
      </w:r>
      <w:r>
        <w:rPr>
          <w:color w:val="000000"/>
        </w:rPr>
        <w:t>Les couples de style Association présentent à la fois un fort degré d’autonomie et d’ouverture combinés à une division du pouvoir égalitaire, et des rôles peu sexués. Les valeurs centrales structurant ce style d’interactions sont donc à la fois la quête d’authenticité personnelle et la négociation des droits individuels. Les couples de style </w:t>
      </w:r>
      <w:r>
        <w:rPr>
          <w:i/>
          <w:iCs/>
          <w:color w:val="000000"/>
        </w:rPr>
        <w:t>Parallèle</w:t>
      </w:r>
      <w:r>
        <w:rPr>
          <w:color w:val="000000"/>
        </w:rPr>
        <w:t> se caractérisent par une forte sexuation des rôles domestiques et relationnels, une forte fusion et une forte clôture. Ils se sentent menacés par leur environnement tout en désinvestissant leurs relations internes, alors qu’ils répartissent les rôles fonctionnels et relationnels de manière rigide et différenciée. Les valeurs organisatrices de l’action sont l’ordre, la différenciation des sphères d’activité et le repli sur soi. Si les bisexualités ne se réduisent pas à deux styles de conjugalité, on peut supposer que leur répartition dans ceux-ci est spécifique.</w:t>
      </w:r>
    </w:p>
    <w:p w14:paraId="3E5737AD" w14:textId="77777777" w:rsidR="00E2476B" w:rsidRDefault="00E2476B" w:rsidP="00E2476B">
      <w:pPr>
        <w:pStyle w:val="Textbody"/>
      </w:pPr>
      <w:r>
        <w:rPr>
          <w:color w:val="000000"/>
        </w:rPr>
        <w:t xml:space="preserve">On peut affirmer à la fin de cette première partie que les personnes bisexuelles ont des styles de conjugalités différents des hétéros et homos. Les femmes bisexuelles en population générale n’ont pas la même conception du couple que les hétérosexuelles. Cette conception combinée à un climat familial très conflictuel dans l’enfance les différencie nettement des hétérosexuelles. Elles n’ont pas le même vécu relationnel, même quand elles sont en couple avec un homme. D’ailleurs on peut imaginer que le fait d’avoir eu, ou d’envisager, des relations de même sexe produit un rapport différent à la conjugalité avec un homme. Les parcours sexuels des femmes </w:t>
      </w:r>
      <w:proofErr w:type="spellStart"/>
      <w:r>
        <w:rPr>
          <w:color w:val="000000"/>
        </w:rPr>
        <w:t>bies</w:t>
      </w:r>
      <w:proofErr w:type="spellEnd"/>
      <w:r>
        <w:rPr>
          <w:color w:val="000000"/>
        </w:rPr>
        <w:t xml:space="preserve">, marquées par une entrée précoce dans la sexualité et un nombre plus important de partenaires, sont une composante parmi d’autre de trajectoire d’éloignement de l’hétérosexualité. Il n’est pas étonnant que cet </w:t>
      </w:r>
      <w:r>
        <w:rPr>
          <w:color w:val="000000"/>
        </w:rPr>
        <w:lastRenderedPageBreak/>
        <w:t>éloignement, en pratiques, en attirances et/ou en identification se retrouve dans d’autres aspects de la conjugalité, même quand elles sont en couple avec des hommes. On pourrait même dire particulièrement quand elles sont en couple avec un homme, où elles font l’expérience éclairée de la domination masculine et où elles peuvent ressentir plus fortement l’effacement bisexuel et perdre leur lien d’appartenance aux minorités sexuelles. La plupart des personnes voyant un homme et une femme romantiquement engagés vont penser que le couple, et les partenaires au sein du couple, sont hétérosexuels. Cette invisibilité a non seulement une dimension psychologique qui résulte de la difficulté à développer une identité sexuelle qui soit honnête et qui fonctionne socialement (Rust 2002). L’invisibilité entraîne aussi une pression concrète à se classifier et à se comporter de façon cohérente avec les catégories gays, lesbiennes ou hétéros (Ochs 1996).</w:t>
      </w:r>
    </w:p>
    <w:p w14:paraId="32FFC07D" w14:textId="77777777" w:rsidR="00E2476B" w:rsidRDefault="00E2476B" w:rsidP="00E2476B">
      <w:pPr>
        <w:pStyle w:val="Textbody"/>
      </w:pPr>
      <w:r>
        <w:rPr>
          <w:color w:val="000000"/>
        </w:rPr>
        <w:t>Les travaux sur les minorités sexuelles féminines montrent qu’elles sont plus nombreuses à se distancier des normes de genre et de l’hétéronormativité qui place le couple et la parentalité au centre de son organisation (</w:t>
      </w:r>
      <w:proofErr w:type="spellStart"/>
      <w:r>
        <w:rPr>
          <w:color w:val="000000"/>
        </w:rPr>
        <w:t>Lejbowicz</w:t>
      </w:r>
      <w:proofErr w:type="spellEnd"/>
      <w:r>
        <w:rPr>
          <w:color w:val="000000"/>
        </w:rPr>
        <w:t xml:space="preserve"> 2022). </w:t>
      </w:r>
      <w:proofErr w:type="gramStart"/>
      <w:r>
        <w:rPr>
          <w:color w:val="000000"/>
        </w:rPr>
        <w:t>On est pas</w:t>
      </w:r>
      <w:proofErr w:type="gramEnd"/>
      <w:r>
        <w:rPr>
          <w:color w:val="000000"/>
        </w:rPr>
        <w:t xml:space="preserve"> revenu ici sur l’entrée dans la sexualité, ni sur le nombre de partenaires. On sait toutefois que les femmes des classes </w:t>
      </w:r>
      <w:proofErr w:type="spellStart"/>
      <w:r>
        <w:rPr>
          <w:color w:val="000000"/>
        </w:rPr>
        <w:t>bicentrées</w:t>
      </w:r>
      <w:proofErr w:type="spellEnd"/>
      <w:r>
        <w:rPr>
          <w:color w:val="000000"/>
        </w:rPr>
        <w:t>, catégories qui mêlent attirances et pratiques, présentent un rapport plus ouvert et intéressé à la sexualité. Les positionnements de sexualités minoritaires sont divers : si pour certaines la bisexualité s’accompagne d’une remise en question des normes sexuelles et conjugales, ce n’est pas le cas pour toutes. De plus, la mise à distance dans l’adhésion au principe de fusion ne signifie pas nécessairement une mise à distance en pratique.</w:t>
      </w:r>
    </w:p>
    <w:p w14:paraId="188850AE" w14:textId="77777777" w:rsidR="00E2476B" w:rsidRDefault="00E2476B" w:rsidP="00E2476B">
      <w:pPr>
        <w:pStyle w:val="Titre2"/>
        <w:numPr>
          <w:ilvl w:val="0"/>
          <w:numId w:val="25"/>
        </w:numPr>
        <w:ind w:left="720" w:hanging="360"/>
      </w:pPr>
      <w:bookmarkStart w:id="70" w:name="__RefHeading___Toc52650_3216639541"/>
      <w:commentRangeStart w:id="71"/>
      <w:r>
        <w:t>L’évaluation de la qualité des relations</w:t>
      </w:r>
      <w:commentRangeEnd w:id="71"/>
      <w:r>
        <w:commentReference w:id="71"/>
      </w:r>
      <w:bookmarkEnd w:id="70"/>
    </w:p>
    <w:p w14:paraId="408BF1D0" w14:textId="77777777" w:rsidR="00E2476B" w:rsidRDefault="00E2476B" w:rsidP="00E2476B">
      <w:pPr>
        <w:pStyle w:val="Textbody"/>
      </w:pPr>
      <w:r>
        <w:t>On différencie les conflits, traités en fin de chapitre, de l’évaluation de la qualité des relations conjugales, définie comme un jugement personnel, plus ou moins positif, effectué par les conjoints à propos de leur union. Un niveau de satisfaction relativement élevé peut coexister avec le conflit conjugal (Widmer, Kellerhals et Lévy 2004). Dans leur recherche, Widmer, Kellerhals et Lévy approchent cette évaluation par différents indicateurs : le projet de séparation, la satisfaction conjugale et les symptômes dépressifs. Ce dernier indicateur n’est pas nécessairement lié au couple selon nous. Nous le reprenons tout de même pour observer de possibles ponts avec leurs résultats. Nous mobilisons donc les questions suivantes</w:t>
      </w:r>
    </w:p>
    <w:p w14:paraId="53C880CB" w14:textId="77777777" w:rsidR="00E2476B" w:rsidRDefault="00E2476B" w:rsidP="00E2476B">
      <w:pPr>
        <w:pStyle w:val="Textbody"/>
        <w:spacing w:line="240" w:lineRule="auto"/>
      </w:pPr>
      <w:r>
        <w:rPr>
          <w:b/>
          <w:bCs/>
        </w:rPr>
        <w:t>Question 1 :</w:t>
      </w:r>
      <w:r>
        <w:t xml:space="preserve"> </w:t>
      </w:r>
      <w:r>
        <w:rPr>
          <w:i/>
          <w:iCs/>
        </w:rPr>
        <w:t>Diriez-vous que votre relation de couple actuelle est</w:t>
      </w:r>
      <w:proofErr w:type="gramStart"/>
      <w:r>
        <w:rPr>
          <w:i/>
          <w:iCs/>
        </w:rPr>
        <w:t>…?</w:t>
      </w:r>
      <w:proofErr w:type="gramEnd"/>
      <w:r>
        <w:rPr>
          <w:i/>
          <w:iCs/>
        </w:rPr>
        <w:t xml:space="preserve">  </w:t>
      </w:r>
    </w:p>
    <w:p w14:paraId="4E01C97B" w14:textId="77777777" w:rsidR="00E2476B" w:rsidRDefault="00E2476B" w:rsidP="00E2476B">
      <w:pPr>
        <w:pStyle w:val="Textbody"/>
        <w:numPr>
          <w:ilvl w:val="0"/>
          <w:numId w:val="26"/>
        </w:numPr>
        <w:spacing w:line="240" w:lineRule="auto"/>
      </w:pPr>
      <w:r>
        <w:rPr>
          <w:i/>
          <w:iCs/>
        </w:rPr>
        <w:t>Très satisfaisante</w:t>
      </w:r>
    </w:p>
    <w:p w14:paraId="359B5671" w14:textId="77777777" w:rsidR="00E2476B" w:rsidRDefault="00E2476B" w:rsidP="00E2476B">
      <w:pPr>
        <w:pStyle w:val="Textbody"/>
        <w:numPr>
          <w:ilvl w:val="0"/>
          <w:numId w:val="20"/>
        </w:numPr>
        <w:spacing w:line="240" w:lineRule="auto"/>
      </w:pPr>
      <w:r>
        <w:rPr>
          <w:i/>
          <w:iCs/>
        </w:rPr>
        <w:lastRenderedPageBreak/>
        <w:t>Satisfaisante</w:t>
      </w:r>
    </w:p>
    <w:p w14:paraId="234FEFF7" w14:textId="77777777" w:rsidR="00E2476B" w:rsidRDefault="00E2476B" w:rsidP="00E2476B">
      <w:pPr>
        <w:pStyle w:val="Textbody"/>
        <w:numPr>
          <w:ilvl w:val="0"/>
          <w:numId w:val="20"/>
        </w:numPr>
        <w:spacing w:line="240" w:lineRule="auto"/>
      </w:pPr>
      <w:r>
        <w:rPr>
          <w:i/>
          <w:iCs/>
        </w:rPr>
        <w:t>Peu satisfaisante</w:t>
      </w:r>
    </w:p>
    <w:p w14:paraId="4CB59213" w14:textId="77777777" w:rsidR="00E2476B" w:rsidRDefault="00E2476B" w:rsidP="00E2476B">
      <w:pPr>
        <w:pStyle w:val="Textbody"/>
        <w:numPr>
          <w:ilvl w:val="0"/>
          <w:numId w:val="20"/>
        </w:numPr>
        <w:spacing w:line="240" w:lineRule="auto"/>
      </w:pPr>
      <w:r>
        <w:rPr>
          <w:i/>
          <w:iCs/>
        </w:rPr>
        <w:t>Pas du tout satisfaisante</w:t>
      </w:r>
    </w:p>
    <w:p w14:paraId="6CB1B758" w14:textId="77777777" w:rsidR="00E2476B" w:rsidRDefault="00E2476B" w:rsidP="00E2476B">
      <w:pPr>
        <w:pStyle w:val="Textbody"/>
        <w:spacing w:line="240" w:lineRule="auto"/>
      </w:pPr>
      <w:r>
        <w:rPr>
          <w:b/>
          <w:bCs/>
        </w:rPr>
        <w:t>Question 2 :</w:t>
      </w:r>
      <w:r>
        <w:t xml:space="preserve"> </w:t>
      </w:r>
      <w:r>
        <w:rPr>
          <w:i/>
          <w:iCs/>
        </w:rPr>
        <w:t xml:space="preserve">Lorsque vous pensez à votre </w:t>
      </w:r>
      <w:proofErr w:type="spellStart"/>
      <w:r>
        <w:rPr>
          <w:i/>
          <w:iCs/>
        </w:rPr>
        <w:t>conjoint∙e</w:t>
      </w:r>
      <w:proofErr w:type="spellEnd"/>
      <w:r>
        <w:rPr>
          <w:i/>
          <w:iCs/>
        </w:rPr>
        <w:t xml:space="preserve"> ou partenaire </w:t>
      </w:r>
      <w:proofErr w:type="spellStart"/>
      <w:r>
        <w:rPr>
          <w:i/>
          <w:iCs/>
        </w:rPr>
        <w:t>actuel∙le</w:t>
      </w:r>
      <w:proofErr w:type="spellEnd"/>
      <w:r>
        <w:rPr>
          <w:i/>
          <w:iCs/>
        </w:rPr>
        <w:t xml:space="preserve">, quelle phrase convient le mieux ?  </w:t>
      </w:r>
    </w:p>
    <w:p w14:paraId="78D3A001" w14:textId="77777777" w:rsidR="00E2476B" w:rsidRDefault="00E2476B" w:rsidP="00E2476B">
      <w:pPr>
        <w:pStyle w:val="Textbody"/>
        <w:numPr>
          <w:ilvl w:val="0"/>
          <w:numId w:val="27"/>
        </w:numPr>
        <w:spacing w:line="240" w:lineRule="auto"/>
      </w:pPr>
      <w:r>
        <w:rPr>
          <w:i/>
          <w:iCs/>
        </w:rPr>
        <w:t xml:space="preserve">Vous êtes très </w:t>
      </w:r>
      <w:proofErr w:type="spellStart"/>
      <w:r>
        <w:rPr>
          <w:i/>
          <w:iCs/>
        </w:rPr>
        <w:t>amoureux∙se</w:t>
      </w:r>
      <w:proofErr w:type="spellEnd"/>
    </w:p>
    <w:p w14:paraId="69AE3C13" w14:textId="77777777" w:rsidR="00E2476B" w:rsidRDefault="00E2476B" w:rsidP="00E2476B">
      <w:pPr>
        <w:pStyle w:val="Textbody"/>
        <w:numPr>
          <w:ilvl w:val="0"/>
          <w:numId w:val="23"/>
        </w:numPr>
        <w:spacing w:line="240" w:lineRule="auto"/>
      </w:pPr>
      <w:r>
        <w:rPr>
          <w:i/>
          <w:iCs/>
        </w:rPr>
        <w:t xml:space="preserve">Vous êtes amoureux-se  </w:t>
      </w:r>
    </w:p>
    <w:p w14:paraId="5C438C87" w14:textId="77777777" w:rsidR="00E2476B" w:rsidRDefault="00E2476B" w:rsidP="00E2476B">
      <w:pPr>
        <w:pStyle w:val="Textbody"/>
        <w:numPr>
          <w:ilvl w:val="0"/>
          <w:numId w:val="23"/>
        </w:numPr>
        <w:spacing w:line="240" w:lineRule="auto"/>
      </w:pPr>
      <w:r>
        <w:rPr>
          <w:i/>
          <w:iCs/>
        </w:rPr>
        <w:t>Vous n’êtes plus amoureux-se</w:t>
      </w:r>
    </w:p>
    <w:p w14:paraId="2672F8E7" w14:textId="77777777" w:rsidR="00E2476B" w:rsidRDefault="00E2476B" w:rsidP="00E2476B">
      <w:pPr>
        <w:pStyle w:val="Textbody"/>
        <w:numPr>
          <w:ilvl w:val="0"/>
          <w:numId w:val="23"/>
        </w:numPr>
        <w:spacing w:line="240" w:lineRule="auto"/>
      </w:pPr>
      <w:r>
        <w:rPr>
          <w:i/>
          <w:iCs/>
        </w:rPr>
        <w:t>Vous n’avez jamais été amoureux-se</w:t>
      </w:r>
    </w:p>
    <w:p w14:paraId="23C371F0" w14:textId="77777777" w:rsidR="00E2476B" w:rsidRDefault="00E2476B" w:rsidP="00E2476B">
      <w:pPr>
        <w:pStyle w:val="Textbody"/>
        <w:spacing w:line="240" w:lineRule="auto"/>
      </w:pPr>
      <w:r>
        <w:rPr>
          <w:b/>
          <w:bCs/>
        </w:rPr>
        <w:t>Question 3 :</w:t>
      </w:r>
      <w:r>
        <w:t xml:space="preserve"> </w:t>
      </w:r>
      <w:r>
        <w:rPr>
          <w:i/>
          <w:iCs/>
        </w:rPr>
        <w:t xml:space="preserve">Au cours des 12 derniers mois, vous-même ou votre </w:t>
      </w:r>
      <w:proofErr w:type="spellStart"/>
      <w:r>
        <w:rPr>
          <w:i/>
          <w:iCs/>
        </w:rPr>
        <w:t>conjoint∙e</w:t>
      </w:r>
      <w:proofErr w:type="spellEnd"/>
      <w:r>
        <w:rPr>
          <w:i/>
          <w:iCs/>
        </w:rPr>
        <w:t>, avez-vous eu l'intention de mettre un terme à votre relation de couple ?</w:t>
      </w:r>
    </w:p>
    <w:p w14:paraId="1BF6CA9F" w14:textId="77777777" w:rsidR="00E2476B" w:rsidRDefault="00E2476B" w:rsidP="00E2476B">
      <w:pPr>
        <w:pStyle w:val="Textbody"/>
        <w:numPr>
          <w:ilvl w:val="0"/>
          <w:numId w:val="28"/>
        </w:numPr>
        <w:spacing w:line="240" w:lineRule="auto"/>
      </w:pPr>
      <w:r>
        <w:rPr>
          <w:i/>
          <w:iCs/>
        </w:rPr>
        <w:t>Non</w:t>
      </w:r>
    </w:p>
    <w:p w14:paraId="65C805B5" w14:textId="77777777" w:rsidR="00E2476B" w:rsidRDefault="00E2476B" w:rsidP="00E2476B">
      <w:pPr>
        <w:pStyle w:val="Textbody"/>
        <w:numPr>
          <w:ilvl w:val="0"/>
          <w:numId w:val="22"/>
        </w:numPr>
        <w:spacing w:line="240" w:lineRule="auto"/>
      </w:pPr>
      <w:r>
        <w:rPr>
          <w:i/>
          <w:iCs/>
        </w:rPr>
        <w:t>Oui vous-même</w:t>
      </w:r>
    </w:p>
    <w:p w14:paraId="458FE9B0" w14:textId="77777777" w:rsidR="00E2476B" w:rsidRDefault="00E2476B" w:rsidP="00E2476B">
      <w:pPr>
        <w:pStyle w:val="Textbody"/>
        <w:numPr>
          <w:ilvl w:val="0"/>
          <w:numId w:val="22"/>
        </w:numPr>
        <w:spacing w:line="240" w:lineRule="auto"/>
      </w:pPr>
      <w:r>
        <w:rPr>
          <w:i/>
          <w:iCs/>
        </w:rPr>
        <w:t>Oui votre conjoint</w:t>
      </w:r>
    </w:p>
    <w:p w14:paraId="3D04E539" w14:textId="77777777" w:rsidR="00E2476B" w:rsidRDefault="00E2476B" w:rsidP="00E2476B">
      <w:pPr>
        <w:pStyle w:val="Textbody"/>
        <w:numPr>
          <w:ilvl w:val="0"/>
          <w:numId w:val="22"/>
        </w:numPr>
        <w:spacing w:line="240" w:lineRule="auto"/>
      </w:pPr>
      <w:r>
        <w:rPr>
          <w:i/>
          <w:iCs/>
        </w:rPr>
        <w:t>Oui les deux</w:t>
      </w:r>
    </w:p>
    <w:p w14:paraId="7FDA7ED7" w14:textId="77777777" w:rsidR="00E2476B" w:rsidRDefault="00E2476B" w:rsidP="00E2476B">
      <w:pPr>
        <w:pStyle w:val="Textbody"/>
        <w:spacing w:line="240" w:lineRule="auto"/>
      </w:pPr>
      <w:r>
        <w:rPr>
          <w:b/>
          <w:bCs/>
        </w:rPr>
        <w:t>Question 4 :</w:t>
      </w:r>
      <w:r>
        <w:t xml:space="preserve"> </w:t>
      </w:r>
      <w:r>
        <w:rPr>
          <w:i/>
          <w:iCs/>
        </w:rPr>
        <w:t>Avez-vous actuellement l'un des problèmes de santé suivants ? Dépression, anxiété</w:t>
      </w:r>
    </w:p>
    <w:p w14:paraId="7C40F4B7" w14:textId="77777777" w:rsidR="00E2476B" w:rsidRDefault="00E2476B" w:rsidP="00E2476B">
      <w:pPr>
        <w:pStyle w:val="Textbody"/>
        <w:numPr>
          <w:ilvl w:val="0"/>
          <w:numId w:val="29"/>
        </w:numPr>
        <w:spacing w:line="240" w:lineRule="auto"/>
      </w:pPr>
      <w:r>
        <w:rPr>
          <w:i/>
          <w:iCs/>
        </w:rPr>
        <w:t>Oui</w:t>
      </w:r>
    </w:p>
    <w:p w14:paraId="62F8FEFF" w14:textId="77777777" w:rsidR="00E2476B" w:rsidRDefault="00E2476B" w:rsidP="00E2476B">
      <w:pPr>
        <w:pStyle w:val="Textbody"/>
        <w:numPr>
          <w:ilvl w:val="0"/>
          <w:numId w:val="21"/>
        </w:numPr>
        <w:spacing w:line="240" w:lineRule="auto"/>
      </w:pPr>
      <w:r>
        <w:rPr>
          <w:i/>
          <w:iCs/>
        </w:rPr>
        <w:t>Non</w:t>
      </w:r>
    </w:p>
    <w:p w14:paraId="055B79D9" w14:textId="77777777" w:rsidR="00E2476B" w:rsidRDefault="00E2476B" w:rsidP="00E2476B">
      <w:r>
        <w:t xml:space="preserve">Table 9 : Evaluation de la qualité des relations conjugales actuelles.    </w:t>
      </w:r>
    </w:p>
    <w:tbl>
      <w:tblPr>
        <w:tblW w:w="5000" w:type="pct"/>
        <w:jc w:val="center"/>
        <w:tblLayout w:type="fixed"/>
        <w:tblCellMar>
          <w:left w:w="10" w:type="dxa"/>
          <w:right w:w="10" w:type="dxa"/>
        </w:tblCellMar>
        <w:tblLook w:val="0000" w:firstRow="0" w:lastRow="0" w:firstColumn="0" w:lastColumn="0" w:noHBand="0" w:noVBand="0"/>
      </w:tblPr>
      <w:tblGrid>
        <w:gridCol w:w="966"/>
        <w:gridCol w:w="840"/>
        <w:gridCol w:w="842"/>
        <w:gridCol w:w="841"/>
        <w:gridCol w:w="841"/>
        <w:gridCol w:w="840"/>
        <w:gridCol w:w="840"/>
        <w:gridCol w:w="841"/>
        <w:gridCol w:w="840"/>
        <w:gridCol w:w="840"/>
        <w:gridCol w:w="843"/>
      </w:tblGrid>
      <w:tr w:rsidR="00E2476B" w14:paraId="7BA5E336" w14:textId="77777777" w:rsidTr="0018419C">
        <w:trPr>
          <w:tblHeader/>
          <w:jc w:val="center"/>
        </w:trPr>
        <w:tc>
          <w:tcPr>
            <w:tcW w:w="96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15E1AF4"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2530"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23CC10F"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Femmes</w:t>
            </w:r>
          </w:p>
        </w:tc>
        <w:tc>
          <w:tcPr>
            <w:tcW w:w="2530" w:type="dxa"/>
            <w:gridSpan w:val="3"/>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FC71BB0"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Hommes</w:t>
            </w:r>
          </w:p>
        </w:tc>
        <w:tc>
          <w:tcPr>
            <w:tcW w:w="1687" w:type="dxa"/>
            <w:gridSpan w:val="2"/>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47E1476"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LGBT — Femmes</w:t>
            </w:r>
          </w:p>
        </w:tc>
        <w:tc>
          <w:tcPr>
            <w:tcW w:w="1689" w:type="dxa"/>
            <w:gridSpan w:val="2"/>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23E3F7CB"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LGBT — Hommes</w:t>
            </w:r>
          </w:p>
        </w:tc>
      </w:tr>
      <w:tr w:rsidR="00E2476B" w14:paraId="18967F6C" w14:textId="77777777" w:rsidTr="0018419C">
        <w:trPr>
          <w:tblHeader/>
          <w:jc w:val="center"/>
        </w:trPr>
        <w:tc>
          <w:tcPr>
            <w:tcW w:w="96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60A7EDD"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84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BB19BA7"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(57)</w:t>
            </w:r>
            <w:r>
              <w:rPr>
                <w:rFonts w:ascii="Times New Roman" w:eastAsia="Arial" w:hAnsi="Times New Roman" w:cs="Times New Roman"/>
                <w:color w:val="000000"/>
                <w:sz w:val="14"/>
                <w:szCs w:val="14"/>
                <w:vertAlign w:val="superscript"/>
              </w:rPr>
              <w:t>1</w:t>
            </w:r>
          </w:p>
        </w:tc>
        <w:tc>
          <w:tcPr>
            <w:tcW w:w="84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7AD5EC9"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(70)</w:t>
            </w:r>
            <w:r>
              <w:rPr>
                <w:rFonts w:ascii="Times New Roman" w:eastAsia="Arial" w:hAnsi="Times New Roman" w:cs="Times New Roman"/>
                <w:color w:val="000000"/>
                <w:sz w:val="14"/>
                <w:szCs w:val="14"/>
                <w:vertAlign w:val="superscript"/>
              </w:rPr>
              <w:t>1</w:t>
            </w:r>
          </w:p>
        </w:tc>
        <w:tc>
          <w:tcPr>
            <w:tcW w:w="84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11A2E73"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(9 911)</w:t>
            </w:r>
            <w:r>
              <w:rPr>
                <w:rFonts w:ascii="Times New Roman" w:eastAsia="Arial" w:hAnsi="Times New Roman" w:cs="Times New Roman"/>
                <w:color w:val="000000"/>
                <w:sz w:val="14"/>
                <w:szCs w:val="14"/>
                <w:vertAlign w:val="superscript"/>
              </w:rPr>
              <w:t>1</w:t>
            </w:r>
          </w:p>
        </w:tc>
        <w:tc>
          <w:tcPr>
            <w:tcW w:w="84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47494B1"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(81)</w:t>
            </w:r>
            <w:r>
              <w:rPr>
                <w:rFonts w:ascii="Times New Roman" w:eastAsia="Arial" w:hAnsi="Times New Roman" w:cs="Times New Roman"/>
                <w:color w:val="000000"/>
                <w:sz w:val="14"/>
                <w:szCs w:val="14"/>
                <w:vertAlign w:val="superscript"/>
              </w:rPr>
              <w:t>1</w:t>
            </w:r>
          </w:p>
        </w:tc>
        <w:tc>
          <w:tcPr>
            <w:tcW w:w="84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7793CDD"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(30)</w:t>
            </w:r>
            <w:r>
              <w:rPr>
                <w:rFonts w:ascii="Times New Roman" w:eastAsia="Arial" w:hAnsi="Times New Roman" w:cs="Times New Roman"/>
                <w:color w:val="000000"/>
                <w:sz w:val="14"/>
                <w:szCs w:val="14"/>
                <w:vertAlign w:val="superscript"/>
              </w:rPr>
              <w:t>1</w:t>
            </w:r>
          </w:p>
        </w:tc>
        <w:tc>
          <w:tcPr>
            <w:tcW w:w="84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120EB8A"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(7 811)</w:t>
            </w:r>
            <w:r>
              <w:rPr>
                <w:rFonts w:ascii="Times New Roman" w:eastAsia="Arial" w:hAnsi="Times New Roman" w:cs="Times New Roman"/>
                <w:color w:val="000000"/>
                <w:sz w:val="14"/>
                <w:szCs w:val="14"/>
                <w:vertAlign w:val="superscript"/>
              </w:rPr>
              <w:t>1</w:t>
            </w:r>
          </w:p>
        </w:tc>
        <w:tc>
          <w:tcPr>
            <w:tcW w:w="844"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6F8CD45"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(1 599)</w:t>
            </w:r>
            <w:r>
              <w:rPr>
                <w:rFonts w:ascii="Times New Roman" w:eastAsia="Arial" w:hAnsi="Times New Roman" w:cs="Times New Roman"/>
                <w:color w:val="000000"/>
                <w:sz w:val="14"/>
                <w:szCs w:val="14"/>
                <w:vertAlign w:val="superscript"/>
              </w:rPr>
              <w:t>1</w:t>
            </w:r>
          </w:p>
        </w:tc>
        <w:tc>
          <w:tcPr>
            <w:tcW w:w="84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1E7BC7D"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(384)</w:t>
            </w:r>
            <w:r>
              <w:rPr>
                <w:rFonts w:ascii="Times New Roman" w:eastAsia="Arial" w:hAnsi="Times New Roman" w:cs="Times New Roman"/>
                <w:color w:val="000000"/>
                <w:sz w:val="14"/>
                <w:szCs w:val="14"/>
                <w:vertAlign w:val="superscript"/>
              </w:rPr>
              <w:t>1</w:t>
            </w:r>
          </w:p>
        </w:tc>
        <w:tc>
          <w:tcPr>
            <w:tcW w:w="84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236DAE1"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(1 651)</w:t>
            </w:r>
            <w:r>
              <w:rPr>
                <w:rFonts w:ascii="Times New Roman" w:eastAsia="Arial" w:hAnsi="Times New Roman" w:cs="Times New Roman"/>
                <w:color w:val="000000"/>
                <w:sz w:val="14"/>
                <w:szCs w:val="14"/>
                <w:vertAlign w:val="superscript"/>
              </w:rPr>
              <w:t>1</w:t>
            </w:r>
          </w:p>
        </w:tc>
        <w:tc>
          <w:tcPr>
            <w:tcW w:w="846"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1D77D0EB"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(163)</w:t>
            </w:r>
            <w:r>
              <w:rPr>
                <w:rFonts w:ascii="Times New Roman" w:eastAsia="Arial" w:hAnsi="Times New Roman" w:cs="Times New Roman"/>
                <w:color w:val="000000"/>
                <w:sz w:val="14"/>
                <w:szCs w:val="14"/>
                <w:vertAlign w:val="superscript"/>
              </w:rPr>
              <w:t>1</w:t>
            </w:r>
          </w:p>
        </w:tc>
      </w:tr>
      <w:tr w:rsidR="00E2476B" w14:paraId="685B7195" w14:textId="77777777" w:rsidTr="0018419C">
        <w:trPr>
          <w:jc w:val="center"/>
        </w:trPr>
        <w:tc>
          <w:tcPr>
            <w:tcW w:w="9404" w:type="dxa"/>
            <w:gridSpan w:val="11"/>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60A3009D"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Satisfait de la relation de couple actuelle</w:t>
            </w:r>
          </w:p>
        </w:tc>
      </w:tr>
      <w:tr w:rsidR="00E2476B" w14:paraId="58A8F994"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17214636"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Oui</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728F3A5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98,1%</w:t>
            </w:r>
            <w:r>
              <w:rPr>
                <w:rFonts w:ascii="Times New Roman" w:eastAsia="Arial" w:hAnsi="Times New Roman" w:cs="Times New Roman"/>
                <w:color w:val="000000"/>
                <w:sz w:val="14"/>
                <w:szCs w:val="14"/>
              </w:rPr>
              <w:br/>
              <w:t>(55)</w:t>
            </w:r>
            <w:r>
              <w:rPr>
                <w:rFonts w:ascii="Times New Roman" w:eastAsia="Arial" w:hAnsi="Times New Roman" w:cs="Times New Roman"/>
                <w:color w:val="000000"/>
                <w:sz w:val="14"/>
                <w:szCs w:val="14"/>
              </w:rPr>
              <w:br/>
              <w:t>[92-100]</w:t>
            </w:r>
            <w:r>
              <w:rPr>
                <w:rFonts w:ascii="Times New Roman" w:eastAsia="Arial" w:hAnsi="Times New Roman" w:cs="Times New Roman"/>
                <w:color w:val="000000"/>
                <w:sz w:val="14"/>
                <w:szCs w:val="14"/>
                <w:vertAlign w:val="superscript"/>
              </w:rPr>
              <w:t>3</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BBEFD3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83,4%</w:t>
            </w:r>
            <w:r>
              <w:rPr>
                <w:rFonts w:ascii="Times New Roman" w:eastAsia="Arial" w:hAnsi="Times New Roman" w:cs="Times New Roman"/>
                <w:color w:val="000000"/>
                <w:sz w:val="14"/>
                <w:szCs w:val="14"/>
              </w:rPr>
              <w:br/>
              <w:t>(62)</w:t>
            </w:r>
            <w:r>
              <w:rPr>
                <w:rFonts w:ascii="Times New Roman" w:eastAsia="Arial" w:hAnsi="Times New Roman" w:cs="Times New Roman"/>
                <w:color w:val="000000"/>
                <w:sz w:val="14"/>
                <w:szCs w:val="14"/>
              </w:rPr>
              <w:br/>
              <w:t>[66-93]</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690420E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96,3%</w:t>
            </w:r>
            <w:r>
              <w:rPr>
                <w:rFonts w:ascii="Times New Roman" w:eastAsia="Arial" w:hAnsi="Times New Roman" w:cs="Times New Roman"/>
                <w:color w:val="000000"/>
                <w:sz w:val="14"/>
                <w:szCs w:val="14"/>
              </w:rPr>
              <w:br/>
              <w:t>(9 467)</w:t>
            </w:r>
            <w:r>
              <w:rPr>
                <w:rFonts w:ascii="Times New Roman" w:eastAsia="Arial" w:hAnsi="Times New Roman" w:cs="Times New Roman"/>
                <w:color w:val="000000"/>
                <w:sz w:val="14"/>
                <w:szCs w:val="14"/>
              </w:rPr>
              <w:br/>
              <w:t>[96-97]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E704C7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98,6%</w:t>
            </w:r>
            <w:r>
              <w:rPr>
                <w:rFonts w:ascii="Times New Roman" w:eastAsia="Arial" w:hAnsi="Times New Roman" w:cs="Times New Roman"/>
                <w:color w:val="000000"/>
                <w:sz w:val="14"/>
                <w:szCs w:val="14"/>
              </w:rPr>
              <w:br/>
              <w:t>(78)</w:t>
            </w:r>
            <w:r>
              <w:rPr>
                <w:rFonts w:ascii="Times New Roman" w:eastAsia="Arial" w:hAnsi="Times New Roman" w:cs="Times New Roman"/>
                <w:color w:val="000000"/>
                <w:sz w:val="14"/>
                <w:szCs w:val="14"/>
              </w:rPr>
              <w:br/>
              <w:t>[95-100]</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15322A5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93,5%</w:t>
            </w:r>
            <w:r>
              <w:rPr>
                <w:rFonts w:ascii="Times New Roman" w:eastAsia="Arial" w:hAnsi="Times New Roman" w:cs="Times New Roman"/>
                <w:color w:val="000000"/>
                <w:sz w:val="14"/>
                <w:szCs w:val="14"/>
              </w:rPr>
              <w:br/>
              <w:t>(27)</w:t>
            </w:r>
            <w:r>
              <w:rPr>
                <w:rFonts w:ascii="Times New Roman" w:eastAsia="Arial" w:hAnsi="Times New Roman" w:cs="Times New Roman"/>
                <w:color w:val="000000"/>
                <w:sz w:val="14"/>
                <w:szCs w:val="14"/>
              </w:rPr>
              <w:br/>
              <w:t>[80-98]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08E9BB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96,9%</w:t>
            </w:r>
            <w:r>
              <w:rPr>
                <w:rFonts w:ascii="Times New Roman" w:eastAsia="Arial" w:hAnsi="Times New Roman" w:cs="Times New Roman"/>
                <w:color w:val="000000"/>
                <w:sz w:val="14"/>
                <w:szCs w:val="14"/>
              </w:rPr>
              <w:br/>
              <w:t>(7 510)</w:t>
            </w:r>
            <w:r>
              <w:rPr>
                <w:rFonts w:ascii="Times New Roman" w:eastAsia="Arial" w:hAnsi="Times New Roman" w:cs="Times New Roman"/>
                <w:color w:val="000000"/>
                <w:sz w:val="14"/>
                <w:szCs w:val="14"/>
              </w:rPr>
              <w:br/>
              <w:t>[96-97]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39F905C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92,0%</w:t>
            </w:r>
            <w:r>
              <w:rPr>
                <w:rFonts w:ascii="Times New Roman" w:eastAsia="Arial" w:hAnsi="Times New Roman" w:cs="Times New Roman"/>
                <w:color w:val="000000"/>
                <w:sz w:val="14"/>
                <w:szCs w:val="14"/>
              </w:rPr>
              <w:br/>
              <w:t>(1 466)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215FDA5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89,5%</w:t>
            </w:r>
            <w:r>
              <w:rPr>
                <w:rFonts w:ascii="Times New Roman" w:eastAsia="Arial" w:hAnsi="Times New Roman" w:cs="Times New Roman"/>
                <w:color w:val="000000"/>
                <w:sz w:val="14"/>
                <w:szCs w:val="14"/>
              </w:rPr>
              <w:br/>
              <w:t>(342)</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548322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87,7%</w:t>
            </w:r>
            <w:r>
              <w:rPr>
                <w:rFonts w:ascii="Times New Roman" w:eastAsia="Arial" w:hAnsi="Times New Roman" w:cs="Times New Roman"/>
                <w:color w:val="000000"/>
                <w:sz w:val="14"/>
                <w:szCs w:val="14"/>
              </w:rPr>
              <w:br/>
              <w:t>(1 441)</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6DB8768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76,4%</w:t>
            </w:r>
            <w:r>
              <w:rPr>
                <w:rFonts w:ascii="Times New Roman" w:eastAsia="Arial" w:hAnsi="Times New Roman" w:cs="Times New Roman"/>
                <w:color w:val="000000"/>
                <w:sz w:val="14"/>
                <w:szCs w:val="14"/>
              </w:rPr>
              <w:br/>
              <w:t>(123)</w:t>
            </w:r>
          </w:p>
        </w:tc>
      </w:tr>
      <w:tr w:rsidR="00E2476B" w14:paraId="646B0103"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657B946E"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Non</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50FA2ED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1,9%</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[0,45-7,9]</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28E45AC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16,6%</w:t>
            </w:r>
            <w:r>
              <w:rPr>
                <w:rFonts w:ascii="Times New Roman" w:eastAsia="Arial" w:hAnsi="Times New Roman" w:cs="Times New Roman"/>
                <w:color w:val="000000"/>
                <w:sz w:val="14"/>
                <w:szCs w:val="14"/>
              </w:rPr>
              <w:br/>
              <w:t>(8)</w:t>
            </w:r>
            <w:r>
              <w:rPr>
                <w:rFonts w:ascii="Times New Roman" w:eastAsia="Arial" w:hAnsi="Times New Roman" w:cs="Times New Roman"/>
                <w:color w:val="000000"/>
                <w:sz w:val="14"/>
                <w:szCs w:val="14"/>
              </w:rPr>
              <w:br/>
              <w:t>[7,2-34]</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B7C631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br/>
              <w:t>(394)</w:t>
            </w:r>
            <w:r>
              <w:rPr>
                <w:rFonts w:ascii="Times New Roman" w:eastAsia="Arial" w:hAnsi="Times New Roman" w:cs="Times New Roman"/>
                <w:color w:val="000000"/>
                <w:sz w:val="14"/>
                <w:szCs w:val="14"/>
              </w:rPr>
              <w:br/>
              <w:t>[3,2-4,2]</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DF2ED9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1,4%</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[0,40-4,6]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B9140B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6,5%</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[1,9-20]</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E6DD48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3,1%</w:t>
            </w:r>
            <w:r>
              <w:rPr>
                <w:rFonts w:ascii="Times New Roman" w:eastAsia="Arial" w:hAnsi="Times New Roman" w:cs="Times New Roman"/>
                <w:color w:val="000000"/>
                <w:sz w:val="14"/>
                <w:szCs w:val="14"/>
              </w:rPr>
              <w:br/>
              <w:t>(268)</w:t>
            </w:r>
            <w:r>
              <w:rPr>
                <w:rFonts w:ascii="Times New Roman" w:eastAsia="Arial" w:hAnsi="Times New Roman" w:cs="Times New Roman"/>
                <w:color w:val="000000"/>
                <w:sz w:val="14"/>
                <w:szCs w:val="14"/>
              </w:rPr>
              <w:br/>
              <w:t>[2,7-3,7]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267E08B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8,0%</w:t>
            </w:r>
            <w:r>
              <w:rPr>
                <w:rFonts w:ascii="Times New Roman" w:eastAsia="Arial" w:hAnsi="Times New Roman" w:cs="Times New Roman"/>
                <w:color w:val="000000"/>
                <w:sz w:val="14"/>
                <w:szCs w:val="14"/>
              </w:rPr>
              <w:br/>
              <w:t>(128)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C223D7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10,5%</w:t>
            </w:r>
            <w:r>
              <w:rPr>
                <w:rFonts w:ascii="Times New Roman" w:eastAsia="Arial" w:hAnsi="Times New Roman" w:cs="Times New Roman"/>
                <w:color w:val="000000"/>
                <w:sz w:val="14"/>
                <w:szCs w:val="14"/>
              </w:rPr>
              <w:br/>
              <w:t>(40)</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89D9D6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12,3%</w:t>
            </w:r>
            <w:r>
              <w:rPr>
                <w:rFonts w:ascii="Times New Roman" w:eastAsia="Arial" w:hAnsi="Times New Roman" w:cs="Times New Roman"/>
                <w:color w:val="000000"/>
                <w:sz w:val="14"/>
                <w:szCs w:val="14"/>
              </w:rPr>
              <w:br/>
              <w:t>(203)</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31AD679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23,6%</w:t>
            </w:r>
            <w:r>
              <w:rPr>
                <w:rFonts w:ascii="Times New Roman" w:eastAsia="Arial" w:hAnsi="Times New Roman" w:cs="Times New Roman"/>
                <w:color w:val="000000"/>
                <w:sz w:val="14"/>
                <w:szCs w:val="14"/>
              </w:rPr>
              <w:br/>
              <w:t>(38)</w:t>
            </w:r>
          </w:p>
        </w:tc>
      </w:tr>
      <w:tr w:rsidR="00E2476B" w14:paraId="7C1B3B82"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7812BA09"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0177E55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2</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6FA59D4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0,2</w:t>
            </w:r>
            <w:r>
              <w:rPr>
                <w:rFonts w:ascii="Times New Roman" w:eastAsia="Arial" w:hAnsi="Times New Roman" w:cs="Times New Roman"/>
                <w:color w:val="000000"/>
                <w:sz w:val="14"/>
                <w:szCs w:val="14"/>
                <w:vertAlign w:val="superscript"/>
              </w:rPr>
              <w:t>2</w:t>
            </w:r>
          </w:p>
        </w:tc>
        <w:tc>
          <w:tcPr>
            <w:tcW w:w="1687"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3F90B8B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0,13</w:t>
            </w:r>
            <w:r>
              <w:rPr>
                <w:rFonts w:ascii="Times New Roman" w:eastAsia="Arial" w:hAnsi="Times New Roman" w:cs="Times New Roman"/>
                <w:color w:val="000000"/>
                <w:sz w:val="14"/>
                <w:szCs w:val="14"/>
                <w:vertAlign w:val="superscript"/>
              </w:rPr>
              <w:t>3</w:t>
            </w:r>
          </w:p>
        </w:tc>
        <w:tc>
          <w:tcPr>
            <w:tcW w:w="1689"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2E0B21C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r>
      <w:tr w:rsidR="00E2476B" w14:paraId="59614C9A" w14:textId="77777777" w:rsidTr="0018419C">
        <w:trPr>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3BC6EC3A"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Sentiment amoureux vis-à-vis partenaire</w:t>
            </w:r>
          </w:p>
        </w:tc>
      </w:tr>
      <w:tr w:rsidR="00E2476B" w14:paraId="1D319BD4"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04C4A07E"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Oui</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064DAE8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100,0%</w:t>
            </w:r>
            <w:r>
              <w:rPr>
                <w:rFonts w:ascii="Times New Roman" w:eastAsia="Arial" w:hAnsi="Times New Roman" w:cs="Times New Roman"/>
                <w:color w:val="000000"/>
                <w:sz w:val="14"/>
                <w:szCs w:val="14"/>
              </w:rPr>
              <w:br/>
              <w:t>(56)</w:t>
            </w:r>
            <w:r>
              <w:rPr>
                <w:rFonts w:ascii="Times New Roman" w:eastAsia="Arial" w:hAnsi="Times New Roman" w:cs="Times New Roman"/>
                <w:color w:val="000000"/>
                <w:sz w:val="14"/>
                <w:szCs w:val="14"/>
              </w:rPr>
              <w:br/>
              <w:t>[100-100]</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6D2C758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87,1%</w:t>
            </w:r>
            <w:r>
              <w:rPr>
                <w:rFonts w:ascii="Times New Roman" w:eastAsia="Arial" w:hAnsi="Times New Roman" w:cs="Times New Roman"/>
                <w:color w:val="000000"/>
                <w:sz w:val="14"/>
                <w:szCs w:val="14"/>
              </w:rPr>
              <w:br/>
              <w:t>(63)</w:t>
            </w:r>
            <w:r>
              <w:rPr>
                <w:rFonts w:ascii="Times New Roman" w:eastAsia="Arial" w:hAnsi="Times New Roman" w:cs="Times New Roman"/>
                <w:color w:val="000000"/>
                <w:sz w:val="14"/>
                <w:szCs w:val="14"/>
              </w:rPr>
              <w:br/>
              <w:t>[67-96]</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DA6E1F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97,0%</w:t>
            </w:r>
            <w:r>
              <w:rPr>
                <w:rFonts w:ascii="Times New Roman" w:eastAsia="Arial" w:hAnsi="Times New Roman" w:cs="Times New Roman"/>
                <w:color w:val="000000"/>
                <w:sz w:val="14"/>
                <w:szCs w:val="14"/>
              </w:rPr>
              <w:br/>
              <w:t>(9 350)</w:t>
            </w:r>
            <w:r>
              <w:rPr>
                <w:rFonts w:ascii="Times New Roman" w:eastAsia="Arial" w:hAnsi="Times New Roman" w:cs="Times New Roman"/>
                <w:color w:val="000000"/>
                <w:sz w:val="14"/>
                <w:szCs w:val="14"/>
              </w:rPr>
              <w:br/>
              <w:t>[96-97]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663793A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94,4%</w:t>
            </w:r>
            <w:r>
              <w:rPr>
                <w:rFonts w:ascii="Times New Roman" w:eastAsia="Arial" w:hAnsi="Times New Roman" w:cs="Times New Roman"/>
                <w:color w:val="000000"/>
                <w:sz w:val="14"/>
                <w:szCs w:val="14"/>
              </w:rPr>
              <w:br/>
              <w:t>(76)</w:t>
            </w:r>
            <w:r>
              <w:rPr>
                <w:rFonts w:ascii="Times New Roman" w:eastAsia="Arial" w:hAnsi="Times New Roman" w:cs="Times New Roman"/>
                <w:color w:val="000000"/>
                <w:sz w:val="14"/>
                <w:szCs w:val="14"/>
              </w:rPr>
              <w:br/>
              <w:t>[79-99]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D29309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87,7%</w:t>
            </w:r>
            <w:r>
              <w:rPr>
                <w:rFonts w:ascii="Times New Roman" w:eastAsia="Arial" w:hAnsi="Times New Roman" w:cs="Times New Roman"/>
                <w:color w:val="000000"/>
                <w:sz w:val="14"/>
                <w:szCs w:val="14"/>
              </w:rPr>
              <w:br/>
              <w:t>(25)</w:t>
            </w:r>
            <w:r>
              <w:rPr>
                <w:rFonts w:ascii="Times New Roman" w:eastAsia="Arial" w:hAnsi="Times New Roman" w:cs="Times New Roman"/>
                <w:color w:val="000000"/>
                <w:sz w:val="14"/>
                <w:szCs w:val="14"/>
              </w:rPr>
              <w:br/>
              <w:t>[71-95]</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303AA59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98,1%</w:t>
            </w:r>
            <w:r>
              <w:rPr>
                <w:rFonts w:ascii="Times New Roman" w:eastAsia="Arial" w:hAnsi="Times New Roman" w:cs="Times New Roman"/>
                <w:color w:val="000000"/>
                <w:sz w:val="14"/>
                <w:szCs w:val="14"/>
              </w:rPr>
              <w:br/>
              <w:t>(7 530)</w:t>
            </w:r>
            <w:r>
              <w:rPr>
                <w:rFonts w:ascii="Times New Roman" w:eastAsia="Arial" w:hAnsi="Times New Roman" w:cs="Times New Roman"/>
                <w:color w:val="000000"/>
                <w:sz w:val="14"/>
                <w:szCs w:val="14"/>
              </w:rPr>
              <w:br/>
              <w:t>[98-98]</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4EE7DD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96,4%</w:t>
            </w:r>
            <w:r>
              <w:rPr>
                <w:rFonts w:ascii="Times New Roman" w:eastAsia="Arial" w:hAnsi="Times New Roman" w:cs="Times New Roman"/>
                <w:color w:val="000000"/>
                <w:sz w:val="14"/>
                <w:szCs w:val="14"/>
              </w:rPr>
              <w:br/>
              <w:t>(1 516)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C5FB7D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94,9%</w:t>
            </w:r>
            <w:r>
              <w:rPr>
                <w:rFonts w:ascii="Times New Roman" w:eastAsia="Arial" w:hAnsi="Times New Roman" w:cs="Times New Roman"/>
                <w:color w:val="000000"/>
                <w:sz w:val="14"/>
                <w:szCs w:val="14"/>
              </w:rPr>
              <w:br/>
              <w:t>(357)</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F1BA4A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92,8%</w:t>
            </w:r>
            <w:r>
              <w:rPr>
                <w:rFonts w:ascii="Times New Roman" w:eastAsia="Arial" w:hAnsi="Times New Roman" w:cs="Times New Roman"/>
                <w:color w:val="000000"/>
                <w:sz w:val="14"/>
                <w:szCs w:val="14"/>
              </w:rPr>
              <w:br/>
              <w:t>(1 490)</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4289027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86,8%</w:t>
            </w:r>
            <w:r>
              <w:rPr>
                <w:rFonts w:ascii="Times New Roman" w:eastAsia="Arial" w:hAnsi="Times New Roman" w:cs="Times New Roman"/>
                <w:color w:val="000000"/>
                <w:sz w:val="14"/>
                <w:szCs w:val="14"/>
              </w:rPr>
              <w:br/>
              <w:t>(132)</w:t>
            </w:r>
          </w:p>
        </w:tc>
      </w:tr>
      <w:tr w:rsidR="00E2476B" w14:paraId="744EEA72"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1333D7C1"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Non</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46E8C26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br/>
              <w:t>(0)</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6A75F71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12,9%</w:t>
            </w:r>
            <w:r>
              <w:rPr>
                <w:rFonts w:ascii="Times New Roman" w:eastAsia="Arial" w:hAnsi="Times New Roman" w:cs="Times New Roman"/>
                <w:color w:val="000000"/>
                <w:sz w:val="14"/>
                <w:szCs w:val="14"/>
              </w:rPr>
              <w:br/>
              <w:t>(5)</w:t>
            </w:r>
            <w:r>
              <w:rPr>
                <w:rFonts w:ascii="Times New Roman" w:eastAsia="Arial" w:hAnsi="Times New Roman" w:cs="Times New Roman"/>
                <w:color w:val="000000"/>
                <w:sz w:val="14"/>
                <w:szCs w:val="14"/>
              </w:rPr>
              <w:br/>
              <w:t>[4,2-33]</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A948D1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3,0%</w:t>
            </w:r>
            <w:r>
              <w:rPr>
                <w:rFonts w:ascii="Times New Roman" w:eastAsia="Arial" w:hAnsi="Times New Roman" w:cs="Times New Roman"/>
                <w:color w:val="000000"/>
                <w:sz w:val="14"/>
                <w:szCs w:val="14"/>
              </w:rPr>
              <w:br/>
              <w:t>(337)</w:t>
            </w:r>
            <w:r>
              <w:rPr>
                <w:rFonts w:ascii="Times New Roman" w:eastAsia="Arial" w:hAnsi="Times New Roman" w:cs="Times New Roman"/>
                <w:color w:val="000000"/>
                <w:sz w:val="14"/>
                <w:szCs w:val="14"/>
              </w:rPr>
              <w:br/>
              <w:t>[2,6-3,5]</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3FF46DA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[1,3-21]</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1F1EE35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12,3%</w:t>
            </w:r>
            <w:r>
              <w:rPr>
                <w:rFonts w:ascii="Times New Roman" w:eastAsia="Arial" w:hAnsi="Times New Roman" w:cs="Times New Roman"/>
                <w:color w:val="000000"/>
                <w:sz w:val="14"/>
                <w:szCs w:val="14"/>
              </w:rPr>
              <w:br/>
              <w:t>(5)</w:t>
            </w:r>
            <w:r>
              <w:rPr>
                <w:rFonts w:ascii="Times New Roman" w:eastAsia="Arial" w:hAnsi="Times New Roman" w:cs="Times New Roman"/>
                <w:color w:val="000000"/>
                <w:sz w:val="14"/>
                <w:szCs w:val="14"/>
              </w:rPr>
              <w:br/>
              <w:t>[4,5-29]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F04C51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1,9%</w:t>
            </w:r>
            <w:r>
              <w:rPr>
                <w:rFonts w:ascii="Times New Roman" w:eastAsia="Arial" w:hAnsi="Times New Roman" w:cs="Times New Roman"/>
                <w:color w:val="000000"/>
                <w:sz w:val="14"/>
                <w:szCs w:val="14"/>
              </w:rPr>
              <w:br/>
              <w:t>(160)</w:t>
            </w:r>
            <w:r>
              <w:rPr>
                <w:rFonts w:ascii="Times New Roman" w:eastAsia="Arial" w:hAnsi="Times New Roman" w:cs="Times New Roman"/>
                <w:color w:val="000000"/>
                <w:sz w:val="14"/>
                <w:szCs w:val="14"/>
              </w:rPr>
              <w:br/>
              <w:t>[1,6-2,3]</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509010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3,6%</w:t>
            </w:r>
            <w:r>
              <w:rPr>
                <w:rFonts w:ascii="Times New Roman" w:eastAsia="Arial" w:hAnsi="Times New Roman" w:cs="Times New Roman"/>
                <w:color w:val="000000"/>
                <w:sz w:val="14"/>
                <w:szCs w:val="14"/>
              </w:rPr>
              <w:br/>
              <w:t>(57)</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57A54D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5,1%</w:t>
            </w:r>
            <w:r>
              <w:rPr>
                <w:rFonts w:ascii="Times New Roman" w:eastAsia="Arial" w:hAnsi="Times New Roman" w:cs="Times New Roman"/>
                <w:color w:val="000000"/>
                <w:sz w:val="14"/>
                <w:szCs w:val="14"/>
              </w:rPr>
              <w:br/>
              <w:t>(19)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116C04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7,2%</w:t>
            </w:r>
            <w:r>
              <w:rPr>
                <w:rFonts w:ascii="Times New Roman" w:eastAsia="Arial" w:hAnsi="Times New Roman" w:cs="Times New Roman"/>
                <w:color w:val="000000"/>
                <w:sz w:val="14"/>
                <w:szCs w:val="14"/>
              </w:rPr>
              <w:br/>
              <w:t>(116)</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10DC73B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13,2%</w:t>
            </w:r>
            <w:r>
              <w:rPr>
                <w:rFonts w:ascii="Times New Roman" w:eastAsia="Arial" w:hAnsi="Times New Roman" w:cs="Times New Roman"/>
                <w:color w:val="000000"/>
                <w:sz w:val="14"/>
                <w:szCs w:val="14"/>
              </w:rPr>
              <w:br/>
              <w:t>(20)</w:t>
            </w:r>
          </w:p>
        </w:tc>
      </w:tr>
      <w:tr w:rsidR="00E2476B" w14:paraId="6D69FD85"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12850A82"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lastRenderedPageBreak/>
              <w:t>P-valeur</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14F0D0B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0,004</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75835B0F"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0,004</w:t>
            </w:r>
          </w:p>
        </w:tc>
        <w:tc>
          <w:tcPr>
            <w:tcW w:w="1687"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4B494E3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0,2</w:t>
            </w:r>
          </w:p>
        </w:tc>
        <w:tc>
          <w:tcPr>
            <w:tcW w:w="1689"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5649EF3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0,016</w:t>
            </w:r>
          </w:p>
        </w:tc>
      </w:tr>
      <w:tr w:rsidR="00E2476B" w14:paraId="41B9FA1A" w14:textId="77777777" w:rsidTr="0018419C">
        <w:trPr>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162FC58A"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Intention de rompre (12 derniers mois)</w:t>
            </w:r>
          </w:p>
        </w:tc>
      </w:tr>
      <w:tr w:rsidR="00E2476B" w14:paraId="4DB2EA0D"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16BC8F6A"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Oui</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5AD6926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5,9%</w:t>
            </w:r>
            <w:r>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br/>
              <w:t>[1,8-18]</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4BC2CE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39,1%</w:t>
            </w:r>
            <w:r>
              <w:rPr>
                <w:rFonts w:ascii="Times New Roman" w:eastAsia="Arial" w:hAnsi="Times New Roman" w:cs="Times New Roman"/>
                <w:color w:val="000000"/>
                <w:sz w:val="14"/>
                <w:szCs w:val="14"/>
              </w:rPr>
              <w:br/>
              <w:t>(22)</w:t>
            </w:r>
            <w:r>
              <w:rPr>
                <w:rFonts w:ascii="Times New Roman" w:eastAsia="Arial" w:hAnsi="Times New Roman" w:cs="Times New Roman"/>
                <w:color w:val="000000"/>
                <w:sz w:val="14"/>
                <w:szCs w:val="14"/>
              </w:rPr>
              <w:br/>
              <w:t>[25-55]</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21444F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6,3%</w:t>
            </w:r>
            <w:r>
              <w:rPr>
                <w:rFonts w:ascii="Times New Roman" w:eastAsia="Arial" w:hAnsi="Times New Roman" w:cs="Times New Roman"/>
                <w:color w:val="000000"/>
                <w:sz w:val="14"/>
                <w:szCs w:val="14"/>
              </w:rPr>
              <w:br/>
              <w:t>(612)</w:t>
            </w:r>
            <w:r>
              <w:rPr>
                <w:rFonts w:ascii="Times New Roman" w:eastAsia="Arial" w:hAnsi="Times New Roman" w:cs="Times New Roman"/>
                <w:color w:val="000000"/>
                <w:sz w:val="14"/>
                <w:szCs w:val="14"/>
              </w:rPr>
              <w:br/>
              <w:t>[5,7-6,9]</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0EA6422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7,8%</w:t>
            </w:r>
            <w:r>
              <w:rPr>
                <w:rFonts w:ascii="Times New Roman" w:eastAsia="Arial" w:hAnsi="Times New Roman" w:cs="Times New Roman"/>
                <w:color w:val="000000"/>
                <w:sz w:val="14"/>
                <w:szCs w:val="14"/>
              </w:rPr>
              <w:br/>
              <w:t>(9)</w:t>
            </w:r>
            <w:r>
              <w:rPr>
                <w:rFonts w:ascii="Times New Roman" w:eastAsia="Arial" w:hAnsi="Times New Roman" w:cs="Times New Roman"/>
                <w:color w:val="000000"/>
                <w:sz w:val="14"/>
                <w:szCs w:val="14"/>
              </w:rPr>
              <w:br/>
              <w:t>[3,6-16]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1B4468E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4,7%</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[1,1-18]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2A780E4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5,0%</w:t>
            </w:r>
            <w:r>
              <w:rPr>
                <w:rFonts w:ascii="Times New Roman" w:eastAsia="Arial" w:hAnsi="Times New Roman" w:cs="Times New Roman"/>
                <w:color w:val="000000"/>
                <w:sz w:val="14"/>
                <w:szCs w:val="14"/>
              </w:rPr>
              <w:br/>
              <w:t>(408)</w:t>
            </w:r>
            <w:r>
              <w:rPr>
                <w:rFonts w:ascii="Times New Roman" w:eastAsia="Arial" w:hAnsi="Times New Roman" w:cs="Times New Roman"/>
                <w:color w:val="000000"/>
                <w:sz w:val="14"/>
                <w:szCs w:val="14"/>
              </w:rPr>
              <w:br/>
              <w:t>[4,5-5,7]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AC8766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26,1%</w:t>
            </w:r>
            <w:r>
              <w:rPr>
                <w:rFonts w:ascii="Times New Roman" w:eastAsia="Arial" w:hAnsi="Times New Roman" w:cs="Times New Roman"/>
                <w:color w:val="000000"/>
                <w:sz w:val="14"/>
                <w:szCs w:val="14"/>
              </w:rPr>
              <w:br/>
              <w:t>(414)</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77371F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35,4%</w:t>
            </w:r>
            <w:r>
              <w:rPr>
                <w:rFonts w:ascii="Times New Roman" w:eastAsia="Arial" w:hAnsi="Times New Roman" w:cs="Times New Roman"/>
                <w:color w:val="000000"/>
                <w:sz w:val="14"/>
                <w:szCs w:val="14"/>
              </w:rPr>
              <w:br/>
              <w:t>(134)</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2E7BFB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23,7%</w:t>
            </w:r>
            <w:r>
              <w:rPr>
                <w:rFonts w:ascii="Times New Roman" w:eastAsia="Arial" w:hAnsi="Times New Roman" w:cs="Times New Roman"/>
                <w:color w:val="000000"/>
                <w:sz w:val="14"/>
                <w:szCs w:val="14"/>
              </w:rPr>
              <w:br/>
              <w:t>(389)</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0FB27EB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30,6%</w:t>
            </w:r>
            <w:r>
              <w:rPr>
                <w:rFonts w:ascii="Times New Roman" w:eastAsia="Arial" w:hAnsi="Times New Roman" w:cs="Times New Roman"/>
                <w:color w:val="000000"/>
                <w:sz w:val="14"/>
                <w:szCs w:val="14"/>
              </w:rPr>
              <w:br/>
              <w:t>(49)</w:t>
            </w:r>
          </w:p>
        </w:tc>
      </w:tr>
      <w:tr w:rsidR="00E2476B" w14:paraId="19195B36"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63C9C378"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Non</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4E5CCF2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94,1%</w:t>
            </w:r>
            <w:r>
              <w:rPr>
                <w:rFonts w:ascii="Times New Roman" w:eastAsia="Arial" w:hAnsi="Times New Roman" w:cs="Times New Roman"/>
                <w:color w:val="000000"/>
                <w:sz w:val="14"/>
                <w:szCs w:val="14"/>
              </w:rPr>
              <w:br/>
              <w:t>(54)</w:t>
            </w:r>
            <w:r>
              <w:rPr>
                <w:rFonts w:ascii="Times New Roman" w:eastAsia="Arial" w:hAnsi="Times New Roman" w:cs="Times New Roman"/>
                <w:color w:val="000000"/>
                <w:sz w:val="14"/>
                <w:szCs w:val="14"/>
              </w:rPr>
              <w:br/>
              <w:t>[82-98]</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982D41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60,9%</w:t>
            </w:r>
            <w:r>
              <w:rPr>
                <w:rFonts w:ascii="Times New Roman" w:eastAsia="Arial" w:hAnsi="Times New Roman" w:cs="Times New Roman"/>
                <w:color w:val="000000"/>
                <w:sz w:val="14"/>
                <w:szCs w:val="14"/>
              </w:rPr>
              <w:br/>
              <w:t>(48)</w:t>
            </w:r>
            <w:r>
              <w:rPr>
                <w:rFonts w:ascii="Times New Roman" w:eastAsia="Arial" w:hAnsi="Times New Roman" w:cs="Times New Roman"/>
                <w:color w:val="000000"/>
                <w:sz w:val="14"/>
                <w:szCs w:val="14"/>
              </w:rPr>
              <w:br/>
              <w:t>[45-75]</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0B10666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93,7%</w:t>
            </w:r>
            <w:r>
              <w:rPr>
                <w:rFonts w:ascii="Times New Roman" w:eastAsia="Arial" w:hAnsi="Times New Roman" w:cs="Times New Roman"/>
                <w:color w:val="000000"/>
                <w:sz w:val="14"/>
                <w:szCs w:val="14"/>
              </w:rPr>
              <w:br/>
              <w:t>(9 276)</w:t>
            </w:r>
            <w:r>
              <w:rPr>
                <w:rFonts w:ascii="Times New Roman" w:eastAsia="Arial" w:hAnsi="Times New Roman" w:cs="Times New Roman"/>
                <w:color w:val="000000"/>
                <w:sz w:val="14"/>
                <w:szCs w:val="14"/>
              </w:rPr>
              <w:br/>
              <w:t>[93-94]</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0F355FA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92,2%</w:t>
            </w:r>
            <w:r>
              <w:rPr>
                <w:rFonts w:ascii="Times New Roman" w:eastAsia="Arial" w:hAnsi="Times New Roman" w:cs="Times New Roman"/>
                <w:color w:val="000000"/>
                <w:sz w:val="14"/>
                <w:szCs w:val="14"/>
              </w:rPr>
              <w:br/>
              <w:t>(72)</w:t>
            </w:r>
            <w:r>
              <w:rPr>
                <w:rFonts w:ascii="Times New Roman" w:eastAsia="Arial" w:hAnsi="Times New Roman" w:cs="Times New Roman"/>
                <w:color w:val="000000"/>
                <w:sz w:val="14"/>
                <w:szCs w:val="14"/>
              </w:rPr>
              <w:br/>
              <w:t>[84-96]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0DA3422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95,3%</w:t>
            </w:r>
            <w:r>
              <w:rPr>
                <w:rFonts w:ascii="Times New Roman" w:eastAsia="Arial" w:hAnsi="Times New Roman" w:cs="Times New Roman"/>
                <w:color w:val="000000"/>
                <w:sz w:val="14"/>
                <w:szCs w:val="14"/>
              </w:rPr>
              <w:br/>
              <w:t>(28)</w:t>
            </w:r>
            <w:r>
              <w:rPr>
                <w:rFonts w:ascii="Times New Roman" w:eastAsia="Arial" w:hAnsi="Times New Roman" w:cs="Times New Roman"/>
                <w:color w:val="000000"/>
                <w:sz w:val="14"/>
                <w:szCs w:val="14"/>
              </w:rPr>
              <w:br/>
              <w:t>[82-99]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B2E1D7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95,0%</w:t>
            </w:r>
            <w:r>
              <w:rPr>
                <w:rFonts w:ascii="Times New Roman" w:eastAsia="Arial" w:hAnsi="Times New Roman" w:cs="Times New Roman"/>
                <w:color w:val="000000"/>
                <w:sz w:val="14"/>
                <w:szCs w:val="14"/>
              </w:rPr>
              <w:br/>
              <w:t>(7 380)</w:t>
            </w:r>
            <w:r>
              <w:rPr>
                <w:rFonts w:ascii="Times New Roman" w:eastAsia="Arial" w:hAnsi="Times New Roman" w:cs="Times New Roman"/>
                <w:color w:val="000000"/>
                <w:sz w:val="14"/>
                <w:szCs w:val="14"/>
              </w:rPr>
              <w:br/>
              <w:t>[94-96]</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32C969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73,9%</w:t>
            </w:r>
            <w:r>
              <w:rPr>
                <w:rFonts w:ascii="Times New Roman" w:eastAsia="Arial" w:hAnsi="Times New Roman" w:cs="Times New Roman"/>
                <w:color w:val="000000"/>
                <w:sz w:val="14"/>
                <w:szCs w:val="14"/>
              </w:rPr>
              <w:br/>
              <w:t>(1 174)</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209A52E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64,6%</w:t>
            </w:r>
            <w:r>
              <w:rPr>
                <w:rFonts w:ascii="Times New Roman" w:eastAsia="Arial" w:hAnsi="Times New Roman" w:cs="Times New Roman"/>
                <w:color w:val="000000"/>
                <w:sz w:val="14"/>
                <w:szCs w:val="14"/>
              </w:rPr>
              <w:br/>
              <w:t>(245)</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B6B7AA0"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76,3%</w:t>
            </w:r>
            <w:r>
              <w:rPr>
                <w:rFonts w:ascii="Times New Roman" w:eastAsia="Arial" w:hAnsi="Times New Roman" w:cs="Times New Roman"/>
                <w:color w:val="000000"/>
                <w:sz w:val="14"/>
                <w:szCs w:val="14"/>
              </w:rPr>
              <w:br/>
              <w:t>(1 251)</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454C3EF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69,4%</w:t>
            </w:r>
            <w:r>
              <w:rPr>
                <w:rFonts w:ascii="Times New Roman" w:eastAsia="Arial" w:hAnsi="Times New Roman" w:cs="Times New Roman"/>
                <w:color w:val="000000"/>
                <w:sz w:val="14"/>
                <w:szCs w:val="14"/>
              </w:rPr>
              <w:br/>
              <w:t>(111)</w:t>
            </w:r>
          </w:p>
        </w:tc>
      </w:tr>
      <w:tr w:rsidR="00E2476B" w14:paraId="0872C078"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7CCCDE49"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P-valeur</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A78952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&lt;0,001</w:t>
            </w:r>
          </w:p>
        </w:tc>
        <w:tc>
          <w:tcPr>
            <w:tcW w:w="2530" w:type="dxa"/>
            <w:gridSpan w:val="3"/>
            <w:tcBorders>
              <w:left w:val="single" w:sz="4" w:space="0" w:color="000000"/>
              <w:right w:val="single" w:sz="4" w:space="0" w:color="000000"/>
            </w:tcBorders>
            <w:shd w:val="clear" w:color="auto" w:fill="FFFFFF"/>
            <w:tcMar>
              <w:top w:w="0" w:type="dxa"/>
              <w:left w:w="0" w:type="dxa"/>
              <w:bottom w:w="0" w:type="dxa"/>
              <w:right w:w="0" w:type="dxa"/>
            </w:tcMar>
          </w:tcPr>
          <w:p w14:paraId="5EFEABB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0,4</w:t>
            </w:r>
          </w:p>
        </w:tc>
        <w:tc>
          <w:tcPr>
            <w:tcW w:w="1687" w:type="dxa"/>
            <w:gridSpan w:val="2"/>
            <w:tcBorders>
              <w:left w:val="single" w:sz="4" w:space="0" w:color="000000"/>
              <w:right w:val="single" w:sz="4" w:space="0" w:color="000000"/>
            </w:tcBorders>
            <w:shd w:val="clear" w:color="auto" w:fill="FFFFFF"/>
            <w:tcMar>
              <w:top w:w="0" w:type="dxa"/>
              <w:left w:w="0" w:type="dxa"/>
              <w:bottom w:w="0" w:type="dxa"/>
              <w:right w:w="0" w:type="dxa"/>
            </w:tcMar>
          </w:tcPr>
          <w:p w14:paraId="6B0F892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&lt;0,001</w:t>
            </w:r>
          </w:p>
        </w:tc>
        <w:tc>
          <w:tcPr>
            <w:tcW w:w="1689" w:type="dxa"/>
            <w:gridSpan w:val="2"/>
            <w:tcBorders>
              <w:left w:val="single" w:sz="4" w:space="0" w:color="000000"/>
              <w:right w:val="single" w:sz="12" w:space="0" w:color="000000"/>
            </w:tcBorders>
            <w:shd w:val="clear" w:color="auto" w:fill="FFFFFF"/>
            <w:tcMar>
              <w:top w:w="0" w:type="dxa"/>
              <w:left w:w="0" w:type="dxa"/>
              <w:bottom w:w="0" w:type="dxa"/>
              <w:right w:w="0" w:type="dxa"/>
            </w:tcMar>
          </w:tcPr>
          <w:p w14:paraId="4E0DF4B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0,054</w:t>
            </w:r>
          </w:p>
        </w:tc>
      </w:tr>
      <w:tr w:rsidR="00E2476B" w14:paraId="1C8C3CC6" w14:textId="77777777" w:rsidTr="0018419C">
        <w:trPr>
          <w:jc w:val="center"/>
        </w:trPr>
        <w:tc>
          <w:tcPr>
            <w:tcW w:w="9404" w:type="dxa"/>
            <w:gridSpan w:val="11"/>
            <w:tcBorders>
              <w:left w:val="single" w:sz="12" w:space="0" w:color="000000"/>
              <w:right w:val="single" w:sz="12" w:space="0" w:color="000000"/>
            </w:tcBorders>
            <w:shd w:val="clear" w:color="auto" w:fill="FFFFFF"/>
            <w:tcMar>
              <w:top w:w="0" w:type="dxa"/>
              <w:left w:w="0" w:type="dxa"/>
              <w:bottom w:w="0" w:type="dxa"/>
              <w:right w:w="0" w:type="dxa"/>
            </w:tcMar>
          </w:tcPr>
          <w:p w14:paraId="354E6BD9" w14:textId="77777777" w:rsidR="00E2476B" w:rsidRDefault="00E2476B" w:rsidP="0018419C">
            <w:pPr>
              <w:pStyle w:val="Standard"/>
              <w:spacing w:before="100" w:after="100"/>
              <w:ind w:left="100" w:right="100"/>
            </w:pPr>
            <w:r>
              <w:rPr>
                <w:rFonts w:ascii="Times New Roman" w:eastAsia="Arial" w:hAnsi="Times New Roman" w:cs="Times New Roman"/>
                <w:bCs/>
                <w:i/>
                <w:iCs/>
                <w:color w:val="000000"/>
                <w:sz w:val="14"/>
                <w:szCs w:val="14"/>
              </w:rPr>
              <w:t>Dépression ou anxiété au moment de l'enquête</w:t>
            </w:r>
          </w:p>
        </w:tc>
      </w:tr>
      <w:tr w:rsidR="00E2476B" w14:paraId="1B791E09"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4B0442B5"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Oui</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7D7FFE3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13,1%</w:t>
            </w:r>
            <w:r>
              <w:rPr>
                <w:rFonts w:ascii="Times New Roman" w:eastAsia="Arial" w:hAnsi="Times New Roman" w:cs="Times New Roman"/>
                <w:color w:val="000000"/>
                <w:sz w:val="14"/>
                <w:szCs w:val="14"/>
              </w:rPr>
              <w:br/>
              <w:t>(7)</w:t>
            </w:r>
            <w:r>
              <w:rPr>
                <w:rFonts w:ascii="Times New Roman" w:eastAsia="Arial" w:hAnsi="Times New Roman" w:cs="Times New Roman"/>
                <w:color w:val="000000"/>
                <w:sz w:val="14"/>
                <w:szCs w:val="14"/>
              </w:rPr>
              <w:br/>
              <w:t>[5,7-27]</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32490D8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24,6%</w:t>
            </w:r>
            <w:r>
              <w:rPr>
                <w:rFonts w:ascii="Times New Roman" w:eastAsia="Arial" w:hAnsi="Times New Roman" w:cs="Times New Roman"/>
                <w:color w:val="000000"/>
                <w:sz w:val="14"/>
                <w:szCs w:val="14"/>
              </w:rPr>
              <w:br/>
              <w:t>(17)</w:t>
            </w:r>
            <w:r>
              <w:rPr>
                <w:rFonts w:ascii="Times New Roman" w:eastAsia="Arial" w:hAnsi="Times New Roman" w:cs="Times New Roman"/>
                <w:color w:val="000000"/>
                <w:sz w:val="14"/>
                <w:szCs w:val="14"/>
              </w:rPr>
              <w:br/>
              <w:t>[14-39]</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3798C3B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8,3%</w:t>
            </w:r>
            <w:r>
              <w:rPr>
                <w:rFonts w:ascii="Times New Roman" w:eastAsia="Arial" w:hAnsi="Times New Roman" w:cs="Times New Roman"/>
                <w:color w:val="000000"/>
                <w:sz w:val="14"/>
                <w:szCs w:val="14"/>
              </w:rPr>
              <w:br/>
              <w:t>(815)</w:t>
            </w:r>
            <w:r>
              <w:rPr>
                <w:rFonts w:ascii="Times New Roman" w:eastAsia="Arial" w:hAnsi="Times New Roman" w:cs="Times New Roman"/>
                <w:color w:val="000000"/>
                <w:sz w:val="14"/>
                <w:szCs w:val="14"/>
              </w:rPr>
              <w:br/>
              <w:t>[7,6-9,0]</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A983A5C"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10,4%</w:t>
            </w:r>
            <w:r>
              <w:rPr>
                <w:rFonts w:ascii="Times New Roman" w:eastAsia="Arial" w:hAnsi="Times New Roman" w:cs="Times New Roman"/>
                <w:color w:val="000000"/>
                <w:sz w:val="14"/>
                <w:szCs w:val="14"/>
              </w:rPr>
              <w:br/>
              <w:t>(7)</w:t>
            </w:r>
            <w:r>
              <w:rPr>
                <w:rFonts w:ascii="Times New Roman" w:eastAsia="Arial" w:hAnsi="Times New Roman" w:cs="Times New Roman"/>
                <w:color w:val="000000"/>
                <w:sz w:val="14"/>
                <w:szCs w:val="14"/>
              </w:rPr>
              <w:br/>
              <w:t>[4,5-22]</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3D03CC3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4,7%</w:t>
            </w:r>
            <w:r>
              <w:rPr>
                <w:rFonts w:ascii="Times New Roman" w:eastAsia="Arial" w:hAnsi="Times New Roman" w:cs="Times New Roman"/>
                <w:color w:val="000000"/>
                <w:sz w:val="14"/>
                <w:szCs w:val="14"/>
              </w:rPr>
              <w:br/>
              <w:t>(2)</w:t>
            </w:r>
            <w:r>
              <w:rPr>
                <w:rFonts w:ascii="Times New Roman" w:eastAsia="Arial" w:hAnsi="Times New Roman" w:cs="Times New Roman"/>
                <w:color w:val="000000"/>
                <w:sz w:val="14"/>
                <w:szCs w:val="14"/>
              </w:rPr>
              <w:br/>
              <w:t>[1,1-18]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5BD358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4,3%</w:t>
            </w:r>
            <w:r>
              <w:rPr>
                <w:rFonts w:ascii="Times New Roman" w:eastAsia="Arial" w:hAnsi="Times New Roman" w:cs="Times New Roman"/>
                <w:color w:val="000000"/>
                <w:sz w:val="14"/>
                <w:szCs w:val="14"/>
              </w:rPr>
              <w:br/>
              <w:t>(329)</w:t>
            </w:r>
            <w:r>
              <w:rPr>
                <w:rFonts w:ascii="Times New Roman" w:eastAsia="Arial" w:hAnsi="Times New Roman" w:cs="Times New Roman"/>
                <w:color w:val="000000"/>
                <w:sz w:val="14"/>
                <w:szCs w:val="14"/>
              </w:rPr>
              <w:br/>
              <w:t>[3,7-4,9]</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56BAC7E4"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16,1%</w:t>
            </w:r>
            <w:r>
              <w:rPr>
                <w:rFonts w:ascii="Times New Roman" w:eastAsia="Arial" w:hAnsi="Times New Roman" w:cs="Times New Roman"/>
                <w:color w:val="000000"/>
                <w:sz w:val="14"/>
                <w:szCs w:val="14"/>
              </w:rPr>
              <w:br/>
              <w:t>(255)</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69365D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34,2%</w:t>
            </w:r>
            <w:r>
              <w:rPr>
                <w:rFonts w:ascii="Times New Roman" w:eastAsia="Arial" w:hAnsi="Times New Roman" w:cs="Times New Roman"/>
                <w:color w:val="000000"/>
                <w:sz w:val="14"/>
                <w:szCs w:val="14"/>
              </w:rPr>
              <w:br/>
              <w:t>(129)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6FB6FE8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15,8%</w:t>
            </w:r>
            <w:r>
              <w:rPr>
                <w:rFonts w:ascii="Times New Roman" w:eastAsia="Arial" w:hAnsi="Times New Roman" w:cs="Times New Roman"/>
                <w:color w:val="000000"/>
                <w:sz w:val="14"/>
                <w:szCs w:val="14"/>
              </w:rPr>
              <w:br/>
              <w:t>(258)</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5A4EC8C5"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25,3%</w:t>
            </w:r>
            <w:r>
              <w:rPr>
                <w:rFonts w:ascii="Times New Roman" w:eastAsia="Arial" w:hAnsi="Times New Roman" w:cs="Times New Roman"/>
                <w:color w:val="000000"/>
                <w:sz w:val="14"/>
                <w:szCs w:val="14"/>
              </w:rPr>
              <w:br/>
              <w:t>(40)</w:t>
            </w:r>
          </w:p>
        </w:tc>
      </w:tr>
      <w:tr w:rsidR="00E2476B" w14:paraId="23A8E77D" w14:textId="77777777" w:rsidTr="0018419C">
        <w:trPr>
          <w:jc w:val="center"/>
        </w:trPr>
        <w:tc>
          <w:tcPr>
            <w:tcW w:w="968" w:type="dxa"/>
            <w:tcBorders>
              <w:left w:val="single" w:sz="12" w:space="0" w:color="000000"/>
              <w:right w:val="single" w:sz="4" w:space="0" w:color="000000"/>
            </w:tcBorders>
            <w:shd w:val="clear" w:color="auto" w:fill="FFFFFF"/>
            <w:tcMar>
              <w:top w:w="0" w:type="dxa"/>
              <w:left w:w="0" w:type="dxa"/>
              <w:bottom w:w="0" w:type="dxa"/>
              <w:right w:w="0" w:type="dxa"/>
            </w:tcMar>
          </w:tcPr>
          <w:p w14:paraId="10820B66"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Non</w:t>
            </w:r>
          </w:p>
        </w:tc>
        <w:tc>
          <w:tcPr>
            <w:tcW w:w="842" w:type="dxa"/>
            <w:tcBorders>
              <w:left w:val="single" w:sz="4" w:space="0" w:color="000000"/>
              <w:right w:val="single" w:sz="4" w:space="0" w:color="000000"/>
            </w:tcBorders>
            <w:shd w:val="clear" w:color="auto" w:fill="FFFFFF"/>
            <w:tcMar>
              <w:top w:w="0" w:type="dxa"/>
              <w:left w:w="0" w:type="dxa"/>
              <w:bottom w:w="0" w:type="dxa"/>
              <w:right w:w="0" w:type="dxa"/>
            </w:tcMar>
          </w:tcPr>
          <w:p w14:paraId="67FC108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86,9%</w:t>
            </w:r>
            <w:r>
              <w:rPr>
                <w:rFonts w:ascii="Times New Roman" w:eastAsia="Arial" w:hAnsi="Times New Roman" w:cs="Times New Roman"/>
                <w:color w:val="000000"/>
                <w:sz w:val="14"/>
                <w:szCs w:val="14"/>
              </w:rPr>
              <w:br/>
              <w:t>(50)</w:t>
            </w:r>
            <w:r>
              <w:rPr>
                <w:rFonts w:ascii="Times New Roman" w:eastAsia="Arial" w:hAnsi="Times New Roman" w:cs="Times New Roman"/>
                <w:color w:val="000000"/>
                <w:sz w:val="14"/>
                <w:szCs w:val="14"/>
              </w:rPr>
              <w:br/>
              <w:t>[73-94]</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4C123DD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75,4%</w:t>
            </w:r>
            <w:r>
              <w:rPr>
                <w:rFonts w:ascii="Times New Roman" w:eastAsia="Arial" w:hAnsi="Times New Roman" w:cs="Times New Roman"/>
                <w:color w:val="000000"/>
                <w:sz w:val="14"/>
                <w:szCs w:val="14"/>
              </w:rPr>
              <w:br/>
              <w:t>(52)</w:t>
            </w:r>
            <w:r>
              <w:rPr>
                <w:rFonts w:ascii="Times New Roman" w:eastAsia="Arial" w:hAnsi="Times New Roman" w:cs="Times New Roman"/>
                <w:color w:val="000000"/>
                <w:sz w:val="14"/>
                <w:szCs w:val="14"/>
              </w:rPr>
              <w:br/>
              <w:t>[61-86]</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72DC440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91,7%</w:t>
            </w:r>
            <w:r>
              <w:rPr>
                <w:rFonts w:ascii="Times New Roman" w:eastAsia="Arial" w:hAnsi="Times New Roman" w:cs="Times New Roman"/>
                <w:color w:val="000000"/>
                <w:sz w:val="14"/>
                <w:szCs w:val="14"/>
              </w:rPr>
              <w:br/>
              <w:t>(9 054)</w:t>
            </w:r>
            <w:r>
              <w:rPr>
                <w:rFonts w:ascii="Times New Roman" w:eastAsia="Arial" w:hAnsi="Times New Roman" w:cs="Times New Roman"/>
                <w:color w:val="000000"/>
                <w:sz w:val="14"/>
                <w:szCs w:val="14"/>
              </w:rPr>
              <w:br/>
              <w:t>[91-92]</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072B1E09"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89,6%</w:t>
            </w:r>
            <w:r>
              <w:rPr>
                <w:rFonts w:ascii="Times New Roman" w:eastAsia="Arial" w:hAnsi="Times New Roman" w:cs="Times New Roman"/>
                <w:color w:val="000000"/>
                <w:sz w:val="14"/>
                <w:szCs w:val="14"/>
              </w:rPr>
              <w:br/>
              <w:t>(74)</w:t>
            </w:r>
            <w:r>
              <w:rPr>
                <w:rFonts w:ascii="Times New Roman" w:eastAsia="Arial" w:hAnsi="Times New Roman" w:cs="Times New Roman"/>
                <w:color w:val="000000"/>
                <w:sz w:val="14"/>
                <w:szCs w:val="14"/>
              </w:rPr>
              <w:br/>
              <w:t>[78-96]</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1C2BF00D"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95,3%</w:t>
            </w:r>
            <w:r>
              <w:rPr>
                <w:rFonts w:ascii="Times New Roman" w:eastAsia="Arial" w:hAnsi="Times New Roman" w:cs="Times New Roman"/>
                <w:color w:val="000000"/>
                <w:sz w:val="14"/>
                <w:szCs w:val="14"/>
              </w:rPr>
              <w:br/>
              <w:t>(28)</w:t>
            </w:r>
            <w:r>
              <w:rPr>
                <w:rFonts w:ascii="Times New Roman" w:eastAsia="Arial" w:hAnsi="Times New Roman" w:cs="Times New Roman"/>
                <w:color w:val="000000"/>
                <w:sz w:val="14"/>
                <w:szCs w:val="14"/>
              </w:rPr>
              <w:br/>
              <w:t>[82-99]</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5CA4DFB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95,7%</w:t>
            </w:r>
            <w:r>
              <w:rPr>
                <w:rFonts w:ascii="Times New Roman" w:eastAsia="Arial" w:hAnsi="Times New Roman" w:cs="Times New Roman"/>
                <w:color w:val="000000"/>
                <w:sz w:val="14"/>
                <w:szCs w:val="14"/>
              </w:rPr>
              <w:br/>
              <w:t>(7 444)</w:t>
            </w:r>
            <w:r>
              <w:rPr>
                <w:rFonts w:ascii="Times New Roman" w:eastAsia="Arial" w:hAnsi="Times New Roman" w:cs="Times New Roman"/>
                <w:color w:val="000000"/>
                <w:sz w:val="14"/>
                <w:szCs w:val="14"/>
              </w:rPr>
              <w:br/>
              <w:t>[95-96]</w:t>
            </w:r>
          </w:p>
        </w:tc>
        <w:tc>
          <w:tcPr>
            <w:tcW w:w="844" w:type="dxa"/>
            <w:tcBorders>
              <w:left w:val="single" w:sz="4" w:space="0" w:color="000000"/>
              <w:right w:val="single" w:sz="4" w:space="0" w:color="000000"/>
            </w:tcBorders>
            <w:shd w:val="clear" w:color="auto" w:fill="FFFFFF"/>
            <w:tcMar>
              <w:top w:w="0" w:type="dxa"/>
              <w:left w:w="0" w:type="dxa"/>
              <w:bottom w:w="0" w:type="dxa"/>
              <w:right w:w="0" w:type="dxa"/>
            </w:tcMar>
          </w:tcPr>
          <w:p w14:paraId="3C2743C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83,9%</w:t>
            </w:r>
            <w:r>
              <w:rPr>
                <w:rFonts w:ascii="Times New Roman" w:eastAsia="Arial" w:hAnsi="Times New Roman" w:cs="Times New Roman"/>
                <w:color w:val="000000"/>
                <w:sz w:val="14"/>
                <w:szCs w:val="14"/>
              </w:rPr>
              <w:br/>
              <w:t>(1 330)</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495FEA0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65,8%</w:t>
            </w:r>
            <w:r>
              <w:rPr>
                <w:rFonts w:ascii="Times New Roman" w:eastAsia="Arial" w:hAnsi="Times New Roman" w:cs="Times New Roman"/>
                <w:color w:val="000000"/>
                <w:sz w:val="14"/>
                <w:szCs w:val="14"/>
              </w:rPr>
              <w:br/>
              <w:t>(248)</w:t>
            </w:r>
          </w:p>
        </w:tc>
        <w:tc>
          <w:tcPr>
            <w:tcW w:w="843" w:type="dxa"/>
            <w:tcBorders>
              <w:left w:val="single" w:sz="4" w:space="0" w:color="000000"/>
              <w:right w:val="single" w:sz="4" w:space="0" w:color="000000"/>
            </w:tcBorders>
            <w:shd w:val="clear" w:color="auto" w:fill="FFFFFF"/>
            <w:tcMar>
              <w:top w:w="0" w:type="dxa"/>
              <w:left w:w="0" w:type="dxa"/>
              <w:bottom w:w="0" w:type="dxa"/>
              <w:right w:w="0" w:type="dxa"/>
            </w:tcMar>
          </w:tcPr>
          <w:p w14:paraId="7FA20C5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84,2%</w:t>
            </w:r>
            <w:r>
              <w:rPr>
                <w:rFonts w:ascii="Times New Roman" w:eastAsia="Arial" w:hAnsi="Times New Roman" w:cs="Times New Roman"/>
                <w:color w:val="000000"/>
                <w:sz w:val="14"/>
                <w:szCs w:val="14"/>
              </w:rPr>
              <w:br/>
              <w:t>(1 373)</w:t>
            </w:r>
          </w:p>
        </w:tc>
        <w:tc>
          <w:tcPr>
            <w:tcW w:w="846" w:type="dxa"/>
            <w:tcBorders>
              <w:left w:val="single" w:sz="4" w:space="0" w:color="000000"/>
              <w:right w:val="single" w:sz="12" w:space="0" w:color="000000"/>
            </w:tcBorders>
            <w:shd w:val="clear" w:color="auto" w:fill="FFFFFF"/>
            <w:tcMar>
              <w:top w:w="0" w:type="dxa"/>
              <w:left w:w="0" w:type="dxa"/>
              <w:bottom w:w="0" w:type="dxa"/>
              <w:right w:w="0" w:type="dxa"/>
            </w:tcMar>
          </w:tcPr>
          <w:p w14:paraId="06C08B33"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74,7%</w:t>
            </w:r>
            <w:r>
              <w:rPr>
                <w:rFonts w:ascii="Times New Roman" w:eastAsia="Arial" w:hAnsi="Times New Roman" w:cs="Times New Roman"/>
                <w:color w:val="000000"/>
                <w:sz w:val="14"/>
                <w:szCs w:val="14"/>
              </w:rPr>
              <w:br/>
              <w:t>(118)</w:t>
            </w:r>
          </w:p>
        </w:tc>
      </w:tr>
      <w:tr w:rsidR="00E2476B" w14:paraId="1B5AF954" w14:textId="77777777" w:rsidTr="0018419C">
        <w:trPr>
          <w:jc w:val="center"/>
        </w:trPr>
        <w:tc>
          <w:tcPr>
            <w:tcW w:w="968" w:type="dxa"/>
            <w:tcBorders>
              <w:left w:val="single" w:sz="12" w:space="0" w:color="000000"/>
              <w:bottom w:val="single" w:sz="12" w:space="0" w:color="000000"/>
              <w:right w:val="single" w:sz="4" w:space="0" w:color="000000"/>
            </w:tcBorders>
            <w:shd w:val="clear" w:color="auto" w:fill="FFFFFF"/>
            <w:tcMar>
              <w:top w:w="0" w:type="dxa"/>
              <w:left w:w="0" w:type="dxa"/>
              <w:bottom w:w="0" w:type="dxa"/>
              <w:right w:w="0" w:type="dxa"/>
            </w:tcMar>
          </w:tcPr>
          <w:p w14:paraId="21C57696" w14:textId="77777777" w:rsidR="00E2476B" w:rsidRDefault="00E2476B" w:rsidP="0018419C">
            <w:pPr>
              <w:pStyle w:val="Standard"/>
              <w:spacing w:before="100" w:after="100"/>
              <w:ind w:left="300" w:right="100"/>
            </w:pPr>
            <w:r>
              <w:rPr>
                <w:rFonts w:ascii="Times New Roman" w:eastAsia="Arial" w:hAnsi="Times New Roman" w:cs="Times New Roman"/>
                <w:bCs/>
                <w:i/>
                <w:iCs/>
                <w:color w:val="000000"/>
                <w:sz w:val="14"/>
                <w:szCs w:val="14"/>
              </w:rPr>
              <w:t>P-valeur</w:t>
            </w:r>
          </w:p>
        </w:tc>
        <w:tc>
          <w:tcPr>
            <w:tcW w:w="2530"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2F63199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&lt;0,001</w:t>
            </w:r>
          </w:p>
        </w:tc>
        <w:tc>
          <w:tcPr>
            <w:tcW w:w="2530" w:type="dxa"/>
            <w:gridSpan w:val="3"/>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07DA233B"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0,036</w:t>
            </w:r>
          </w:p>
        </w:tc>
        <w:tc>
          <w:tcPr>
            <w:tcW w:w="1687" w:type="dxa"/>
            <w:gridSpan w:val="2"/>
            <w:tcBorders>
              <w:left w:val="single" w:sz="4" w:space="0" w:color="000000"/>
              <w:bottom w:val="single" w:sz="12" w:space="0" w:color="000000"/>
              <w:right w:val="single" w:sz="4" w:space="0" w:color="000000"/>
            </w:tcBorders>
            <w:shd w:val="clear" w:color="auto" w:fill="FFFFFF"/>
            <w:tcMar>
              <w:top w:w="0" w:type="dxa"/>
              <w:left w:w="0" w:type="dxa"/>
              <w:bottom w:w="0" w:type="dxa"/>
              <w:right w:w="0" w:type="dxa"/>
            </w:tcMar>
          </w:tcPr>
          <w:p w14:paraId="568652B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&lt;0,001</w:t>
            </w:r>
          </w:p>
        </w:tc>
        <w:tc>
          <w:tcPr>
            <w:tcW w:w="1689" w:type="dxa"/>
            <w:gridSpan w:val="2"/>
            <w:tcBorders>
              <w:left w:val="single" w:sz="4" w:space="0" w:color="000000"/>
              <w:bottom w:val="single" w:sz="12" w:space="0" w:color="000000"/>
              <w:right w:val="single" w:sz="12" w:space="0" w:color="000000"/>
            </w:tcBorders>
            <w:shd w:val="clear" w:color="auto" w:fill="FFFFFF"/>
            <w:tcMar>
              <w:top w:w="0" w:type="dxa"/>
              <w:left w:w="0" w:type="dxa"/>
              <w:bottom w:w="0" w:type="dxa"/>
              <w:right w:w="0" w:type="dxa"/>
            </w:tcMar>
          </w:tcPr>
          <w:p w14:paraId="7A1F3C58"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0,003</w:t>
            </w:r>
          </w:p>
        </w:tc>
      </w:tr>
      <w:tr w:rsidR="00E2476B" w14:paraId="24F98618" w14:textId="77777777" w:rsidTr="0018419C">
        <w:trPr>
          <w:jc w:val="center"/>
        </w:trPr>
        <w:tc>
          <w:tcPr>
            <w:tcW w:w="9404" w:type="dxa"/>
            <w:gridSpan w:val="11"/>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0C1BBAA6" w14:textId="77777777" w:rsidR="00E2476B" w:rsidRDefault="00E2476B" w:rsidP="0018419C">
            <w:pPr>
              <w:pStyle w:val="Standard"/>
              <w:spacing w:before="40" w:after="40"/>
              <w:ind w:left="102" w:right="102"/>
            </w:pPr>
            <w:r>
              <w:rPr>
                <w:rFonts w:ascii="Arial" w:eastAsia="Arial" w:hAnsi="Arial" w:cs="Arial"/>
                <w:color w:val="000000"/>
                <w:sz w:val="14"/>
                <w:szCs w:val="14"/>
                <w:vertAlign w:val="superscript"/>
              </w:rPr>
              <w:t>2</w:t>
            </w:r>
            <w:r>
              <w:rPr>
                <w:rFonts w:ascii="Arial" w:eastAsia="Arial" w:hAnsi="Arial" w:cs="Arial"/>
                <w:color w:val="000000"/>
                <w:sz w:val="14"/>
                <w:szCs w:val="14"/>
              </w:rPr>
              <w:t>Test du Chi-deux ajusté de Rao &amp; Scott pour données pondérées.</w:t>
            </w:r>
          </w:p>
          <w:p w14:paraId="1ED42F73" w14:textId="77777777" w:rsidR="00E2476B" w:rsidRDefault="00E2476B" w:rsidP="0018419C">
            <w:pPr>
              <w:pStyle w:val="Standard"/>
              <w:spacing w:before="40" w:after="40"/>
              <w:ind w:left="102" w:right="102"/>
            </w:pPr>
            <w:r>
              <w:rPr>
                <w:rFonts w:ascii="Arial" w:eastAsia="Arial" w:hAnsi="Arial" w:cs="Arial"/>
                <w:color w:val="000000"/>
                <w:sz w:val="14"/>
                <w:szCs w:val="14"/>
                <w:vertAlign w:val="superscript"/>
              </w:rPr>
              <w:t>3</w:t>
            </w:r>
            <w:r>
              <w:rPr>
                <w:rFonts w:ascii="Arial" w:eastAsia="Arial" w:hAnsi="Arial" w:cs="Arial"/>
                <w:color w:val="000000"/>
                <w:sz w:val="14"/>
                <w:szCs w:val="14"/>
              </w:rPr>
              <w:t>Test exact de Fisher.</w:t>
            </w:r>
          </w:p>
          <w:p w14:paraId="4D2D0AA5" w14:textId="77777777" w:rsidR="00E2476B" w:rsidRDefault="00E2476B" w:rsidP="0018419C">
            <w:pPr>
              <w:pStyle w:val="Standard"/>
              <w:spacing w:before="40" w:after="40"/>
              <w:ind w:left="102" w:right="102"/>
            </w:pPr>
            <w:r>
              <w:rPr>
                <w:rFonts w:ascii="Arial" w:eastAsia="Arial" w:hAnsi="Arial" w:cs="Arial"/>
                <w:color w:val="000000"/>
                <w:sz w:val="14"/>
                <w:szCs w:val="14"/>
                <w:vertAlign w:val="superscript"/>
              </w:rPr>
              <w:t>3</w:t>
            </w:r>
            <w:r>
              <w:rPr>
                <w:rFonts w:ascii="Arial" w:eastAsia="Arial" w:hAnsi="Arial" w:cs="Arial"/>
                <w:color w:val="000000"/>
                <w:sz w:val="14"/>
                <w:szCs w:val="14"/>
              </w:rPr>
              <w:t>Pourcentages pondérés (Effectifs non pondérés) [Intervalle de confiance à 95 %].</w:t>
            </w:r>
          </w:p>
          <w:p w14:paraId="53FE3ACD" w14:textId="77777777" w:rsidR="00E2476B" w:rsidRDefault="00E2476B" w:rsidP="0018419C">
            <w:pPr>
              <w:pStyle w:val="Standard"/>
              <w:spacing w:before="40" w:after="40"/>
              <w:ind w:left="102" w:right="102"/>
            </w:pPr>
            <w:r>
              <w:rPr>
                <w:rFonts w:ascii="Arial" w:eastAsia="Arial" w:hAnsi="Arial" w:cs="Arial"/>
                <w:b/>
                <w:bCs/>
                <w:color w:val="000000"/>
                <w:sz w:val="14"/>
                <w:szCs w:val="14"/>
              </w:rPr>
              <w:t>Champ</w:t>
            </w:r>
            <w:r>
              <w:rPr>
                <w:rFonts w:ascii="Arial" w:eastAsia="Arial" w:hAnsi="Arial" w:cs="Arial"/>
                <w:color w:val="000000"/>
                <w:sz w:val="14"/>
                <w:szCs w:val="14"/>
              </w:rPr>
              <w:t xml:space="preserve"> : Répondant∙es en couple au moment de l'enquête Virage ; Répondant∙es en couple au moment de l'enquête Virage LGBT, </w:t>
            </w:r>
            <w:proofErr w:type="spellStart"/>
            <w:r>
              <w:rPr>
                <w:rFonts w:ascii="Arial" w:eastAsia="Arial" w:hAnsi="Arial" w:cs="Arial"/>
                <w:color w:val="000000"/>
                <w:sz w:val="14"/>
                <w:szCs w:val="14"/>
              </w:rPr>
              <w:t>âgé∙es</w:t>
            </w:r>
            <w:proofErr w:type="spellEnd"/>
            <w:r>
              <w:rPr>
                <w:rFonts w:ascii="Arial" w:eastAsia="Arial" w:hAnsi="Arial" w:cs="Arial"/>
                <w:color w:val="000000"/>
                <w:sz w:val="14"/>
                <w:szCs w:val="14"/>
              </w:rPr>
              <w:t xml:space="preserve"> de 20 à 69 ans. Pour Virage PG : pourcentages pondérés. Pour Virage LGBT : pourcentages et effectifs non pondérés.</w:t>
            </w:r>
          </w:p>
          <w:p w14:paraId="5B22A2A9" w14:textId="77777777" w:rsidR="00E2476B" w:rsidRDefault="00E2476B" w:rsidP="0018419C">
            <w:pPr>
              <w:pStyle w:val="Standard"/>
              <w:spacing w:before="40" w:after="40"/>
              <w:ind w:left="102" w:right="102"/>
            </w:pPr>
            <w:r>
              <w:rPr>
                <w:rFonts w:ascii="Arial" w:eastAsia="Arial" w:hAnsi="Arial" w:cs="Arial"/>
                <w:b/>
                <w:bCs/>
                <w:color w:val="000000"/>
                <w:sz w:val="14"/>
                <w:szCs w:val="14"/>
              </w:rPr>
              <w:t>Lecture</w:t>
            </w:r>
            <w:r>
              <w:rPr>
                <w:rFonts w:ascii="Arial" w:eastAsia="Arial" w:hAnsi="Arial" w:cs="Arial"/>
                <w:color w:val="000000"/>
                <w:sz w:val="14"/>
                <w:szCs w:val="14"/>
              </w:rPr>
              <w:t xml:space="preserve"> : 98,1% des femmes homosexuelles en couple dans l'enquête Virage en population générale sont satisfaites de leur relation actuelle, avec un intervalle de confiance à 95% de [92% - 100%].</w:t>
            </w:r>
          </w:p>
          <w:p w14:paraId="5AC72594" w14:textId="77777777" w:rsidR="00E2476B" w:rsidRDefault="00E2476B" w:rsidP="0018419C">
            <w:pPr>
              <w:pStyle w:val="Standard"/>
              <w:spacing w:before="40" w:after="40"/>
              <w:ind w:left="102" w:right="102"/>
            </w:pPr>
            <w:r>
              <w:rPr>
                <w:rFonts w:ascii="Arial" w:eastAsia="Arial" w:hAnsi="Arial" w:cs="Arial"/>
                <w:b/>
                <w:bCs/>
                <w:color w:val="000000"/>
                <w:sz w:val="14"/>
                <w:szCs w:val="14"/>
              </w:rPr>
              <w:t>Sources</w:t>
            </w:r>
            <w:r>
              <w:rPr>
                <w:rFonts w:ascii="Arial" w:eastAsia="Arial" w:hAnsi="Arial" w:cs="Arial"/>
                <w:color w:val="000000"/>
                <w:sz w:val="14"/>
                <w:szCs w:val="14"/>
              </w:rPr>
              <w:t xml:space="preserve"> : Enquête Virage PG, Ined, 2015 ; enquête Virage LGBT, Ined, 2015-2016</w:t>
            </w:r>
          </w:p>
        </w:tc>
      </w:tr>
    </w:tbl>
    <w:p w14:paraId="139A0CB4" w14:textId="77777777" w:rsidR="00E2476B" w:rsidRDefault="00E2476B" w:rsidP="00E2476B">
      <w:pPr>
        <w:pStyle w:val="Titre3"/>
      </w:pPr>
      <w:bookmarkStart w:id="72" w:name="__RefHeading___Toc52652_3216639541"/>
      <w:r>
        <w:t xml:space="preserve">Une évaluation conjugale et psychologique plus faible chez </w:t>
      </w:r>
      <w:proofErr w:type="gramStart"/>
      <w:r>
        <w:t xml:space="preserve">les </w:t>
      </w:r>
      <w:proofErr w:type="spellStart"/>
      <w:r>
        <w:t>bisexuel</w:t>
      </w:r>
      <w:proofErr w:type="gramEnd"/>
      <w:r>
        <w:t>∙les</w:t>
      </w:r>
      <w:bookmarkEnd w:id="72"/>
      <w:proofErr w:type="spellEnd"/>
    </w:p>
    <w:p w14:paraId="17E621E5" w14:textId="77777777" w:rsidR="00E2476B" w:rsidRDefault="00E2476B" w:rsidP="00E2476B">
      <w:pPr>
        <w:pStyle w:val="Textbody"/>
      </w:pPr>
      <w:r>
        <w:t xml:space="preserve">Nous avons regroupé les modalités de réponse pour créer des groupes statistiques plus robustes. Les femmes bisexuelles déclarent une moindre satisfaction dans la relation actuelle (83,4%) que les hétérosexuelles (96,3%), elles sont moins souvent amoureuses de leur partenaire (87,1%) que les lesbiennes (100%) et hétérosexuelles (97%). Malgré cette évaluation plus faible elles restent une large majorité à se dire amoureuse et satisfaite de leur relation actuelle. Pourtant près de 40% affirment avoir eu, elles-mêmes ou leurs </w:t>
      </w:r>
      <w:proofErr w:type="spellStart"/>
      <w:r>
        <w:t>conjoint·es</w:t>
      </w:r>
      <w:proofErr w:type="spellEnd"/>
      <w:r>
        <w:t>, l’intention de rompre dans les douze derniers mois. C’est nettement plus que les lesbiennes et hétérosexuelles (environ 6%). Enfin elles déclarent trois fois plus souvent que les hétérosexuelles (24,6% contre 8,3%) une dépression ou de l’anxiété. Dans Virage LGBT cette tendance se confirme pour l'intention de rupture et la dépression : elles sont 35,4% à déclarer un projet de séparation dans l’année dans l'année contre 26,1% des lesbiennes et 34,2% à déclarer une dépression ou de l'anxiété contre 16,1% des lesbiennes, soit le double.</w:t>
      </w:r>
    </w:p>
    <w:p w14:paraId="72AF131F" w14:textId="77777777" w:rsidR="00E2476B" w:rsidRDefault="00E2476B" w:rsidP="00E2476B">
      <w:pPr>
        <w:pStyle w:val="Titre4"/>
      </w:pPr>
      <w:r>
        <w:lastRenderedPageBreak/>
        <w:t>Une santé mentale dégradée</w:t>
      </w:r>
    </w:p>
    <w:p w14:paraId="417D90A9" w14:textId="77777777" w:rsidR="00E2476B" w:rsidRDefault="00E2476B" w:rsidP="00E2476B">
      <w:pPr>
        <w:pStyle w:val="Textbody"/>
      </w:pPr>
      <w:r>
        <w:t xml:space="preserve">Ce résultat est cohérent avec les recherches des dernières décennies qui accumulent les preuves que les personnes bisexuelles présentent des taux plus </w:t>
      </w:r>
      <w:proofErr w:type="gramStart"/>
      <w:r>
        <w:t>élevés  de</w:t>
      </w:r>
      <w:proofErr w:type="gramEnd"/>
      <w:r>
        <w:t xml:space="preserve"> mauvaise santé mentale. Les taux de dépression et d’anxiété sont systématiquement plus faibles chez les personnes hétérosexuelles, tandis que les personnes bisexuelles présentent des taux supérieurs ou équivalent à ceux des lesbiennes ou gays</w:t>
      </w:r>
      <w:r>
        <w:rPr>
          <w:color w:val="000000"/>
        </w:rPr>
        <w:t xml:space="preserve"> (Ross et al. 2018). Ces résultats sont majoritairement expliqués par trois facteurs interdépendants : les expériences de discrimination fondées sur l’orientation sexuelle, l’invisibilité ou l’effacement et l’absence de soutien favorable à la bisexualité (Rust </w:t>
      </w:r>
      <w:proofErr w:type="gramStart"/>
      <w:r>
        <w:rPr>
          <w:color w:val="000000"/>
        </w:rPr>
        <w:t>2002;</w:t>
      </w:r>
      <w:proofErr w:type="gramEnd"/>
      <w:r>
        <w:rPr>
          <w:color w:val="000000"/>
        </w:rPr>
        <w:t xml:space="preserve"> Yoshino 2000; Ochs 1996).</w:t>
      </w:r>
    </w:p>
    <w:p w14:paraId="09237BBD" w14:textId="77777777" w:rsidR="00E2476B" w:rsidRDefault="00E2476B" w:rsidP="00E2476B">
      <w:pPr>
        <w:pStyle w:val="Textbody"/>
      </w:pPr>
      <w:r>
        <w:t xml:space="preserve">Les hommes bisexuels, quant à eux, sont moins souvent amoureux de leur partenaire que les hommes hétérosexuels (87,7% contre 98,1%). Dans Virage LGBT ils déclarent moins souvent être satisfaits et moins souvent être amoureux de leur partenaire que les hommes gays. Ils </w:t>
      </w:r>
      <w:proofErr w:type="spellStart"/>
      <w:r>
        <w:t>énoncent</w:t>
      </w:r>
      <w:proofErr w:type="spellEnd"/>
      <w:r>
        <w:t xml:space="preserve"> également plus souvent une dépression ou de l’anxiété que les hommes gays, un quart d’entre eux contre 15%. Certaines</w:t>
      </w:r>
      <w:r>
        <w:rPr>
          <w:color w:val="292929"/>
        </w:rPr>
        <w:t xml:space="preserve"> </w:t>
      </w:r>
      <w:r>
        <w:t>données</w:t>
      </w:r>
      <w:r>
        <w:rPr>
          <w:color w:val="292929"/>
        </w:rPr>
        <w:t xml:space="preserve"> </w:t>
      </w:r>
      <w:r>
        <w:t>indiquent</w:t>
      </w:r>
      <w:r>
        <w:rPr>
          <w:color w:val="292929"/>
        </w:rPr>
        <w:t xml:space="preserve"> </w:t>
      </w:r>
      <w:r>
        <w:t>que</w:t>
      </w:r>
      <w:r>
        <w:rPr>
          <w:color w:val="292929"/>
        </w:rPr>
        <w:t xml:space="preserve"> </w:t>
      </w:r>
      <w:r>
        <w:t>les</w:t>
      </w:r>
      <w:r>
        <w:rPr>
          <w:color w:val="292929"/>
        </w:rPr>
        <w:t xml:space="preserve"> </w:t>
      </w:r>
      <w:r>
        <w:t>hommes</w:t>
      </w:r>
      <w:r>
        <w:rPr>
          <w:color w:val="292929"/>
        </w:rPr>
        <w:t xml:space="preserve"> </w:t>
      </w:r>
      <w:r>
        <w:t>bisexuels</w:t>
      </w:r>
      <w:r>
        <w:rPr>
          <w:color w:val="292929"/>
        </w:rPr>
        <w:t xml:space="preserve"> </w:t>
      </w:r>
      <w:r>
        <w:t>sont</w:t>
      </w:r>
      <w:r>
        <w:rPr>
          <w:color w:val="292929"/>
        </w:rPr>
        <w:t xml:space="preserve"> </w:t>
      </w:r>
      <w:r>
        <w:t>davantage</w:t>
      </w:r>
      <w:r>
        <w:rPr>
          <w:color w:val="292929"/>
        </w:rPr>
        <w:t xml:space="preserve"> </w:t>
      </w:r>
      <w:r>
        <w:t>victimes</w:t>
      </w:r>
      <w:r>
        <w:rPr>
          <w:color w:val="292929"/>
        </w:rPr>
        <w:t xml:space="preserve"> </w:t>
      </w:r>
      <w:r>
        <w:t>de</w:t>
      </w:r>
      <w:r>
        <w:rPr>
          <w:color w:val="292929"/>
        </w:rPr>
        <w:t xml:space="preserve"> </w:t>
      </w:r>
      <w:r>
        <w:t>préjugés</w:t>
      </w:r>
      <w:r>
        <w:rPr>
          <w:color w:val="292929"/>
        </w:rPr>
        <w:t xml:space="preserve"> </w:t>
      </w:r>
      <w:r>
        <w:t>liés</w:t>
      </w:r>
      <w:r>
        <w:rPr>
          <w:color w:val="292929"/>
        </w:rPr>
        <w:t xml:space="preserve"> </w:t>
      </w:r>
      <w:r>
        <w:t>à</w:t>
      </w:r>
      <w:r>
        <w:rPr>
          <w:color w:val="292929"/>
        </w:rPr>
        <w:t xml:space="preserve"> </w:t>
      </w:r>
      <w:r>
        <w:t>leur</w:t>
      </w:r>
      <w:r>
        <w:rPr>
          <w:color w:val="292929"/>
        </w:rPr>
        <w:t xml:space="preserve"> </w:t>
      </w:r>
      <w:r>
        <w:t>bisexualité</w:t>
      </w:r>
      <w:r>
        <w:rPr>
          <w:color w:val="292929"/>
        </w:rPr>
        <w:t xml:space="preserve"> </w:t>
      </w:r>
      <w:r>
        <w:t>que</w:t>
      </w:r>
      <w:r>
        <w:rPr>
          <w:color w:val="292929"/>
        </w:rPr>
        <w:t xml:space="preserve"> </w:t>
      </w:r>
      <w:r>
        <w:t>les</w:t>
      </w:r>
      <w:r>
        <w:rPr>
          <w:color w:val="292929"/>
        </w:rPr>
        <w:t xml:space="preserve"> </w:t>
      </w:r>
      <w:r>
        <w:t>femmes</w:t>
      </w:r>
      <w:r>
        <w:rPr>
          <w:rFonts w:ascii="Roboto, sans-serif" w:eastAsia="Roboto, sans-serif" w:hAnsi="Roboto, sans-serif" w:cs="Roboto, sans-serif"/>
          <w:color w:val="292929"/>
          <w:sz w:val="30"/>
        </w:rPr>
        <w:t xml:space="preserve">, </w:t>
      </w:r>
      <w:r>
        <w:t>notamment</w:t>
      </w:r>
      <w:r>
        <w:rPr>
          <w:color w:val="292929"/>
        </w:rPr>
        <w:t xml:space="preserve"> </w:t>
      </w:r>
      <w:r>
        <w:t>en</w:t>
      </w:r>
      <w:r>
        <w:rPr>
          <w:color w:val="292929"/>
        </w:rPr>
        <w:t xml:space="preserve"> </w:t>
      </w:r>
      <w:r>
        <w:t>ce</w:t>
      </w:r>
      <w:r>
        <w:rPr>
          <w:color w:val="292929"/>
        </w:rPr>
        <w:t xml:space="preserve"> </w:t>
      </w:r>
      <w:r>
        <w:t>qui</w:t>
      </w:r>
      <w:r>
        <w:rPr>
          <w:color w:val="292929"/>
        </w:rPr>
        <w:t xml:space="preserve"> </w:t>
      </w:r>
      <w:r>
        <w:t>concerne</w:t>
      </w:r>
      <w:r>
        <w:rPr>
          <w:color w:val="292929"/>
        </w:rPr>
        <w:t xml:space="preserve"> </w:t>
      </w:r>
      <w:r>
        <w:t>les</w:t>
      </w:r>
      <w:r>
        <w:rPr>
          <w:color w:val="292929"/>
        </w:rPr>
        <w:t xml:space="preserve"> </w:t>
      </w:r>
      <w:r>
        <w:t>stéréotypes</w:t>
      </w:r>
      <w:r>
        <w:rPr>
          <w:color w:val="292929"/>
        </w:rPr>
        <w:t xml:space="preserve"> </w:t>
      </w:r>
      <w:r>
        <w:t>relatifs</w:t>
      </w:r>
      <w:r>
        <w:rPr>
          <w:color w:val="292929"/>
        </w:rPr>
        <w:t xml:space="preserve"> </w:t>
      </w:r>
      <w:r>
        <w:t>à</w:t>
      </w:r>
      <w:r>
        <w:rPr>
          <w:color w:val="292929"/>
        </w:rPr>
        <w:t xml:space="preserve"> </w:t>
      </w:r>
      <w:r>
        <w:t>la</w:t>
      </w:r>
      <w:r>
        <w:rPr>
          <w:color w:val="292929"/>
        </w:rPr>
        <w:t xml:space="preserve"> </w:t>
      </w:r>
      <w:r>
        <w:t>confiance</w:t>
      </w:r>
      <w:r>
        <w:rPr>
          <w:color w:val="292929"/>
        </w:rPr>
        <w:t xml:space="preserve"> </w:t>
      </w:r>
      <w:r>
        <w:t>et</w:t>
      </w:r>
      <w:r>
        <w:rPr>
          <w:color w:val="292929"/>
        </w:rPr>
        <w:t xml:space="preserve"> </w:t>
      </w:r>
      <w:r>
        <w:t>à</w:t>
      </w:r>
      <w:r>
        <w:rPr>
          <w:color w:val="292929"/>
        </w:rPr>
        <w:t xml:space="preserve"> </w:t>
      </w:r>
      <w:r>
        <w:t>la</w:t>
      </w:r>
      <w:r>
        <w:rPr>
          <w:color w:val="292929"/>
        </w:rPr>
        <w:t xml:space="preserve"> </w:t>
      </w:r>
      <w:r>
        <w:t>fidélité (McCormack 2023)</w:t>
      </w:r>
      <w:r>
        <w:rPr>
          <w:rFonts w:ascii="Roboto, sans-serif" w:eastAsia="Roboto, sans-serif" w:hAnsi="Roboto, sans-serif" w:cs="Roboto, sans-serif"/>
          <w:color w:val="292929"/>
          <w:sz w:val="30"/>
        </w:rPr>
        <w:t>.</w:t>
      </w:r>
      <w:r>
        <w:t xml:space="preserve"> </w:t>
      </w:r>
      <w:r>
        <w:rPr>
          <w:color w:val="000000"/>
        </w:rPr>
        <w:t xml:space="preserve">Ils présentent des taux élevés de troubles de santé mentale et une détresse psychologique grave. Ce phénomène a souvent été expliqué par la théorie du </w:t>
      </w:r>
      <w:proofErr w:type="spellStart"/>
      <w:r>
        <w:rPr>
          <w:i/>
          <w:iCs/>
          <w:color w:val="000000"/>
        </w:rPr>
        <w:t>minority</w:t>
      </w:r>
      <w:proofErr w:type="spellEnd"/>
      <w:r>
        <w:rPr>
          <w:i/>
          <w:iCs/>
          <w:color w:val="000000"/>
        </w:rPr>
        <w:t xml:space="preserve"> stress</w:t>
      </w:r>
      <w:r>
        <w:rPr>
          <w:color w:val="000000"/>
        </w:rPr>
        <w:t>. Selon McCormack, la bi-négativité est étroitement liée à la biphobie intériorisée, la dissimulation de son orientation sexuelle et à l’adoption de comportements sexuels dits à risque. Des taux élevés de dépression et d’anxiété sont liés à l’expérience de la biphobie.</w:t>
      </w:r>
    </w:p>
    <w:p w14:paraId="314EBB0E" w14:textId="77777777" w:rsidR="00E2476B" w:rsidRDefault="00E2476B" w:rsidP="00E2476B">
      <w:pPr>
        <w:pStyle w:val="Titre4"/>
      </w:pPr>
      <w:r>
        <w:t>Une évaluation négative liée à une position spécifique dans la structure sociale ?</w:t>
      </w:r>
    </w:p>
    <w:p w14:paraId="346AE72C" w14:textId="77777777" w:rsidR="00E2476B" w:rsidRDefault="00E2476B" w:rsidP="00E2476B">
      <w:pPr>
        <w:pStyle w:val="Textbody"/>
      </w:pPr>
      <w:r>
        <w:t xml:space="preserve">Comment interpréter ces résultats sur l’évaluation conjugale ? Ils semblent aller dans le sens d’une distance à la norme conjugale avec des attentes différentes et un rapport potentiellement critique au couple. Ils peuvent aussi refléter des relations dégradées, conflictuelles ou violentes et l’effet de la biphobie sur les relations conjugales. Si la grande majorité des personnes en couple hétérosexuel se disent satisfaites de leur relation, l’insatisfaction augmente pour les femmes, les personnes les plus diplômées, en cas de désaccords sur les tâches domestiques et avec le nombre d’enfants (Bouchet-Valat et </w:t>
      </w:r>
      <w:proofErr w:type="spellStart"/>
      <w:r>
        <w:t>Toulemon</w:t>
      </w:r>
      <w:proofErr w:type="spellEnd"/>
      <w:r>
        <w:t> (</w:t>
      </w:r>
      <w:proofErr w:type="spellStart"/>
      <w:r>
        <w:t>eds</w:t>
      </w:r>
      <w:proofErr w:type="spellEnd"/>
      <w:r>
        <w:t>.) 2026). Ainsi l’évaluation plus négative des relations de la part des personnes bisexuelles pourraient être liées à des caractéristiques sociales spécifiques ou une phase de la relation différente.</w:t>
      </w:r>
    </w:p>
    <w:p w14:paraId="043349B8" w14:textId="77777777" w:rsidR="00E2476B" w:rsidRDefault="00E2476B" w:rsidP="00E2476B">
      <w:pPr>
        <w:pStyle w:val="Textbody"/>
      </w:pPr>
      <w:r>
        <w:lastRenderedPageBreak/>
        <w:t>C’est pourquoi nous réalisons une série de régressions logistiques qui prennent pour variables dépendantes la satisfaction conjugale, le sentiment amoureux, les projets de séparation et les symptômes dépressifs, distinguant dans chaque cas les réponses masculines des réponses féminines. Pour chaque variable dépendante, l’effet de l’identification sexuelle puis du type de couple est estimé en contrôlant les effets du statut social et du parcours de vie.</w:t>
      </w:r>
    </w:p>
    <w:p w14:paraId="3E9FDD4D" w14:textId="77777777" w:rsidR="00E2476B" w:rsidRDefault="00E2476B" w:rsidP="00E2476B">
      <w:pPr>
        <w:pStyle w:val="Textbody"/>
      </w:pPr>
      <w:r>
        <w:t>Avant de présenter les régressions, nous distinguons les réponses par type de couple dans l’échantillon de convenance.</w:t>
      </w:r>
    </w:p>
    <w:p w14:paraId="15F9BB6D" w14:textId="77777777" w:rsidR="00E2476B" w:rsidRDefault="00E2476B" w:rsidP="00E2476B">
      <w:r>
        <w:t>Figure 6 : Evaluation de la qualité des relations conjugales actuelles selon le type de couple.</w:t>
      </w:r>
    </w:p>
    <w:p w14:paraId="28980004" w14:textId="77777777" w:rsidR="00E2476B" w:rsidRDefault="00E2476B" w:rsidP="00E2476B">
      <w:pPr>
        <w:pStyle w:val="Textbody"/>
        <w:spacing w:before="0" w:after="0"/>
      </w:pPr>
      <w:r>
        <w:rPr>
          <w:noProof/>
        </w:rPr>
        <w:lastRenderedPageBreak/>
        <w:drawing>
          <wp:inline distT="0" distB="0" distL="0" distR="0" wp14:anchorId="7D8774F3" wp14:editId="509E900D">
            <wp:extent cx="6307919" cy="6307919"/>
            <wp:effectExtent l="19050" t="19050" r="16681" b="16681"/>
            <wp:docPr id="1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6307919" cy="6307919"/>
                    </a:xfrm>
                    <a:prstGeom prst="rect">
                      <a:avLst/>
                    </a:prstGeom>
                    <a:noFill/>
                    <a:ln w="3302">
                      <a:solidFill>
                        <a:srgbClr val="E8E8E8"/>
                      </a:solidFill>
                      <a:prstDash val="solid"/>
                    </a:ln>
                  </pic:spPr>
                </pic:pic>
              </a:graphicData>
            </a:graphic>
          </wp:inline>
        </w:drawing>
      </w:r>
    </w:p>
    <w:p w14:paraId="6A4574DD" w14:textId="77777777" w:rsidR="00E2476B" w:rsidRDefault="00E2476B" w:rsidP="00E2476B">
      <w:pPr>
        <w:pStyle w:val="Standard"/>
        <w:spacing w:after="40"/>
        <w:ind w:left="102" w:right="102"/>
      </w:pPr>
      <w:r>
        <w:rPr>
          <w:rFonts w:ascii="Times New Roman" w:eastAsia="Arial" w:hAnsi="Times New Roman" w:cs="Times New Roman"/>
          <w:color w:val="000000"/>
          <w:sz w:val="16"/>
          <w:szCs w:val="16"/>
        </w:rPr>
        <w:t>Test du Chi2, p-valeur significatives (&lt; 0,05) sur les items « projet de séparation » et « dépression/anxiété » ; significatives (&lt; 0,001) chez les hommes sur le « sentiment amoureux » et la « satisfaction conjugale », non significatif chez les femmes sur ces items.</w:t>
      </w:r>
    </w:p>
    <w:p w14:paraId="05A13335"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Répondant∙es en couple au moment de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w:t>
      </w:r>
    </w:p>
    <w:p w14:paraId="14362178"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Parmi les hommes, les gays en couple se confient plus à leur partenaire lors d'un problème personnel.</w:t>
      </w:r>
    </w:p>
    <w:p w14:paraId="7BAEA852"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767C46AD" w14:textId="77777777" w:rsidR="00E2476B" w:rsidRDefault="00E2476B" w:rsidP="00E2476B">
      <w:pPr>
        <w:pStyle w:val="Textbody"/>
      </w:pPr>
      <w:r>
        <w:t xml:space="preserve">Chez les femmes, les écarts entre lesbiennes et bisexuelles sont faibles, excepté sur la dépression où les </w:t>
      </w:r>
      <w:proofErr w:type="spellStart"/>
      <w:r>
        <w:t>bies</w:t>
      </w:r>
      <w:proofErr w:type="spellEnd"/>
      <w:r>
        <w:t xml:space="preserve"> en couple de sexe différent déclarent près de deux fois plus souvent être en dépression ou avoir de l’anxiété que les </w:t>
      </w:r>
      <w:proofErr w:type="spellStart"/>
      <w:r>
        <w:t>bies</w:t>
      </w:r>
      <w:proofErr w:type="spellEnd"/>
      <w:r>
        <w:t xml:space="preserve"> en couple de même sexe et que les lesbiennes. Elles déclarent également plus souvent un projet de séparation dans l’année que les lesbiennes en couple. Chez les </w:t>
      </w:r>
      <w:r>
        <w:lastRenderedPageBreak/>
        <w:t>hommes, les bis en couple de sexe différent déclarent le moins souvent être amoureux de leur partenaire et satisfaits de leur relation. En revanche ce sont les bis en couple de même sexe qui déclarent plus de dépression et d'intention de rompre.</w:t>
      </w:r>
    </w:p>
    <w:p w14:paraId="18B0427A" w14:textId="77777777" w:rsidR="00E2476B" w:rsidRDefault="00E2476B" w:rsidP="00E2476B">
      <w:pPr>
        <w:pStyle w:val="Titre3"/>
      </w:pPr>
      <w:bookmarkStart w:id="73" w:name="__RefHeading___Toc52654_3216639541"/>
      <w:r>
        <w:t xml:space="preserve">Une vulnérabilité spécifique chez les </w:t>
      </w:r>
      <w:proofErr w:type="spellStart"/>
      <w:r>
        <w:t>bi∙es</w:t>
      </w:r>
      <w:proofErr w:type="spellEnd"/>
      <w:r>
        <w:t xml:space="preserve"> en couple avec un </w:t>
      </w:r>
      <w:proofErr w:type="gramStart"/>
      <w:r>
        <w:t>homme  ?</w:t>
      </w:r>
      <w:bookmarkEnd w:id="73"/>
      <w:proofErr w:type="gramEnd"/>
    </w:p>
    <w:p w14:paraId="3CF2FDE4" w14:textId="77777777" w:rsidR="00E2476B" w:rsidRDefault="00E2476B" w:rsidP="00E2476B">
      <w:pPr>
        <w:pStyle w:val="Textbody"/>
      </w:pPr>
      <w:r>
        <w:t xml:space="preserve">La Figure 6 nous indique une vulnérabilité spécifique des femmes bisexuelles en couple de sexe différent. L’évaluation plus négative de la relation chez les hommes bisexuels en couple avec une femme ne s’accompagne toutefois pas d’une plus grande déclaration de projet de séparation ou de dépression. Si la moindre satisfaction relationnelle et amoureuse semble partagée par les personnes bisexuelles, l’intention de rompre et la déclaration de dépression ou d’anxiété est plutôt le fait des </w:t>
      </w:r>
      <w:proofErr w:type="spellStart"/>
      <w:r>
        <w:t>bisexuel∙les</w:t>
      </w:r>
      <w:proofErr w:type="spellEnd"/>
      <w:r>
        <w:t xml:space="preserve"> en couple avec un homme. Nous présentons désormais la série de régressions logistiques, les tableaux complets avec les variables de contrôle sont disponibles en annexe.</w:t>
      </w:r>
    </w:p>
    <w:p w14:paraId="5102D6D0" w14:textId="77777777" w:rsidR="00E2476B" w:rsidRDefault="00E2476B" w:rsidP="00E2476B">
      <w:r>
        <w:t xml:space="preserve">Table 10a : Régression logistique des indicateurs d’évaluation conjugale sur l’identification sexuelle et diverses variables de structuration sociale.     </w:t>
      </w:r>
    </w:p>
    <w:tbl>
      <w:tblPr>
        <w:tblW w:w="5000" w:type="pct"/>
        <w:jc w:val="center"/>
        <w:tblLayout w:type="fixed"/>
        <w:tblCellMar>
          <w:left w:w="10" w:type="dxa"/>
          <w:right w:w="10" w:type="dxa"/>
        </w:tblCellMar>
        <w:tblLook w:val="0000" w:firstRow="0" w:lastRow="0" w:firstColumn="0" w:lastColumn="0" w:noHBand="0" w:noVBand="0"/>
      </w:tblPr>
      <w:tblGrid>
        <w:gridCol w:w="1782"/>
        <w:gridCol w:w="948"/>
        <w:gridCol w:w="949"/>
        <w:gridCol w:w="948"/>
        <w:gridCol w:w="950"/>
        <w:gridCol w:w="949"/>
        <w:gridCol w:w="950"/>
        <w:gridCol w:w="948"/>
        <w:gridCol w:w="950"/>
      </w:tblGrid>
      <w:tr w:rsidR="00E2476B" w14:paraId="04CB0C1B" w14:textId="77777777" w:rsidTr="0018419C">
        <w:trPr>
          <w:tblHeader/>
          <w:jc w:val="center"/>
        </w:trPr>
        <w:tc>
          <w:tcPr>
            <w:tcW w:w="1789"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74F7D23C" w14:textId="77777777" w:rsidR="00E2476B" w:rsidRDefault="00E2476B" w:rsidP="0018419C">
            <w:pPr>
              <w:pStyle w:val="Standard"/>
              <w:spacing w:before="40" w:after="40"/>
              <w:ind w:left="100" w:right="100"/>
              <w:rPr>
                <w:rFonts w:ascii="Times New Roman" w:eastAsia="Arial" w:hAnsi="Times New Roman" w:cs="Times New Roman"/>
                <w:color w:val="000000"/>
                <w:sz w:val="16"/>
                <w:szCs w:val="16"/>
              </w:rPr>
            </w:pPr>
          </w:p>
        </w:tc>
        <w:tc>
          <w:tcPr>
            <w:tcW w:w="95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2493E7B"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6"/>
                <w:szCs w:val="16"/>
              </w:rPr>
              <w:t>Satisfaction conjugale</w:t>
            </w:r>
            <w:r>
              <w:rPr>
                <w:rFonts w:ascii="Times New Roman" w:eastAsia="Arial" w:hAnsi="Times New Roman" w:cs="Times New Roman"/>
                <w:bCs/>
                <w:color w:val="000000"/>
                <w:sz w:val="16"/>
                <w:szCs w:val="16"/>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EEEEA19"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6"/>
                <w:szCs w:val="16"/>
              </w:rPr>
              <w:t>Satisfaction conjugale</w:t>
            </w:r>
            <w:r>
              <w:rPr>
                <w:rFonts w:ascii="Times New Roman" w:eastAsia="Arial" w:hAnsi="Times New Roman" w:cs="Times New Roman"/>
                <w:bCs/>
                <w:color w:val="000000"/>
                <w:sz w:val="16"/>
                <w:szCs w:val="16"/>
              </w:rPr>
              <w:br/>
              <w:t>Homme</w:t>
            </w:r>
          </w:p>
        </w:tc>
        <w:tc>
          <w:tcPr>
            <w:tcW w:w="95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E978CC3"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6"/>
                <w:szCs w:val="16"/>
              </w:rPr>
              <w:t>Sentiment amoureux</w:t>
            </w:r>
            <w:r>
              <w:rPr>
                <w:rFonts w:ascii="Times New Roman" w:eastAsia="Arial" w:hAnsi="Times New Roman" w:cs="Times New Roman"/>
                <w:bCs/>
                <w:color w:val="000000"/>
                <w:sz w:val="16"/>
                <w:szCs w:val="16"/>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6FFD9DA"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6"/>
                <w:szCs w:val="16"/>
              </w:rPr>
              <w:t>Sentiment amoureux</w:t>
            </w:r>
            <w:r>
              <w:rPr>
                <w:rFonts w:ascii="Times New Roman" w:eastAsia="Arial" w:hAnsi="Times New Roman" w:cs="Times New Roman"/>
                <w:bCs/>
                <w:color w:val="000000"/>
                <w:sz w:val="16"/>
                <w:szCs w:val="16"/>
              </w:rPr>
              <w:br/>
              <w:t>Homme</w:t>
            </w:r>
          </w:p>
        </w:tc>
        <w:tc>
          <w:tcPr>
            <w:tcW w:w="95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10553ED7"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6"/>
                <w:szCs w:val="16"/>
              </w:rPr>
              <w:t>Projet de séparation</w:t>
            </w:r>
            <w:r>
              <w:rPr>
                <w:rFonts w:ascii="Times New Roman" w:eastAsia="Arial" w:hAnsi="Times New Roman" w:cs="Times New Roman"/>
                <w:bCs/>
                <w:color w:val="000000"/>
                <w:sz w:val="16"/>
                <w:szCs w:val="16"/>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1586BE3"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6"/>
                <w:szCs w:val="16"/>
              </w:rPr>
              <w:t>Projet de séparation</w:t>
            </w:r>
            <w:r>
              <w:rPr>
                <w:rFonts w:ascii="Times New Roman" w:eastAsia="Arial" w:hAnsi="Times New Roman" w:cs="Times New Roman"/>
                <w:bCs/>
                <w:color w:val="000000"/>
                <w:sz w:val="16"/>
                <w:szCs w:val="16"/>
              </w:rPr>
              <w:br/>
              <w:t>Homme</w:t>
            </w:r>
          </w:p>
        </w:tc>
        <w:tc>
          <w:tcPr>
            <w:tcW w:w="95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82FBCA2"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6"/>
                <w:szCs w:val="16"/>
              </w:rPr>
              <w:t>Dépression/ Anxiété</w:t>
            </w:r>
            <w:r>
              <w:rPr>
                <w:rFonts w:ascii="Times New Roman" w:eastAsia="Arial" w:hAnsi="Times New Roman" w:cs="Times New Roman"/>
                <w:bCs/>
                <w:color w:val="000000"/>
                <w:sz w:val="16"/>
                <w:szCs w:val="16"/>
              </w:rPr>
              <w:br/>
              <w:t>Femme</w:t>
            </w:r>
          </w:p>
        </w:tc>
        <w:tc>
          <w:tcPr>
            <w:tcW w:w="953"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4A644C2C"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6"/>
                <w:szCs w:val="16"/>
              </w:rPr>
              <w:t>Dépression/Anxiété</w:t>
            </w:r>
            <w:r>
              <w:rPr>
                <w:rFonts w:ascii="Times New Roman" w:eastAsia="Arial" w:hAnsi="Times New Roman" w:cs="Times New Roman"/>
                <w:bCs/>
                <w:color w:val="000000"/>
                <w:sz w:val="16"/>
                <w:szCs w:val="16"/>
              </w:rPr>
              <w:br/>
              <w:t>Homme</w:t>
            </w:r>
          </w:p>
        </w:tc>
      </w:tr>
      <w:tr w:rsidR="00E2476B" w14:paraId="0990AB0F" w14:textId="77777777" w:rsidTr="0018419C">
        <w:trPr>
          <w:jc w:val="center"/>
        </w:trPr>
        <w:tc>
          <w:tcPr>
            <w:tcW w:w="9407" w:type="dxa"/>
            <w:gridSpan w:val="9"/>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7C9C0C4C"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6"/>
                <w:szCs w:val="16"/>
              </w:rPr>
              <w:t>Identification sexuelle</w:t>
            </w:r>
          </w:p>
        </w:tc>
      </w:tr>
      <w:tr w:rsidR="00E2476B" w14:paraId="280D1E05"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0DFF2436" w14:textId="77777777" w:rsidR="00E2476B" w:rsidRDefault="00E2476B" w:rsidP="0018419C">
            <w:pPr>
              <w:pStyle w:val="Standard"/>
              <w:spacing w:before="60" w:after="60"/>
              <w:ind w:left="102" w:right="102"/>
            </w:pPr>
            <w:r>
              <w:rPr>
                <w:rFonts w:ascii="Times New Roman" w:eastAsia="Arial" w:hAnsi="Times New Roman" w:cs="Times New Roman"/>
                <w:color w:val="000000"/>
                <w:sz w:val="16"/>
                <w:szCs w:val="16"/>
              </w:rPr>
              <w:t>Hétéro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01CE33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F45864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93D2EB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B35923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1375E9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4347E3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CDB59D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7611E86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r>
      <w:tr w:rsidR="00E2476B" w14:paraId="338DBEEC"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1A4569A1" w14:textId="77777777" w:rsidR="00E2476B" w:rsidRDefault="00E2476B" w:rsidP="0018419C">
            <w:pPr>
              <w:pStyle w:val="Standard"/>
              <w:spacing w:before="60" w:after="60"/>
              <w:ind w:left="102" w:right="102"/>
            </w:pPr>
            <w:r>
              <w:rPr>
                <w:rFonts w:ascii="Times New Roman" w:eastAsia="Arial" w:hAnsi="Times New Roman" w:cs="Times New Roman"/>
                <w:color w:val="000000"/>
                <w:sz w:val="16"/>
                <w:szCs w:val="16"/>
              </w:rPr>
              <w:t>Bi</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3F207B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0,11***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71F33E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317DE5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0,11***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5B9A83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0,15*</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E78171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6,96***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01A624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F3871E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4,58***</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1376119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1,32</w:t>
            </w:r>
          </w:p>
        </w:tc>
      </w:tr>
      <w:tr w:rsidR="00E2476B" w14:paraId="431520F3"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5FE2413E" w14:textId="77777777" w:rsidR="00E2476B" w:rsidRDefault="00E2476B" w:rsidP="0018419C">
            <w:pPr>
              <w:pStyle w:val="Standard"/>
              <w:spacing w:before="60" w:after="60"/>
              <w:ind w:left="102" w:right="102"/>
            </w:pPr>
            <w:r>
              <w:rPr>
                <w:rFonts w:ascii="Times New Roman" w:eastAsia="Arial" w:hAnsi="Times New Roman" w:cs="Times New Roman"/>
                <w:color w:val="000000"/>
                <w:sz w:val="16"/>
                <w:szCs w:val="16"/>
              </w:rPr>
              <w:t>Homo</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5EDDBB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3,19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113B0F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B77A16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777F1C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0,32</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F83B88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0,83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B4A433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0,62</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B02909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1,44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6C70EBDB"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6"/>
                <w:szCs w:val="16"/>
              </w:rPr>
              <w:t>2,45</w:t>
            </w:r>
          </w:p>
        </w:tc>
      </w:tr>
      <w:tr w:rsidR="00E2476B" w14:paraId="025D7E18" w14:textId="77777777" w:rsidTr="0018419C">
        <w:trPr>
          <w:jc w:val="center"/>
        </w:trPr>
        <w:tc>
          <w:tcPr>
            <w:tcW w:w="9407" w:type="dxa"/>
            <w:gridSpan w:val="9"/>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1C9DF5CD"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72EB860C"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 xml:space="preserve">Seuls les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ratios dont l'intervalle de confiance à 95% n'inclut pas la valeur 1 sont considérés comme statistiquement significatifs.</w:t>
            </w:r>
          </w:p>
          <w:p w14:paraId="50826CA0"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 : Estimation non exploitable en raison d'une séparation quasi complète des données (effectif insuffisant dans la sous-catégorie).</w:t>
            </w:r>
          </w:p>
          <w:p w14:paraId="368E101D"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Variables de contrôle : âge, diplôme, revenu du ménage, statut marital, résidentiel et parental, statut d'activité comparé.</w:t>
            </w:r>
          </w:p>
          <w:p w14:paraId="030D0826"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Répondant∙es en couple au moment de l’enquête Virage PG. Données pondérées.</w:t>
            </w:r>
          </w:p>
          <w:p w14:paraId="25FE4497"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ont moins de chance d'être satisfaites de leur relation que les femmes hétérosexuelles, à variables de contrôle équivalentes.</w:t>
            </w:r>
          </w:p>
          <w:p w14:paraId="269A23D6"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PG, Ined, 2015.</w:t>
            </w:r>
          </w:p>
        </w:tc>
      </w:tr>
    </w:tbl>
    <w:p w14:paraId="57BB1EC8" w14:textId="77777777" w:rsidR="00E2476B" w:rsidRDefault="00E2476B" w:rsidP="00E2476B">
      <w:pPr>
        <w:pStyle w:val="Textbody"/>
      </w:pPr>
      <w:r>
        <w:t xml:space="preserve">Le </w:t>
      </w:r>
      <w:hyperlink w:anchor="Tableau11|table" w:history="1">
        <w:r>
          <w:t>Tableau 10a</w:t>
        </w:r>
      </w:hyperlink>
      <w:r>
        <w:t xml:space="preserve"> confirme la tendance évoquée plus haut d’une moindre satisfaction conjugale et amoureuse et d’une vulnérabilité spécifique des femmes bisexuelles par rapport aux hétérosexuelles. Comparées aux femmes hétéros, à variables de contrôle équivalentes, elles ont dix fois moins de chance de se dire satisfaite ou amoureuse de leur partenaire actuel. Elles ont près de sept fois plus de chance de déclarer un projet de séparation dans l’année et 4,5 fois plus de chance de déclaration une dépression ou de l’anxiété. Les résultats sont nettement moins significatifs chez les hommes, cohérent avec leur faible proportion à être en couple dans l’enquête en population </w:t>
      </w:r>
      <w:r>
        <w:lastRenderedPageBreak/>
        <w:t xml:space="preserve">générale. Ils ont significativement moins de chance de se dire amoureux de leur partenaire actuel que les hommes hétéros, confirmant l’observation faite au </w:t>
      </w:r>
      <w:hyperlink w:anchor="Tableau11|table" w:history="1">
        <w:r>
          <w:t>Tableau 9</w:t>
        </w:r>
      </w:hyperlink>
      <w:r>
        <w:t>.</w:t>
      </w:r>
    </w:p>
    <w:p w14:paraId="4098C41D" w14:textId="77777777" w:rsidR="00E2476B" w:rsidRDefault="00E2476B" w:rsidP="00E2476B">
      <w:pPr>
        <w:pStyle w:val="Textbody"/>
      </w:pPr>
      <w:r>
        <w:t xml:space="preserve">A caractéristiques sociodémographiques et conjugales comparables, les femmes bisexuelles présentent un profil relationnel et psychologique nettement plus dégradé que les hétérosexuelles. Ce résultat va dans le sens d’une spécificité du vécu conjugal des femmes bisexuelles. C’est cohérent avec notre hypothèse d’une appartenance des bisexuelles aux style conjugaux </w:t>
      </w:r>
      <w:r>
        <w:rPr>
          <w:i/>
          <w:iCs/>
        </w:rPr>
        <w:t>Association</w:t>
      </w:r>
      <w:r>
        <w:t xml:space="preserve"> et </w:t>
      </w:r>
      <w:r>
        <w:rPr>
          <w:i/>
          <w:iCs/>
        </w:rPr>
        <w:t>Parallèle</w:t>
      </w:r>
      <w:r>
        <w:t xml:space="preserve"> qui sont ceux où le niveau d’insatisfaction, les projets de séparation et les symptômes de dépression sont les plus élevés (Widmer, Kellerhals et Lévy 2004). Si on suit les recherches de Singly, cela serait ici le signe que l’individualisation se heurte au besoin </w:t>
      </w:r>
      <w:proofErr w:type="gramStart"/>
      <w:r>
        <w:t>caché</w:t>
      </w:r>
      <w:proofErr w:type="gramEnd"/>
      <w:r>
        <w:t xml:space="preserve"> de fusion et que l’incertitude qui caractérise ces styles de conjugalité fragilise les individus. La prise d’indépendance, au sein de la vie de couple, peut avoir pour conséquence des blessures identitaires pour l’autre (Singly 2003). Cette explication nous semble toutefois inadapté dans le sens où elle occulte les rapports de genre et sexualité, elle ne suffit pas à expliquer l’évaluation conjugale des personnes bisexuelles.</w:t>
      </w:r>
    </w:p>
    <w:p w14:paraId="3FA854C4" w14:textId="77777777" w:rsidR="00E2476B" w:rsidRDefault="00E2476B" w:rsidP="00E2476B">
      <w:pPr>
        <w:pStyle w:val="Textbody"/>
      </w:pPr>
      <w:r>
        <w:t>Le résultat d’un vécu conjugal spécifique chez les femmes bisexuelles est aussi cohérent avec la littérature citée plus haut sur l’invisibilisation bisexuelle et la biphobie.</w:t>
      </w:r>
    </w:p>
    <w:p w14:paraId="37C8C0F0" w14:textId="77777777" w:rsidR="00E2476B" w:rsidRDefault="00E2476B" w:rsidP="00E2476B">
      <w:pPr>
        <w:pStyle w:val="Textbody"/>
      </w:pPr>
      <w:r>
        <w:t xml:space="preserve">Pour creuser notre hypothèse sur le lien entre évaluation négative de la qualité des relations et le fait d’être en couple avec un homme, nous présentons la régression suivante. Elle repose sur l’échantillon de convenance et ne correspond pas à la même population bisexuelle. Toutefois elle nous dit quelque chose du vécu conjugal des </w:t>
      </w:r>
      <w:proofErr w:type="spellStart"/>
      <w:r>
        <w:t>bisexuel∙les</w:t>
      </w:r>
      <w:proofErr w:type="spellEnd"/>
      <w:r>
        <w:t xml:space="preserve"> selon le type de couple et offre plus de résultats concernant les hommes bis.  </w:t>
      </w:r>
    </w:p>
    <w:p w14:paraId="2B9E99F2" w14:textId="77777777" w:rsidR="00E2476B" w:rsidRDefault="00E2476B" w:rsidP="00E2476B">
      <w:r>
        <w:t xml:space="preserve">Table 10b : Régression logistique des indicateurs d’évaluation conjugale sur le type de couple et diverses variables de structuration sociale.     </w:t>
      </w:r>
    </w:p>
    <w:tbl>
      <w:tblPr>
        <w:tblW w:w="5000" w:type="pct"/>
        <w:jc w:val="center"/>
        <w:tblLayout w:type="fixed"/>
        <w:tblCellMar>
          <w:left w:w="10" w:type="dxa"/>
          <w:right w:w="10" w:type="dxa"/>
        </w:tblCellMar>
        <w:tblLook w:val="0000" w:firstRow="0" w:lastRow="0" w:firstColumn="0" w:lastColumn="0" w:noHBand="0" w:noVBand="0"/>
      </w:tblPr>
      <w:tblGrid>
        <w:gridCol w:w="2067"/>
        <w:gridCol w:w="913"/>
        <w:gridCol w:w="913"/>
        <w:gridCol w:w="913"/>
        <w:gridCol w:w="913"/>
        <w:gridCol w:w="913"/>
        <w:gridCol w:w="914"/>
        <w:gridCol w:w="913"/>
        <w:gridCol w:w="915"/>
      </w:tblGrid>
      <w:tr w:rsidR="00E2476B" w14:paraId="2B295141" w14:textId="77777777" w:rsidTr="0018419C">
        <w:trPr>
          <w:tblHeader/>
          <w:jc w:val="center"/>
        </w:trPr>
        <w:tc>
          <w:tcPr>
            <w:tcW w:w="2074"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7E849BD2" w14:textId="77777777" w:rsidR="00E2476B" w:rsidRDefault="00E2476B" w:rsidP="0018419C">
            <w:pPr>
              <w:pStyle w:val="Standard"/>
              <w:spacing w:before="40" w:after="40"/>
              <w:ind w:left="100" w:right="100"/>
              <w:rPr>
                <w:rFonts w:ascii="Times New Roman" w:eastAsia="Arial" w:hAnsi="Times New Roman" w:cs="Times New Roman"/>
                <w:color w:val="000000"/>
                <w:sz w:val="16"/>
                <w:szCs w:val="16"/>
              </w:rPr>
            </w:pP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05ACF5C"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Femme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6D1D0DD"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A46A352"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Femme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2F47681"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6772F40C"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Femme</w:t>
            </w:r>
          </w:p>
        </w:tc>
        <w:tc>
          <w:tcPr>
            <w:tcW w:w="91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009719C"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558542C"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Femme</w:t>
            </w:r>
          </w:p>
        </w:tc>
        <w:tc>
          <w:tcPr>
            <w:tcW w:w="918"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68A20867"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Homme</w:t>
            </w:r>
          </w:p>
        </w:tc>
      </w:tr>
      <w:tr w:rsidR="00E2476B" w14:paraId="00C07D66" w14:textId="77777777" w:rsidTr="0018419C">
        <w:trPr>
          <w:jc w:val="center"/>
        </w:trPr>
        <w:tc>
          <w:tcPr>
            <w:tcW w:w="2074" w:type="dxa"/>
            <w:tcBorders>
              <w:top w:val="single" w:sz="12" w:space="0" w:color="000000"/>
              <w:left w:val="single" w:sz="12" w:space="0" w:color="000000"/>
            </w:tcBorders>
            <w:shd w:val="clear" w:color="auto" w:fill="FFFFFF"/>
            <w:tcMar>
              <w:top w:w="0" w:type="dxa"/>
              <w:left w:w="0" w:type="dxa"/>
              <w:bottom w:w="0" w:type="dxa"/>
              <w:right w:w="0" w:type="dxa"/>
            </w:tcMar>
          </w:tcPr>
          <w:p w14:paraId="6B1EEB6D"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6"/>
                <w:szCs w:val="16"/>
              </w:rPr>
              <w:t>Type de couple</w:t>
            </w:r>
          </w:p>
        </w:tc>
        <w:tc>
          <w:tcPr>
            <w:tcW w:w="916" w:type="dxa"/>
            <w:tcBorders>
              <w:top w:val="single" w:sz="12" w:space="0" w:color="000000"/>
            </w:tcBorders>
            <w:shd w:val="clear" w:color="auto" w:fill="FFFFFF"/>
            <w:tcMar>
              <w:top w:w="0" w:type="dxa"/>
              <w:left w:w="0" w:type="dxa"/>
              <w:bottom w:w="0" w:type="dxa"/>
              <w:right w:w="0" w:type="dxa"/>
            </w:tcMar>
          </w:tcPr>
          <w:p w14:paraId="1C3A9303"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0E268879"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774E4E24"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1218A029"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55C4F9B8"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6"/>
                <w:szCs w:val="16"/>
              </w:rPr>
            </w:pPr>
          </w:p>
        </w:tc>
        <w:tc>
          <w:tcPr>
            <w:tcW w:w="917" w:type="dxa"/>
            <w:tcBorders>
              <w:top w:val="single" w:sz="12" w:space="0" w:color="000000"/>
            </w:tcBorders>
            <w:shd w:val="clear" w:color="auto" w:fill="FFFFFF"/>
            <w:tcMar>
              <w:top w:w="0" w:type="dxa"/>
              <w:left w:w="0" w:type="dxa"/>
              <w:bottom w:w="0" w:type="dxa"/>
              <w:right w:w="0" w:type="dxa"/>
            </w:tcMar>
          </w:tcPr>
          <w:p w14:paraId="00ACE3DC"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6"/>
                <w:szCs w:val="16"/>
              </w:rPr>
            </w:pPr>
          </w:p>
        </w:tc>
        <w:tc>
          <w:tcPr>
            <w:tcW w:w="916" w:type="dxa"/>
            <w:tcBorders>
              <w:top w:val="single" w:sz="12" w:space="0" w:color="000000"/>
            </w:tcBorders>
            <w:shd w:val="clear" w:color="auto" w:fill="FFFFFF"/>
            <w:tcMar>
              <w:top w:w="0" w:type="dxa"/>
              <w:left w:w="0" w:type="dxa"/>
              <w:bottom w:w="0" w:type="dxa"/>
              <w:right w:w="0" w:type="dxa"/>
            </w:tcMar>
          </w:tcPr>
          <w:p w14:paraId="03AE248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6"/>
                <w:szCs w:val="16"/>
              </w:rPr>
            </w:pPr>
          </w:p>
        </w:tc>
        <w:tc>
          <w:tcPr>
            <w:tcW w:w="918" w:type="dxa"/>
            <w:tcBorders>
              <w:top w:val="single" w:sz="12" w:space="0" w:color="000000"/>
              <w:right w:val="single" w:sz="12" w:space="0" w:color="000000"/>
            </w:tcBorders>
            <w:shd w:val="clear" w:color="auto" w:fill="FFFFFF"/>
            <w:tcMar>
              <w:top w:w="0" w:type="dxa"/>
              <w:left w:w="0" w:type="dxa"/>
              <w:bottom w:w="0" w:type="dxa"/>
              <w:right w:w="0" w:type="dxa"/>
            </w:tcMar>
          </w:tcPr>
          <w:p w14:paraId="4ABAF11B"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6"/>
                <w:szCs w:val="16"/>
              </w:rPr>
            </w:pPr>
          </w:p>
        </w:tc>
      </w:tr>
      <w:tr w:rsidR="00E2476B" w14:paraId="49B1062F"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3976B72" w14:textId="77777777" w:rsidR="00E2476B" w:rsidRDefault="00E2476B" w:rsidP="0018419C">
            <w:pPr>
              <w:pStyle w:val="Standard"/>
              <w:spacing w:before="80" w:after="80"/>
              <w:ind w:left="102" w:right="102"/>
            </w:pPr>
            <w:r>
              <w:rPr>
                <w:rFonts w:ascii="Times New Roman" w:eastAsia="Arial" w:hAnsi="Times New Roman" w:cs="Times New Roman"/>
                <w:color w:val="000000"/>
                <w:sz w:val="16"/>
                <w:szCs w:val="16"/>
              </w:rPr>
              <w:t>Homo en couple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301F9D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DDB65A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4D6C33A"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E0C7DE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048090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168F04D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7BAA2D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E053AE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r>
      <w:tr w:rsidR="00E2476B" w14:paraId="7997AD86"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27470C3F" w14:textId="77777777" w:rsidR="00E2476B" w:rsidRDefault="00E2476B" w:rsidP="0018419C">
            <w:pPr>
              <w:pStyle w:val="Standard"/>
              <w:spacing w:before="80" w:after="80"/>
              <w:ind w:left="102" w:right="102"/>
            </w:pPr>
            <w:r>
              <w:rPr>
                <w:rFonts w:ascii="Times New Roman" w:eastAsia="Arial" w:hAnsi="Times New Roman" w:cs="Times New Roman"/>
                <w:color w:val="000000"/>
                <w:sz w:val="16"/>
                <w:szCs w:val="16"/>
              </w:rPr>
              <w:t>Bi en couple de même sexe</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BAD983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0,47*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DB4585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0,39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AAD882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0,41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E4C05F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58DECD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1,70**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0C39D3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1,92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B7422A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1,51</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1620CF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2,73*</w:t>
            </w:r>
          </w:p>
        </w:tc>
      </w:tr>
      <w:tr w:rsidR="00E2476B" w14:paraId="2DE4930A"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4AE8F96C" w14:textId="77777777" w:rsidR="00E2476B" w:rsidRDefault="00E2476B" w:rsidP="0018419C">
            <w:pPr>
              <w:pStyle w:val="Standard"/>
              <w:spacing w:before="80" w:after="80"/>
              <w:ind w:left="102" w:right="102"/>
            </w:pPr>
            <w:r>
              <w:rPr>
                <w:rFonts w:ascii="Times New Roman" w:eastAsia="Arial" w:hAnsi="Times New Roman" w:cs="Times New Roman"/>
                <w:color w:val="000000"/>
                <w:sz w:val="16"/>
                <w:szCs w:val="16"/>
              </w:rPr>
              <w:t>Bi en couple de sexe différent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6B574E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0,71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A53C05A"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A071A2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D82513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0,18***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B733E3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1,83*</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F25BE0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1,26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5F7354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3,24***</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7C2F95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6"/>
                <w:szCs w:val="16"/>
              </w:rPr>
              <w:t>1,68</w:t>
            </w:r>
          </w:p>
        </w:tc>
      </w:tr>
      <w:tr w:rsidR="00E2476B" w14:paraId="71FADA4C" w14:textId="77777777" w:rsidTr="0018419C">
        <w:trPr>
          <w:jc w:val="center"/>
        </w:trPr>
        <w:tc>
          <w:tcPr>
            <w:tcW w:w="9405" w:type="dxa"/>
            <w:gridSpan w:val="9"/>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34E9B9F4"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058F9EE2"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 xml:space="preserve">Seuls les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ratios dont l'intervalle de confiance à 95% n'inclut pas la valeur 1 sont considérés comme statistiquement significatifs</w:t>
            </w:r>
          </w:p>
          <w:p w14:paraId="71CF0463"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lastRenderedPageBreak/>
              <w:t>/ : Estimation non exploitable en raison d'une séparation quasi complète des données (effectif insuffisant dans la sous-catégorie).</w:t>
            </w:r>
          </w:p>
          <w:p w14:paraId="2DE84453"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Variables de contrôle : âge, diplôme, revenu du ménage, statut marital, résidentiel et parental, statut d'activité comparé.</w:t>
            </w:r>
          </w:p>
          <w:p w14:paraId="4291EF75"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Répondant∙es en couple au moment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w:t>
            </w:r>
          </w:p>
          <w:p w14:paraId="739C2408"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de même sexe ont moins de chance d'être satisfaites de leur relation actuelle que les homosexuelles en couple, à variables de contrôle équivalentes.</w:t>
            </w:r>
          </w:p>
          <w:p w14:paraId="481F4084"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LGBT, Ined, 2015-2016.</w:t>
            </w:r>
          </w:p>
        </w:tc>
      </w:tr>
    </w:tbl>
    <w:p w14:paraId="3F95875A" w14:textId="77777777" w:rsidR="00E2476B" w:rsidRDefault="00E2476B" w:rsidP="00E2476B">
      <w:pPr>
        <w:pStyle w:val="Textbody"/>
      </w:pPr>
      <w:r>
        <w:t>On retrouve dans cet échantillon la prévalence de dépression ou d’anxiété chez les femmes bisexuelles, elles ont trois fois plus de chance d’en déclarer que les lesbiennes à variables de contrôle équivalentes. Ce résultat, vérifié dans l’échantillon PG et LGBT se consolide. Il concerne ici spécifiquement les femmes bisexuelles en couple avec un homme. Chez les hommes, conformément à notre observation, ce sont également ceux en couple avec un homme qui ont plus de chance de déclarer une dépression ou de l’anxiété.</w:t>
      </w:r>
    </w:p>
    <w:p w14:paraId="66765758" w14:textId="77777777" w:rsidR="00E2476B" w:rsidRDefault="00E2476B" w:rsidP="00E2476B">
      <w:pPr>
        <w:pStyle w:val="Textbody"/>
      </w:pPr>
      <w:r>
        <w:t>Concernant le projet de séparation, les résultats sont significatifs uniquement chez les femmes bisexuelles, qui ont plus de chance d’en déclarer que les lesbiennes en couple, quel que soit le type de couple avec une légère augmentation des chances pour celles en couple avec un homme.</w:t>
      </w:r>
    </w:p>
    <w:p w14:paraId="6501A807" w14:textId="77777777" w:rsidR="00E2476B" w:rsidRDefault="00E2476B" w:rsidP="00E2476B">
      <w:pPr>
        <w:pStyle w:val="Textbody"/>
      </w:pPr>
      <w:r>
        <w:t xml:space="preserve">Les </w:t>
      </w:r>
      <w:proofErr w:type="spellStart"/>
      <w:r>
        <w:t>bisexuel∙les</w:t>
      </w:r>
      <w:proofErr w:type="spellEnd"/>
      <w:r>
        <w:t xml:space="preserve"> hommes et femmes en couple de sexe différent ont moins de chance d’être amoureux de leur partenaire actuel que les gays et lesbiennes en couple. Enfin la satisfaction conjugale est effectivement plus faible chez </w:t>
      </w:r>
      <w:proofErr w:type="gramStart"/>
      <w:r>
        <w:t xml:space="preserve">les </w:t>
      </w:r>
      <w:proofErr w:type="spellStart"/>
      <w:r>
        <w:t>bisexuel</w:t>
      </w:r>
      <w:proofErr w:type="gramEnd"/>
      <w:r>
        <w:t>∙les</w:t>
      </w:r>
      <w:proofErr w:type="spellEnd"/>
      <w:r>
        <w:t xml:space="preserve"> de cet échantillon, de façon significative pour les bisexuelles en couple de même sexe et pour les bisexuels en couple de sexe différent.</w:t>
      </w:r>
    </w:p>
    <w:p w14:paraId="0B980550" w14:textId="77777777" w:rsidR="00E2476B" w:rsidRDefault="00E2476B" w:rsidP="00E2476B">
      <w:pPr>
        <w:pStyle w:val="Textbody"/>
      </w:pPr>
      <w:r>
        <w:t xml:space="preserve">Cet échantillon est recruté communautairement, on l’a vu il engendre une frange de la bisexualité plus proche des homosexuel∙les. </w:t>
      </w:r>
      <w:r>
        <w:rPr>
          <w:color w:val="000000"/>
        </w:rPr>
        <w:t xml:space="preserve">On peut émettre l’hypothèse que les </w:t>
      </w:r>
      <w:proofErr w:type="spellStart"/>
      <w:r>
        <w:rPr>
          <w:color w:val="000000"/>
        </w:rPr>
        <w:t>bies</w:t>
      </w:r>
      <w:proofErr w:type="spellEnd"/>
      <w:r>
        <w:rPr>
          <w:color w:val="000000"/>
        </w:rPr>
        <w:t xml:space="preserve"> en couple avec une homme, intégrées aux communautés LGBT, vivent une biphobie spécifique. Alors que les gays ne sont pas menacés par les hommes bisexuels, la réintroduction des hommes dans les relations entre femmes fait courir le risque d’</w:t>
      </w:r>
      <w:proofErr w:type="spellStart"/>
      <w:r>
        <w:rPr>
          <w:color w:val="000000"/>
        </w:rPr>
        <w:t>éroticisation</w:t>
      </w:r>
      <w:proofErr w:type="spellEnd"/>
      <w:r>
        <w:rPr>
          <w:color w:val="000000"/>
        </w:rPr>
        <w:t xml:space="preserve"> et la menace d’être quittée pur un homme pour une meilleure sécurité financière et sociale (Armstrong 2014). Si les bisexuelles font naître cette peur chez une partie des lesbiennes elles ne sont pas la cause de l’invisibilisation lesbienne et ne finissent pas inévitablement avec des hommes. Les lesbiennes sont plus conscientes des privilèges hétérosexuels, plus susceptibles de les rejeter et d’en subir les conséquences et donc de percevoir la bisexualité comme une forme de trahison. </w:t>
      </w:r>
      <w:r>
        <w:rPr>
          <w:color w:val="FF0000"/>
        </w:rPr>
        <w:t xml:space="preserve"> </w:t>
      </w:r>
    </w:p>
    <w:p w14:paraId="62108FB3" w14:textId="77777777" w:rsidR="00E2476B" w:rsidRDefault="00E2476B" w:rsidP="00E2476B">
      <w:pPr>
        <w:pStyle w:val="Textbody"/>
        <w:rPr>
          <w:color w:val="000000"/>
        </w:rPr>
      </w:pPr>
      <w:r>
        <w:rPr>
          <w:color w:val="000000"/>
        </w:rPr>
        <w:lastRenderedPageBreak/>
        <w:t>Chez les hommes, ceux qui font l’expérience de la bi-négativité déclarent une satisfaction relationnelle plus faible que ceux qui n’en font pas l’expérience (McCormack 2023). Les bis en couple avec des femmes rapportent plus souvent des agressions de la part de leur partenaire que ceux en couple avec des hommes. Enfin les bisexuels les plus jeunes font mois d’expériences négatives dans les relations que les bisexuels plus âgés. Cet éclairage de la littérature nous permet d’expliquer une partie des résultats de la régression. Ainsi, ce n’est pas le fait d’être en couple avec un homme qui est lié à une moindre satisfaction conjugale mais bien le fait d’être en couple de sexe différent, comme pour les femmes.</w:t>
      </w:r>
    </w:p>
    <w:p w14:paraId="3065A45D" w14:textId="77777777" w:rsidR="00E2476B" w:rsidRDefault="00E2476B" w:rsidP="00E2476B">
      <w:pPr>
        <w:pStyle w:val="Textbody"/>
      </w:pPr>
      <w:r>
        <w:t>On voit globalement une prévalence d'évaluation conjugale négative chez les personnes bisexuelles. Les déclarations de dépression / anxiété sont particulièrement hautes, elles ne sont pas nécessairement directement liées au couple mais disent quelque chose du vécu spécifique des personnes bisexuelles.</w:t>
      </w:r>
    </w:p>
    <w:p w14:paraId="465F5190" w14:textId="77777777" w:rsidR="00E2476B" w:rsidRDefault="00E2476B" w:rsidP="00E2476B">
      <w:pPr>
        <w:pStyle w:val="Titre3"/>
      </w:pPr>
      <w:bookmarkStart w:id="74" w:name="__RefHeading___Toc52656_3216639541"/>
      <w:r>
        <w:t>L’ignorance de la bisexualité dans le couple</w:t>
      </w:r>
      <w:bookmarkEnd w:id="74"/>
    </w:p>
    <w:p w14:paraId="51C8C99E" w14:textId="77777777" w:rsidR="00E2476B" w:rsidRDefault="00E2476B" w:rsidP="00E2476B">
      <w:pPr>
        <w:pStyle w:val="Textbody"/>
      </w:pPr>
      <w:r>
        <w:t xml:space="preserve">Cette question de la connaissance de la bisexualité chez </w:t>
      </w:r>
      <w:proofErr w:type="spellStart"/>
      <w:r>
        <w:t>le∙a</w:t>
      </w:r>
      <w:proofErr w:type="spellEnd"/>
      <w:r>
        <w:t xml:space="preserve"> </w:t>
      </w:r>
      <w:proofErr w:type="spellStart"/>
      <w:r>
        <w:t>conjoint∙e</w:t>
      </w:r>
      <w:proofErr w:type="spellEnd"/>
      <w:r>
        <w:t xml:space="preserve"> est particulièrement intéressante car elle met en avant une expérience spécifiquement bisexuelle : le fait de pouvoir cacher ou révéler son identité sexuelle au sein même de son couple. La décision de faire ou non son </w:t>
      </w:r>
      <w:r>
        <w:rPr>
          <w:i/>
          <w:iCs/>
        </w:rPr>
        <w:t>coming-out</w:t>
      </w:r>
      <w:r>
        <w:t xml:space="preserve"> est une expérience commune et renouvelée des minorités sexuelles (</w:t>
      </w:r>
      <w:proofErr w:type="spellStart"/>
      <w:r>
        <w:t>Sedgwick</w:t>
      </w:r>
      <w:proofErr w:type="spellEnd"/>
      <w:r>
        <w:t xml:space="preserve"> 1990). La mise en couple accélère le </w:t>
      </w:r>
      <w:r>
        <w:rPr>
          <w:i/>
          <w:iCs/>
        </w:rPr>
        <w:t>coming-out</w:t>
      </w:r>
      <w:r>
        <w:t xml:space="preserve"> est </w:t>
      </w:r>
      <w:proofErr w:type="gramStart"/>
      <w:r>
        <w:t>peut être</w:t>
      </w:r>
      <w:proofErr w:type="gramEnd"/>
      <w:r>
        <w:t xml:space="preserve"> source de conflit entre partenaires (Chauvin et Lerch 2013). Si les personnes homosexuelles sont d’office </w:t>
      </w:r>
      <w:r>
        <w:rPr>
          <w:i/>
          <w:iCs/>
        </w:rPr>
        <w:t>out</w:t>
      </w:r>
      <w:r>
        <w:t xml:space="preserve"> auprès de leur partenaire, les </w:t>
      </w:r>
      <w:proofErr w:type="spellStart"/>
      <w:r>
        <w:t>bisexuel∙les</w:t>
      </w:r>
      <w:proofErr w:type="spellEnd"/>
      <w:r>
        <w:t xml:space="preserve"> peuvent rester dans le placard même dans le couple.</w:t>
      </w:r>
    </w:p>
    <w:p w14:paraId="1EEB971B" w14:textId="77777777" w:rsidR="00E2476B" w:rsidRDefault="00E2476B" w:rsidP="00E2476B">
      <w:r>
        <w:t>Table 11 : Connaissance de la bisexualité par le/la partenaire.</w:t>
      </w:r>
    </w:p>
    <w:tbl>
      <w:tblPr>
        <w:tblW w:w="5000" w:type="pct"/>
        <w:jc w:val="center"/>
        <w:tblLayout w:type="fixed"/>
        <w:tblCellMar>
          <w:left w:w="10" w:type="dxa"/>
          <w:right w:w="10" w:type="dxa"/>
        </w:tblCellMar>
        <w:tblLook w:val="0000" w:firstRow="0" w:lastRow="0" w:firstColumn="0" w:lastColumn="0" w:noHBand="0" w:noVBand="0"/>
      </w:tblPr>
      <w:tblGrid>
        <w:gridCol w:w="1125"/>
        <w:gridCol w:w="2065"/>
        <w:gridCol w:w="2064"/>
        <w:gridCol w:w="2061"/>
        <w:gridCol w:w="2059"/>
      </w:tblGrid>
      <w:tr w:rsidR="00E2476B" w14:paraId="34AB20BF" w14:textId="77777777" w:rsidTr="0018419C">
        <w:trPr>
          <w:tblHeader/>
          <w:jc w:val="center"/>
        </w:trPr>
        <w:tc>
          <w:tcPr>
            <w:tcW w:w="1128"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4F109F14"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207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BB3ABEA"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Femmes</w:t>
            </w:r>
          </w:p>
          <w:p w14:paraId="46D70E31" w14:textId="77777777" w:rsidR="00E2476B" w:rsidRDefault="00E2476B" w:rsidP="0018419C">
            <w:pPr>
              <w:pStyle w:val="Standard"/>
              <w:spacing w:before="40" w:after="40"/>
              <w:ind w:left="100" w:right="100"/>
              <w:jc w:val="center"/>
            </w:pPr>
            <w:r>
              <w:rPr>
                <w:rFonts w:ascii="Times New Roman" w:eastAsia="Arial" w:hAnsi="Times New Roman" w:cs="Times New Roman"/>
                <w:color w:val="000000"/>
                <w:sz w:val="14"/>
                <w:szCs w:val="14"/>
              </w:rPr>
              <w:t>(70)</w:t>
            </w:r>
            <w:r>
              <w:rPr>
                <w:rFonts w:ascii="Times New Roman" w:eastAsia="Arial" w:hAnsi="Times New Roman" w:cs="Times New Roman"/>
                <w:color w:val="000000"/>
                <w:sz w:val="14"/>
                <w:szCs w:val="14"/>
                <w:vertAlign w:val="superscript"/>
              </w:rPr>
              <w:t>1</w:t>
            </w:r>
          </w:p>
        </w:tc>
        <w:tc>
          <w:tcPr>
            <w:tcW w:w="207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3485401"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PG — Hommes</w:t>
            </w:r>
          </w:p>
          <w:p w14:paraId="48CB7AE9" w14:textId="77777777" w:rsidR="00E2476B" w:rsidRDefault="00E2476B" w:rsidP="0018419C">
            <w:pPr>
              <w:pStyle w:val="Standard"/>
              <w:spacing w:before="40" w:after="40"/>
              <w:ind w:left="100" w:right="100"/>
              <w:jc w:val="center"/>
            </w:pPr>
            <w:r>
              <w:rPr>
                <w:rFonts w:ascii="Times New Roman" w:eastAsia="Arial" w:hAnsi="Times New Roman" w:cs="Times New Roman"/>
                <w:color w:val="000000"/>
                <w:sz w:val="14"/>
                <w:szCs w:val="14"/>
              </w:rPr>
              <w:t>(30)</w:t>
            </w:r>
            <w:r>
              <w:rPr>
                <w:rFonts w:ascii="Times New Roman" w:eastAsia="Arial" w:hAnsi="Times New Roman" w:cs="Times New Roman"/>
                <w:color w:val="000000"/>
                <w:sz w:val="14"/>
                <w:szCs w:val="14"/>
                <w:vertAlign w:val="superscript"/>
              </w:rPr>
              <w:t>1</w:t>
            </w:r>
          </w:p>
        </w:tc>
        <w:tc>
          <w:tcPr>
            <w:tcW w:w="2068"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1372099"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LGBT — Femmes</w:t>
            </w:r>
          </w:p>
          <w:p w14:paraId="7AEA7342" w14:textId="77777777" w:rsidR="00E2476B" w:rsidRDefault="00E2476B" w:rsidP="0018419C">
            <w:pPr>
              <w:pStyle w:val="Standard"/>
              <w:spacing w:before="40" w:after="40"/>
              <w:ind w:left="100" w:right="100"/>
              <w:jc w:val="center"/>
            </w:pPr>
            <w:r>
              <w:rPr>
                <w:rFonts w:ascii="Times New Roman" w:eastAsia="Arial" w:hAnsi="Times New Roman" w:cs="Times New Roman"/>
                <w:color w:val="000000"/>
                <w:sz w:val="14"/>
                <w:szCs w:val="14"/>
              </w:rPr>
              <w:t>(380)</w:t>
            </w:r>
            <w:r>
              <w:rPr>
                <w:rFonts w:ascii="Times New Roman" w:eastAsia="Arial" w:hAnsi="Times New Roman" w:cs="Times New Roman"/>
                <w:color w:val="000000"/>
                <w:sz w:val="14"/>
                <w:szCs w:val="14"/>
                <w:vertAlign w:val="superscript"/>
              </w:rPr>
              <w:t>1</w:t>
            </w:r>
          </w:p>
        </w:tc>
        <w:tc>
          <w:tcPr>
            <w:tcW w:w="2066"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0F54977A" w14:textId="77777777" w:rsidR="00E2476B" w:rsidRDefault="00E2476B" w:rsidP="0018419C">
            <w:pPr>
              <w:pStyle w:val="Standard"/>
              <w:spacing w:before="40" w:after="40"/>
              <w:ind w:left="100" w:right="100"/>
              <w:jc w:val="center"/>
            </w:pPr>
            <w:r>
              <w:rPr>
                <w:rFonts w:ascii="Times New Roman" w:eastAsia="Arial" w:hAnsi="Times New Roman" w:cs="Times New Roman"/>
                <w:b/>
                <w:color w:val="000000"/>
                <w:sz w:val="14"/>
                <w:szCs w:val="14"/>
              </w:rPr>
              <w:t>Virage LGBT — Hommes</w:t>
            </w:r>
          </w:p>
          <w:p w14:paraId="3B43D765" w14:textId="77777777" w:rsidR="00E2476B" w:rsidRDefault="00E2476B" w:rsidP="0018419C">
            <w:pPr>
              <w:pStyle w:val="Standard"/>
              <w:spacing w:before="40" w:after="40"/>
              <w:ind w:left="100" w:right="100"/>
              <w:jc w:val="center"/>
            </w:pPr>
            <w:r>
              <w:rPr>
                <w:rFonts w:ascii="Times New Roman" w:eastAsia="Arial" w:hAnsi="Times New Roman" w:cs="Times New Roman"/>
                <w:color w:val="000000"/>
                <w:sz w:val="14"/>
                <w:szCs w:val="14"/>
              </w:rPr>
              <w:t>(143)</w:t>
            </w:r>
            <w:r>
              <w:rPr>
                <w:rFonts w:ascii="Times New Roman" w:eastAsia="Arial" w:hAnsi="Times New Roman" w:cs="Times New Roman"/>
                <w:color w:val="000000"/>
                <w:sz w:val="14"/>
                <w:szCs w:val="14"/>
                <w:vertAlign w:val="superscript"/>
              </w:rPr>
              <w:t>1</w:t>
            </w:r>
          </w:p>
        </w:tc>
      </w:tr>
      <w:tr w:rsidR="00E2476B" w14:paraId="32D64F35" w14:textId="77777777" w:rsidTr="0018419C">
        <w:trPr>
          <w:jc w:val="center"/>
        </w:trPr>
        <w:tc>
          <w:tcPr>
            <w:tcW w:w="9404" w:type="dxa"/>
            <w:gridSpan w:val="5"/>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24141E2C" w14:textId="77777777" w:rsidR="00E2476B" w:rsidRDefault="00E2476B" w:rsidP="0018419C">
            <w:pPr>
              <w:pStyle w:val="Standard"/>
              <w:spacing w:before="80" w:after="80"/>
              <w:ind w:left="100" w:right="100"/>
            </w:pPr>
            <w:r>
              <w:rPr>
                <w:rFonts w:ascii="Times New Roman" w:eastAsia="Arial" w:hAnsi="Times New Roman" w:cs="Times New Roman"/>
                <w:bCs/>
                <w:i/>
                <w:iCs/>
                <w:color w:val="000000"/>
                <w:sz w:val="14"/>
                <w:szCs w:val="14"/>
              </w:rPr>
              <w:t xml:space="preserve">Votre </w:t>
            </w:r>
            <w:proofErr w:type="spellStart"/>
            <w:r>
              <w:rPr>
                <w:rFonts w:ascii="Times New Roman" w:eastAsia="Arial" w:hAnsi="Times New Roman" w:cs="Times New Roman"/>
                <w:bCs/>
                <w:i/>
                <w:iCs/>
                <w:color w:val="000000"/>
                <w:sz w:val="14"/>
                <w:szCs w:val="14"/>
              </w:rPr>
              <w:t>conjoint∙e</w:t>
            </w:r>
            <w:proofErr w:type="spellEnd"/>
            <w:r>
              <w:rPr>
                <w:rFonts w:ascii="Times New Roman" w:eastAsia="Arial" w:hAnsi="Times New Roman" w:cs="Times New Roman"/>
                <w:bCs/>
                <w:i/>
                <w:iCs/>
                <w:color w:val="000000"/>
                <w:sz w:val="14"/>
                <w:szCs w:val="14"/>
              </w:rPr>
              <w:t xml:space="preserve"> connaît-il/elle votre bisexualité ?</w:t>
            </w:r>
          </w:p>
        </w:tc>
      </w:tr>
      <w:tr w:rsidR="00E2476B" w14:paraId="0A219DAD" w14:textId="77777777" w:rsidTr="0018419C">
        <w:trPr>
          <w:jc w:val="center"/>
        </w:trPr>
        <w:tc>
          <w:tcPr>
            <w:tcW w:w="1128" w:type="dxa"/>
            <w:tcBorders>
              <w:left w:val="single" w:sz="12" w:space="0" w:color="000000"/>
              <w:right w:val="single" w:sz="8" w:space="0" w:color="000000"/>
            </w:tcBorders>
            <w:shd w:val="clear" w:color="auto" w:fill="FFFFFF"/>
            <w:tcMar>
              <w:top w:w="0" w:type="dxa"/>
              <w:left w:w="0" w:type="dxa"/>
              <w:bottom w:w="0" w:type="dxa"/>
              <w:right w:w="0" w:type="dxa"/>
            </w:tcMar>
          </w:tcPr>
          <w:p w14:paraId="62A97A32"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Non</w:t>
            </w:r>
          </w:p>
        </w:tc>
        <w:tc>
          <w:tcPr>
            <w:tcW w:w="2071" w:type="dxa"/>
            <w:tcBorders>
              <w:left w:val="single" w:sz="8" w:space="0" w:color="000000"/>
              <w:right w:val="single" w:sz="8" w:space="0" w:color="000000"/>
            </w:tcBorders>
            <w:shd w:val="clear" w:color="auto" w:fill="FFFFFF"/>
            <w:tcMar>
              <w:top w:w="0" w:type="dxa"/>
              <w:left w:w="0" w:type="dxa"/>
              <w:bottom w:w="0" w:type="dxa"/>
              <w:right w:w="0" w:type="dxa"/>
            </w:tcMar>
          </w:tcPr>
          <w:p w14:paraId="1AC1B71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11,8%</w:t>
            </w:r>
          </w:p>
          <w:p w14:paraId="149AC36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(5)</w:t>
            </w:r>
            <w:r>
              <w:rPr>
                <w:rFonts w:ascii="Times New Roman" w:eastAsia="Arial" w:hAnsi="Times New Roman" w:cs="Times New Roman"/>
                <w:color w:val="000000"/>
                <w:sz w:val="14"/>
                <w:szCs w:val="14"/>
                <w:vertAlign w:val="superscript"/>
              </w:rPr>
              <w:t>2</w:t>
            </w:r>
          </w:p>
        </w:tc>
        <w:tc>
          <w:tcPr>
            <w:tcW w:w="2071" w:type="dxa"/>
            <w:tcBorders>
              <w:left w:val="single" w:sz="8" w:space="0" w:color="000000"/>
              <w:right w:val="single" w:sz="8" w:space="0" w:color="000000"/>
            </w:tcBorders>
            <w:shd w:val="clear" w:color="auto" w:fill="FFFFFF"/>
            <w:tcMar>
              <w:top w:w="0" w:type="dxa"/>
              <w:left w:w="0" w:type="dxa"/>
              <w:bottom w:w="0" w:type="dxa"/>
              <w:right w:w="0" w:type="dxa"/>
            </w:tcMar>
          </w:tcPr>
          <w:p w14:paraId="1047278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21,1%</w:t>
            </w:r>
          </w:p>
          <w:p w14:paraId="14C4291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(10)</w:t>
            </w:r>
            <w:r>
              <w:rPr>
                <w:rFonts w:ascii="Times New Roman" w:eastAsia="Arial" w:hAnsi="Times New Roman" w:cs="Times New Roman"/>
                <w:color w:val="000000"/>
                <w:sz w:val="14"/>
                <w:szCs w:val="14"/>
              </w:rPr>
              <w:br/>
            </w:r>
          </w:p>
        </w:tc>
        <w:tc>
          <w:tcPr>
            <w:tcW w:w="2068" w:type="dxa"/>
            <w:tcBorders>
              <w:left w:val="single" w:sz="8" w:space="0" w:color="000000"/>
              <w:right w:val="single" w:sz="8" w:space="0" w:color="000000"/>
            </w:tcBorders>
            <w:shd w:val="clear" w:color="auto" w:fill="FFFFFF"/>
            <w:tcMar>
              <w:top w:w="0" w:type="dxa"/>
              <w:left w:w="0" w:type="dxa"/>
              <w:bottom w:w="0" w:type="dxa"/>
              <w:right w:w="0" w:type="dxa"/>
            </w:tcMar>
          </w:tcPr>
          <w:p w14:paraId="4469BA1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1,8%</w:t>
            </w:r>
          </w:p>
          <w:p w14:paraId="2714D08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(7)</w:t>
            </w:r>
          </w:p>
        </w:tc>
        <w:tc>
          <w:tcPr>
            <w:tcW w:w="2066" w:type="dxa"/>
            <w:tcBorders>
              <w:left w:val="single" w:sz="8" w:space="0" w:color="000000"/>
              <w:right w:val="single" w:sz="12" w:space="0" w:color="000000"/>
            </w:tcBorders>
            <w:shd w:val="clear" w:color="auto" w:fill="FFFFFF"/>
            <w:tcMar>
              <w:top w:w="0" w:type="dxa"/>
              <w:left w:w="0" w:type="dxa"/>
              <w:bottom w:w="0" w:type="dxa"/>
              <w:right w:w="0" w:type="dxa"/>
            </w:tcMar>
          </w:tcPr>
          <w:p w14:paraId="6491CD5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18,2%</w:t>
            </w:r>
          </w:p>
          <w:p w14:paraId="4880A40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(26)</w:t>
            </w:r>
          </w:p>
        </w:tc>
      </w:tr>
      <w:tr w:rsidR="00E2476B" w14:paraId="1178BD34" w14:textId="77777777" w:rsidTr="0018419C">
        <w:trPr>
          <w:jc w:val="center"/>
        </w:trPr>
        <w:tc>
          <w:tcPr>
            <w:tcW w:w="1128" w:type="dxa"/>
            <w:tcBorders>
              <w:left w:val="single" w:sz="12" w:space="0" w:color="000000"/>
              <w:right w:val="single" w:sz="8" w:space="0" w:color="000000"/>
            </w:tcBorders>
            <w:shd w:val="clear" w:color="auto" w:fill="FFFFFF"/>
            <w:tcMar>
              <w:top w:w="0" w:type="dxa"/>
              <w:left w:w="0" w:type="dxa"/>
              <w:bottom w:w="0" w:type="dxa"/>
              <w:right w:w="0" w:type="dxa"/>
            </w:tcMar>
          </w:tcPr>
          <w:p w14:paraId="46AAB65C"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Oui</w:t>
            </w:r>
          </w:p>
        </w:tc>
        <w:tc>
          <w:tcPr>
            <w:tcW w:w="2071" w:type="dxa"/>
            <w:tcBorders>
              <w:left w:val="single" w:sz="8" w:space="0" w:color="000000"/>
              <w:right w:val="single" w:sz="8" w:space="0" w:color="000000"/>
            </w:tcBorders>
            <w:shd w:val="clear" w:color="auto" w:fill="FFFFFF"/>
            <w:tcMar>
              <w:top w:w="0" w:type="dxa"/>
              <w:left w:w="0" w:type="dxa"/>
              <w:bottom w:w="0" w:type="dxa"/>
              <w:right w:w="0" w:type="dxa"/>
            </w:tcMar>
          </w:tcPr>
          <w:p w14:paraId="1E22D05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88,2%</w:t>
            </w:r>
          </w:p>
          <w:p w14:paraId="389EBF0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(65)</w:t>
            </w:r>
            <w:r>
              <w:rPr>
                <w:rFonts w:ascii="Times New Roman" w:eastAsia="Arial" w:hAnsi="Times New Roman" w:cs="Times New Roman"/>
                <w:color w:val="000000"/>
                <w:sz w:val="14"/>
                <w:szCs w:val="14"/>
              </w:rPr>
              <w:br/>
            </w:r>
          </w:p>
        </w:tc>
        <w:tc>
          <w:tcPr>
            <w:tcW w:w="2071" w:type="dxa"/>
            <w:tcBorders>
              <w:left w:val="single" w:sz="8" w:space="0" w:color="000000"/>
              <w:right w:val="single" w:sz="8" w:space="0" w:color="000000"/>
            </w:tcBorders>
            <w:shd w:val="clear" w:color="auto" w:fill="FFFFFF"/>
            <w:tcMar>
              <w:top w:w="0" w:type="dxa"/>
              <w:left w:w="0" w:type="dxa"/>
              <w:bottom w:w="0" w:type="dxa"/>
              <w:right w:w="0" w:type="dxa"/>
            </w:tcMar>
          </w:tcPr>
          <w:p w14:paraId="3D12E58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76,2%</w:t>
            </w:r>
          </w:p>
          <w:p w14:paraId="18FB52A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(18)</w:t>
            </w:r>
            <w:r>
              <w:rPr>
                <w:rFonts w:ascii="Times New Roman" w:eastAsia="Arial" w:hAnsi="Times New Roman" w:cs="Times New Roman"/>
                <w:color w:val="000000"/>
                <w:sz w:val="14"/>
                <w:szCs w:val="14"/>
              </w:rPr>
              <w:br/>
            </w:r>
          </w:p>
        </w:tc>
        <w:tc>
          <w:tcPr>
            <w:tcW w:w="2068" w:type="dxa"/>
            <w:tcBorders>
              <w:left w:val="single" w:sz="8" w:space="0" w:color="000000"/>
              <w:right w:val="single" w:sz="8" w:space="0" w:color="000000"/>
            </w:tcBorders>
            <w:shd w:val="clear" w:color="auto" w:fill="FFFFFF"/>
            <w:tcMar>
              <w:top w:w="0" w:type="dxa"/>
              <w:left w:w="0" w:type="dxa"/>
              <w:bottom w:w="0" w:type="dxa"/>
              <w:right w:w="0" w:type="dxa"/>
            </w:tcMar>
          </w:tcPr>
          <w:p w14:paraId="7C9F249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96,3%</w:t>
            </w:r>
          </w:p>
          <w:p w14:paraId="004A9C3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(366)</w:t>
            </w:r>
          </w:p>
        </w:tc>
        <w:tc>
          <w:tcPr>
            <w:tcW w:w="2066" w:type="dxa"/>
            <w:tcBorders>
              <w:left w:val="single" w:sz="8" w:space="0" w:color="000000"/>
              <w:right w:val="single" w:sz="12" w:space="0" w:color="000000"/>
            </w:tcBorders>
            <w:shd w:val="clear" w:color="auto" w:fill="FFFFFF"/>
            <w:tcMar>
              <w:top w:w="0" w:type="dxa"/>
              <w:left w:w="0" w:type="dxa"/>
              <w:bottom w:w="0" w:type="dxa"/>
              <w:right w:w="0" w:type="dxa"/>
            </w:tcMar>
          </w:tcPr>
          <w:p w14:paraId="495836E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79,0%</w:t>
            </w:r>
          </w:p>
          <w:p w14:paraId="583F5A5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(113)</w:t>
            </w:r>
          </w:p>
        </w:tc>
      </w:tr>
      <w:tr w:rsidR="00E2476B" w14:paraId="44FCF06E" w14:textId="77777777" w:rsidTr="0018419C">
        <w:trPr>
          <w:jc w:val="center"/>
        </w:trPr>
        <w:tc>
          <w:tcPr>
            <w:tcW w:w="1128" w:type="dxa"/>
            <w:tcBorders>
              <w:left w:val="single" w:sz="12" w:space="0" w:color="000000"/>
              <w:bottom w:val="single" w:sz="8" w:space="0" w:color="000000"/>
              <w:right w:val="single" w:sz="8" w:space="0" w:color="000000"/>
            </w:tcBorders>
            <w:shd w:val="clear" w:color="auto" w:fill="FFFFFF"/>
            <w:tcMar>
              <w:top w:w="0" w:type="dxa"/>
              <w:left w:w="0" w:type="dxa"/>
              <w:bottom w:w="0" w:type="dxa"/>
              <w:right w:w="0" w:type="dxa"/>
            </w:tcMar>
          </w:tcPr>
          <w:p w14:paraId="5FFF3D52"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NVPD/NSP</w:t>
            </w:r>
          </w:p>
        </w:tc>
        <w:tc>
          <w:tcPr>
            <w:tcW w:w="2071" w:type="dxa"/>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5DE04CE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w:t>
            </w:r>
          </w:p>
        </w:tc>
        <w:tc>
          <w:tcPr>
            <w:tcW w:w="2071" w:type="dxa"/>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00F40DA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2,7%</w:t>
            </w:r>
          </w:p>
          <w:p w14:paraId="2DBC3BD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w:t>
            </w:r>
            <w:r>
              <w:rPr>
                <w:rFonts w:ascii="Times New Roman" w:eastAsia="Arial" w:hAnsi="Times New Roman" w:cs="Times New Roman"/>
                <w:color w:val="000000"/>
                <w:sz w:val="14"/>
                <w:szCs w:val="14"/>
              </w:rPr>
              <w:br/>
            </w:r>
          </w:p>
        </w:tc>
        <w:tc>
          <w:tcPr>
            <w:tcW w:w="2068" w:type="dxa"/>
            <w:tcBorders>
              <w:left w:val="single" w:sz="8" w:space="0" w:color="000000"/>
              <w:bottom w:val="single" w:sz="8" w:space="0" w:color="000000"/>
              <w:right w:val="single" w:sz="8" w:space="0" w:color="000000"/>
            </w:tcBorders>
            <w:shd w:val="clear" w:color="auto" w:fill="FFFFFF"/>
            <w:tcMar>
              <w:top w:w="0" w:type="dxa"/>
              <w:left w:w="0" w:type="dxa"/>
              <w:bottom w:w="0" w:type="dxa"/>
              <w:right w:w="0" w:type="dxa"/>
            </w:tcMar>
          </w:tcPr>
          <w:p w14:paraId="2950C38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1,8%</w:t>
            </w:r>
          </w:p>
          <w:p w14:paraId="1A6B0E1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(7)</w:t>
            </w:r>
          </w:p>
        </w:tc>
        <w:tc>
          <w:tcPr>
            <w:tcW w:w="2066" w:type="dxa"/>
            <w:tcBorders>
              <w:left w:val="single" w:sz="8" w:space="0" w:color="000000"/>
              <w:bottom w:val="single" w:sz="8" w:space="0" w:color="000000"/>
              <w:right w:val="single" w:sz="12" w:space="0" w:color="000000"/>
            </w:tcBorders>
            <w:shd w:val="clear" w:color="auto" w:fill="FFFFFF"/>
            <w:tcMar>
              <w:top w:w="0" w:type="dxa"/>
              <w:left w:w="0" w:type="dxa"/>
              <w:bottom w:w="0" w:type="dxa"/>
              <w:right w:w="0" w:type="dxa"/>
            </w:tcMar>
          </w:tcPr>
          <w:p w14:paraId="180969D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2,8%</w:t>
            </w:r>
          </w:p>
          <w:p w14:paraId="3C2DD2C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(4)</w:t>
            </w:r>
          </w:p>
        </w:tc>
      </w:tr>
      <w:tr w:rsidR="00E2476B" w14:paraId="0425F415" w14:textId="77777777" w:rsidTr="0018419C">
        <w:trPr>
          <w:trHeight w:val="1134"/>
          <w:jc w:val="center"/>
        </w:trPr>
        <w:tc>
          <w:tcPr>
            <w:tcW w:w="9404" w:type="dxa"/>
            <w:gridSpan w:val="5"/>
            <w:tcBorders>
              <w:top w:val="single" w:sz="8"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36A087F9"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lastRenderedPageBreak/>
              <w:t>1</w:t>
            </w:r>
            <w:r>
              <w:rPr>
                <w:rFonts w:ascii="Times New Roman" w:eastAsia="Arial" w:hAnsi="Times New Roman" w:cs="Times New Roman"/>
                <w:color w:val="000000"/>
                <w:sz w:val="14"/>
                <w:szCs w:val="14"/>
              </w:rPr>
              <w:t>Effectifs non-pondérés entre parenthèses.</w:t>
            </w:r>
          </w:p>
          <w:p w14:paraId="478D3765"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Pourcentages pondérés (effectifs non pondérés entre parenthèses). La différence entre les effectifs / total effectif et le pourcentage effectivement affiché vient de la pondération.</w:t>
            </w:r>
          </w:p>
          <w:p w14:paraId="0F92F2AA"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Personnes </w:t>
            </w:r>
            <w:proofErr w:type="spellStart"/>
            <w:r>
              <w:rPr>
                <w:rFonts w:ascii="Times New Roman" w:eastAsia="Arial" w:hAnsi="Times New Roman" w:cs="Times New Roman"/>
                <w:color w:val="000000"/>
                <w:sz w:val="14"/>
                <w:szCs w:val="14"/>
              </w:rPr>
              <w:t>bies</w:t>
            </w:r>
            <w:proofErr w:type="spellEnd"/>
            <w:r>
              <w:rPr>
                <w:rFonts w:ascii="Times New Roman" w:eastAsia="Arial" w:hAnsi="Times New Roman" w:cs="Times New Roman"/>
                <w:color w:val="000000"/>
                <w:sz w:val="14"/>
                <w:szCs w:val="14"/>
              </w:rPr>
              <w:t xml:space="preserve"> en couple au moment de l'enquête, 20-69 ans, France métropolitaine, ménages ordinaires.</w:t>
            </w:r>
          </w:p>
          <w:p w14:paraId="1374167D"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5 femmes bisexuelles sur 70 dans l'enquête Virage en population générale sont en couple avec quelqu'un qui n'a pas connaissance de leur bisexualité.</w:t>
            </w:r>
          </w:p>
          <w:p w14:paraId="678F6BC3"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Sources</w:t>
            </w:r>
            <w:r>
              <w:rPr>
                <w:rFonts w:ascii="Times New Roman" w:eastAsia="Arial" w:hAnsi="Times New Roman" w:cs="Times New Roman"/>
                <w:color w:val="000000"/>
                <w:sz w:val="14"/>
                <w:szCs w:val="14"/>
              </w:rPr>
              <w:t> : Enquête Virage PG, Ined, 2015 ; enquête Virage LGBT, Ined, 2015-2016.</w:t>
            </w:r>
          </w:p>
        </w:tc>
      </w:tr>
    </w:tbl>
    <w:p w14:paraId="3F116DBF" w14:textId="77777777" w:rsidR="00E2476B" w:rsidRDefault="00E2476B" w:rsidP="00E2476B">
      <w:pPr>
        <w:pStyle w:val="Textbody"/>
      </w:pPr>
      <w:r>
        <w:t xml:space="preserve">Le fait de ne pas être </w:t>
      </w:r>
      <w:r>
        <w:rPr>
          <w:i/>
          <w:iCs/>
        </w:rPr>
        <w:t>out</w:t>
      </w:r>
      <w:r>
        <w:t xml:space="preserve"> auprès de son/sa partenaire concerne surtout les hommes ; environ 20% des hommes en couple dans Virage PG et LGBT. Pour les femmes cela concerne surtout les </w:t>
      </w:r>
      <w:proofErr w:type="spellStart"/>
      <w:r>
        <w:t>bies</w:t>
      </w:r>
      <w:proofErr w:type="spellEnd"/>
      <w:r>
        <w:t xml:space="preserve"> en population générale, 11,8%, majoritairement en couple avec des hommes. Cette expérience, si elle reste minoritaire, n’est pas marginale.  </w:t>
      </w:r>
    </w:p>
    <w:p w14:paraId="1AAC00FF" w14:textId="77777777" w:rsidR="00E2476B" w:rsidRDefault="00E2476B" w:rsidP="00E2476B">
      <w:pPr>
        <w:pStyle w:val="Textbody"/>
      </w:pPr>
      <w:r>
        <w:t>Ce tableau nous dessine une spécificité bisexuelle dans le couple : la possibilité de dissimuler son identification sexuelle à son/sa partenaire et la possibilité de subir des discriminations liées à son identification sexuelle au sein même du couple. Là où le couple est un lieu potentiel de refuge contre l'homophobie pour les personnes homosexuelles, même s’il les expose en même temps plus que quand ils sont célibataires.</w:t>
      </w:r>
    </w:p>
    <w:p w14:paraId="53AEEA7C" w14:textId="77777777" w:rsidR="00E2476B" w:rsidRDefault="00E2476B" w:rsidP="00E2476B">
      <w:r>
        <w:t>Figure 7 : Connaissance de la bisexualité par le/la partenaire selon le type de couple.</w:t>
      </w:r>
    </w:p>
    <w:p w14:paraId="78668B8F" w14:textId="77777777" w:rsidR="00E2476B" w:rsidRDefault="00E2476B" w:rsidP="00E2476B">
      <w:pPr>
        <w:pStyle w:val="Textbody"/>
        <w:spacing w:before="0" w:after="0"/>
      </w:pPr>
      <w:r>
        <w:rPr>
          <w:noProof/>
        </w:rPr>
        <w:lastRenderedPageBreak/>
        <w:drawing>
          <wp:inline distT="0" distB="0" distL="0" distR="0" wp14:anchorId="6E0933A3" wp14:editId="720EEA26">
            <wp:extent cx="5971679" cy="5971679"/>
            <wp:effectExtent l="19050" t="19050" r="10021" b="10021"/>
            <wp:docPr id="12" name="Imag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971679" cy="5971679"/>
                    </a:xfrm>
                    <a:prstGeom prst="rect">
                      <a:avLst/>
                    </a:prstGeom>
                    <a:noFill/>
                    <a:ln w="3302">
                      <a:solidFill>
                        <a:srgbClr val="E8E8E8"/>
                      </a:solidFill>
                      <a:prstDash val="solid"/>
                    </a:ln>
                  </pic:spPr>
                </pic:pic>
              </a:graphicData>
            </a:graphic>
          </wp:inline>
        </w:drawing>
      </w:r>
    </w:p>
    <w:p w14:paraId="1104D81A" w14:textId="77777777" w:rsidR="00E2476B" w:rsidRDefault="00E2476B" w:rsidP="00E2476B">
      <w:pPr>
        <w:pStyle w:val="Standard"/>
        <w:spacing w:after="40"/>
        <w:ind w:left="102" w:right="102"/>
      </w:pPr>
      <w:r>
        <w:rPr>
          <w:rFonts w:ascii="Times New Roman" w:eastAsia="Arial" w:hAnsi="Times New Roman" w:cs="Times New Roman"/>
          <w:color w:val="000000"/>
          <w:sz w:val="16"/>
          <w:szCs w:val="16"/>
        </w:rPr>
        <w:t>Test du Chi2, p-valeur significative (&lt; 0,001)</w:t>
      </w:r>
    </w:p>
    <w:p w14:paraId="01E30756"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Répondants se déclarant bisexuels et en couple au moment de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w:t>
      </w:r>
    </w:p>
    <w:p w14:paraId="7D9D0FF5"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Les bisexuels en couple de sexe différent déclarent plus souvent que leur partenaire n’a pas connaissance de leur bisexualité que les bisexuels en couple de même sexe.</w:t>
      </w:r>
    </w:p>
    <w:p w14:paraId="0D7A202C"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2130ED43" w14:textId="77777777" w:rsidR="00E2476B" w:rsidRDefault="00E2476B" w:rsidP="00E2476B">
      <w:pPr>
        <w:pStyle w:val="Textbody"/>
      </w:pPr>
      <w:r>
        <w:t xml:space="preserve">La Figure 7 nous montre que le fait de ne pas être </w:t>
      </w:r>
      <w:r>
        <w:rPr>
          <w:i/>
          <w:iCs/>
        </w:rPr>
        <w:t>out</w:t>
      </w:r>
      <w:r>
        <w:t xml:space="preserve"> en couple concerne surtout les bis en couple de sexe différent. La part plus élevée de femmes concernées dans PG que dans LGBT peut également être liée au fait qu'elles sont plus en couple avec des hommes.</w:t>
      </w:r>
    </w:p>
    <w:p w14:paraId="6D0ADC6F" w14:textId="77777777" w:rsidR="00E2476B" w:rsidRDefault="00E2476B" w:rsidP="00E2476B">
      <w:pPr>
        <w:pStyle w:val="Textbody"/>
      </w:pPr>
      <w:r>
        <w:lastRenderedPageBreak/>
        <w:t xml:space="preserve">Ce résultat montre que pour une partie des </w:t>
      </w:r>
      <w:proofErr w:type="spellStart"/>
      <w:r>
        <w:t>bisexuel∙les</w:t>
      </w:r>
      <w:proofErr w:type="spellEnd"/>
      <w:r>
        <w:t xml:space="preserve"> en couple de sexe différent, l’identification sexuelle n’est pas connue du partenaire. Cela contribue à expliquer l’évaluation plus négative des relations chez les personnes </w:t>
      </w:r>
      <w:proofErr w:type="spellStart"/>
      <w:r>
        <w:t>bisexuel∙les</w:t>
      </w:r>
      <w:proofErr w:type="spellEnd"/>
      <w:r>
        <w:t>.</w:t>
      </w:r>
    </w:p>
    <w:p w14:paraId="54B777E6" w14:textId="77777777" w:rsidR="00E2476B" w:rsidRDefault="00E2476B" w:rsidP="00E2476B">
      <w:pPr>
        <w:pStyle w:val="Textbody"/>
      </w:pPr>
      <w:r>
        <w:t>On se demande maintenant si cette évaluation s’accompagne de conflits spécifiques ou plus fréquemment déclarés. On l’a vu, le conflit peut coexister avec une satisfaction relativement élevée. Ici la satisfaction des personnes bisexuelles reste largement majoritaire, la grande majorité des personnes se disant satisfaites de leur relation. Elle n’est en pas moins inférieure aux autres groupes observés. Nous allons observer si ce résultat s’accompagne de conflits plus fréquents ou sur des sujets plus spécifiques.</w:t>
      </w:r>
    </w:p>
    <w:p w14:paraId="1D7F89D9" w14:textId="77777777" w:rsidR="00E2476B" w:rsidRPr="00541CE2" w:rsidRDefault="00E2476B" w:rsidP="00E2476B">
      <w:pPr>
        <w:pStyle w:val="Textbody"/>
        <w:rPr>
          <w:color w:val="FF0000"/>
        </w:rPr>
      </w:pPr>
      <w:r w:rsidRPr="00541CE2">
        <w:rPr>
          <w:color w:val="FF0000"/>
        </w:rPr>
        <w:t>Les femmes bisexuelles ont moins de chance d’être out que les lesbiennes (Parker, 2015),</w:t>
      </w:r>
    </w:p>
    <w:p w14:paraId="40D814C3" w14:textId="77777777" w:rsidR="00E2476B" w:rsidRDefault="00E2476B" w:rsidP="00E2476B">
      <w:pPr>
        <w:pStyle w:val="Titre2"/>
        <w:numPr>
          <w:ilvl w:val="0"/>
          <w:numId w:val="14"/>
        </w:numPr>
        <w:ind w:left="720" w:hanging="360"/>
      </w:pPr>
      <w:bookmarkStart w:id="75" w:name="__RefHeading___Toc52658_3216639541"/>
      <w:r>
        <w:t>Les sujets de conflits</w:t>
      </w:r>
      <w:bookmarkEnd w:id="75"/>
    </w:p>
    <w:p w14:paraId="3CA148E5" w14:textId="77777777" w:rsidR="00E2476B" w:rsidRDefault="00E2476B" w:rsidP="00E2476B">
      <w:pPr>
        <w:pStyle w:val="Textbody"/>
      </w:pPr>
      <w:r>
        <w:t>Dans cette partie nous nous plaçons dans la sous-population des personnes en couple dans les 12 derniers mois</w:t>
      </w:r>
      <w:r>
        <w:rPr>
          <w:rStyle w:val="Appelnotedebasdep"/>
        </w:rPr>
        <w:footnoteReference w:id="16"/>
      </w:r>
      <w:r>
        <w:t xml:space="preserve">. Nous proposons une illustration par graphique des sujets de conflits et du pourcentage de personnes les déclarant selon l’identification sexuelle et le genre en population générale. Un deuxième graphique se place dans l’échantillon de convenance pour observer ces mêmes déclarations selon le type de couple. Un tableau complet se trouve en annexe. Chaque question est formulée de la façon suivante dans le questionnaire : </w:t>
      </w:r>
      <w:r>
        <w:rPr>
          <w:i/>
          <w:iCs/>
        </w:rPr>
        <w:t xml:space="preserve">« Au cours des 12 derniers mois, vous êtes-vous </w:t>
      </w:r>
      <w:proofErr w:type="spellStart"/>
      <w:r>
        <w:rPr>
          <w:i/>
          <w:iCs/>
        </w:rPr>
        <w:t>disputé∙e</w:t>
      </w:r>
      <w:proofErr w:type="spellEnd"/>
      <w:r>
        <w:rPr>
          <w:i/>
          <w:iCs/>
        </w:rPr>
        <w:t xml:space="preserve"> ou avez-vous eu des conflits avec votre </w:t>
      </w:r>
      <w:proofErr w:type="spellStart"/>
      <w:r>
        <w:rPr>
          <w:i/>
          <w:iCs/>
        </w:rPr>
        <w:t>conjoint∙e</w:t>
      </w:r>
      <w:proofErr w:type="spellEnd"/>
      <w:r>
        <w:rPr>
          <w:i/>
          <w:iCs/>
        </w:rPr>
        <w:t xml:space="preserve"> au sujet de… » </w:t>
      </w:r>
      <w:r>
        <w:t>Suivent</w:t>
      </w:r>
      <w:r>
        <w:rPr>
          <w:i/>
          <w:iCs/>
        </w:rPr>
        <w:t xml:space="preserve"> </w:t>
      </w:r>
      <w:r>
        <w:t>onze items repris dans les Figures 8a et 8b ci-dessous. Nous ne commenterons que les items et les groupes pour lesquels les p-valeur sont significatives. Ici, hommes et femmes sont présentés dans un même graphique pour une meilleure lisibilité.</w:t>
      </w:r>
    </w:p>
    <w:p w14:paraId="12763AAF" w14:textId="77777777" w:rsidR="00E2476B" w:rsidRDefault="00E2476B" w:rsidP="00E2476B">
      <w:pPr>
        <w:pStyle w:val="Titre3"/>
      </w:pPr>
      <w:bookmarkStart w:id="76" w:name="__RefHeading___Toc52660_3216639541"/>
      <w:r>
        <w:t>Des relations plus conflictuelles chez les bisexuelles</w:t>
      </w:r>
      <w:bookmarkEnd w:id="76"/>
    </w:p>
    <w:p w14:paraId="5CB5F59C" w14:textId="77777777" w:rsidR="00E2476B" w:rsidRDefault="00E2476B" w:rsidP="00E2476B">
      <w:r>
        <w:t>Figure 8a : Sujets de conflits déclarés dans les douze derniers mois.</w:t>
      </w:r>
    </w:p>
    <w:p w14:paraId="4B9C37B0" w14:textId="77777777" w:rsidR="00E2476B" w:rsidRDefault="00E2476B" w:rsidP="00E2476B">
      <w:pPr>
        <w:pStyle w:val="Textbody"/>
      </w:pPr>
    </w:p>
    <w:p w14:paraId="431148DC" w14:textId="77777777" w:rsidR="00E2476B" w:rsidRDefault="00E2476B" w:rsidP="00E2476B">
      <w:pPr>
        <w:pStyle w:val="Textbody"/>
      </w:pPr>
    </w:p>
    <w:p w14:paraId="0924E54F" w14:textId="77777777" w:rsidR="00E2476B" w:rsidRDefault="00E2476B" w:rsidP="00E2476B">
      <w:pPr>
        <w:pStyle w:val="Textbody"/>
        <w:spacing w:before="0" w:after="0"/>
      </w:pPr>
      <w:r>
        <w:rPr>
          <w:noProof/>
        </w:rPr>
        <w:lastRenderedPageBreak/>
        <w:drawing>
          <wp:inline distT="0" distB="0" distL="0" distR="0" wp14:anchorId="4139B069" wp14:editId="5D3188AE">
            <wp:extent cx="6514560" cy="6514560"/>
            <wp:effectExtent l="19050" t="19050" r="19590" b="19590"/>
            <wp:docPr id="13" name="Imag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6514560" cy="6514560"/>
                    </a:xfrm>
                    <a:prstGeom prst="rect">
                      <a:avLst/>
                    </a:prstGeom>
                    <a:noFill/>
                    <a:ln w="3302">
                      <a:solidFill>
                        <a:srgbClr val="E8E8E8"/>
                      </a:solidFill>
                      <a:prstDash val="solid"/>
                    </a:ln>
                  </pic:spPr>
                </pic:pic>
              </a:graphicData>
            </a:graphic>
          </wp:inline>
        </w:drawing>
      </w:r>
    </w:p>
    <w:p w14:paraId="677DC2D1" w14:textId="77777777" w:rsidR="00E2476B" w:rsidRDefault="00E2476B" w:rsidP="00E2476B">
      <w:pPr>
        <w:pStyle w:val="Standard"/>
        <w:spacing w:after="40"/>
        <w:ind w:left="102" w:right="102"/>
        <w:rPr>
          <w:rFonts w:ascii="Times New Roman" w:eastAsia="Arial" w:hAnsi="Times New Roman" w:cs="Times New Roman"/>
          <w:color w:val="000000"/>
          <w:sz w:val="16"/>
          <w:szCs w:val="16"/>
        </w:rPr>
      </w:pPr>
      <w:r>
        <w:rPr>
          <w:rFonts w:ascii="Times New Roman" w:eastAsia="Arial" w:hAnsi="Times New Roman" w:cs="Times New Roman"/>
          <w:color w:val="000000"/>
          <w:sz w:val="16"/>
          <w:szCs w:val="16"/>
        </w:rPr>
        <w:t xml:space="preserve">Test du Chi2, p-valeur significatives (&lt; 0,05) pour les catégories commentées en lecture. </w:t>
      </w:r>
    </w:p>
    <w:p w14:paraId="5EA7B1D4"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Répondant∙es en couple dans les douze mois précédent l’enquête Virage. Données pondérées.</w:t>
      </w:r>
    </w:p>
    <w:p w14:paraId="625DED0D"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Les bisexuelles déclarent plus souvent que les hétérosexuelles avoir eu un conflit dans l’année avec leur </w:t>
      </w:r>
      <w:proofErr w:type="spellStart"/>
      <w:r>
        <w:rPr>
          <w:rFonts w:ascii="Times New Roman" w:eastAsia="Arial" w:hAnsi="Times New Roman" w:cs="Times New Roman"/>
          <w:color w:val="000000"/>
          <w:sz w:val="16"/>
          <w:szCs w:val="16"/>
        </w:rPr>
        <w:t>conjoint∙e</w:t>
      </w:r>
      <w:proofErr w:type="spellEnd"/>
      <w:r>
        <w:rPr>
          <w:rFonts w:ascii="Times New Roman" w:eastAsia="Arial" w:hAnsi="Times New Roman" w:cs="Times New Roman"/>
          <w:color w:val="000000"/>
          <w:sz w:val="16"/>
          <w:szCs w:val="16"/>
        </w:rPr>
        <w:t xml:space="preserve"> au sujet de la répartition des tâches quotidiennes.  </w:t>
      </w:r>
    </w:p>
    <w:p w14:paraId="485C0029"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PG, Ined, 2015.</w:t>
      </w:r>
    </w:p>
    <w:p w14:paraId="0C7F0914" w14:textId="77777777" w:rsidR="00E2476B" w:rsidRDefault="00E2476B" w:rsidP="00E2476B">
      <w:pPr>
        <w:pStyle w:val="Textbody"/>
      </w:pPr>
      <w:r>
        <w:t xml:space="preserve">Quatre thématiques de conflits ne sont significatives ni pour les hommes, ni pour les femmes. Il s’agit des conflits au sujet des enfants, de l’argent et des relations avec la famille (du partenaire ou du répondant). Les résultats concernant la répartition des tâches quotidiennes, les conflits sur les </w:t>
      </w:r>
      <w:r>
        <w:lastRenderedPageBreak/>
        <w:t xml:space="preserve">relations avec </w:t>
      </w:r>
      <w:proofErr w:type="gramStart"/>
      <w:r>
        <w:t xml:space="preserve">les </w:t>
      </w:r>
      <w:proofErr w:type="spellStart"/>
      <w:r>
        <w:t>ami</w:t>
      </w:r>
      <w:proofErr w:type="gramEnd"/>
      <w:r>
        <w:t>∙es</w:t>
      </w:r>
      <w:proofErr w:type="spellEnd"/>
      <w:r>
        <w:t xml:space="preserve">, le travail (du partenaire ou du répondant) et la sexualité sont significatifs chez les femmes. Ils montrent une claire surreprésentation des conflits au sujet des tâches quotidiennes, des amis et de la sexualité chez les femmes bisexuelles. La comparaison avec les lesbiennes n’est pas significative mais plusieurs comparaisons sont possibles avec les hétérosexuelles. Les femmes </w:t>
      </w:r>
      <w:proofErr w:type="spellStart"/>
      <w:r>
        <w:t>bies</w:t>
      </w:r>
      <w:proofErr w:type="spellEnd"/>
      <w:r>
        <w:t xml:space="preserve"> sont 37% à déclarer avoir eu un conflit au sujet de la sexualité contre 10,4% des hétérosexuelles. Même schéma concernant les relations amicales, elles ont été un sujet de conflit pour 34,7% des bisexuelles contre 10,6% des hétérosexuelles. Enfin les bisexuelles déclarent deux fois plus souvent que les hétérosexuelles un conflit dans l’année au sujet de la répartition des tâches de la vie quotidienne et du travail du partenaire.</w:t>
      </w:r>
    </w:p>
    <w:p w14:paraId="008BF220" w14:textId="77777777" w:rsidR="00E2476B" w:rsidRDefault="00E2476B" w:rsidP="00E2476B">
      <w:pPr>
        <w:pStyle w:val="Textbody"/>
      </w:pPr>
      <w:r>
        <w:t>Chez les hommes, deux items sont significatifs : les conflits au sujet de la politique, la religion, les opinions et au sujet des sorties, loisirs et vacances. Toutefois, les écarts entre groupes ne sont pas significatifs, excepté dans le cas des gays qui déclarent plus de conflit au sujet des sorties, loisirs ou vacances que les hétérosexuels (28% contre 17,2%, intervalles se touchent).</w:t>
      </w:r>
    </w:p>
    <w:p w14:paraId="13D46F66" w14:textId="77777777" w:rsidR="00E2476B" w:rsidRDefault="00E2476B" w:rsidP="00E2476B">
      <w:pPr>
        <w:pStyle w:val="Titre3"/>
      </w:pPr>
      <w:bookmarkStart w:id="77" w:name="__RefHeading___Toc52662_3216639541"/>
      <w:r>
        <w:t>La confrontation entre un idéal égalitaire et la persistance d’inégalités de genre</w:t>
      </w:r>
      <w:bookmarkEnd w:id="77"/>
    </w:p>
    <w:p w14:paraId="57C25141" w14:textId="77777777" w:rsidR="00E2476B" w:rsidRDefault="00E2476B" w:rsidP="00E2476B">
      <w:pPr>
        <w:pStyle w:val="Textbody"/>
      </w:pPr>
      <w:r>
        <w:t>D’après Widmer et Kellerhals, « le conflit conjugal est particulièrement fort dans les styles d’interactions </w:t>
      </w:r>
      <w:r>
        <w:rPr>
          <w:i/>
          <w:iCs/>
        </w:rPr>
        <w:t>Parallèle</w:t>
      </w:r>
      <w:r>
        <w:t> et </w:t>
      </w:r>
      <w:r>
        <w:rPr>
          <w:i/>
          <w:iCs/>
        </w:rPr>
        <w:t>Association</w:t>
      </w:r>
      <w:r>
        <w:t xml:space="preserve">, alors que l’évaluation de la qualité des relations conjugales y est plus médiocre, et les symptômes de dépression plus nombreux » (Widmer, Kellerhals et Lévy 2004). Ce constat colle à nos observations à propos des femmes bisexuelles. On a fait l’hypothèse plus haut qu’elles appartiennent en partie à ces styles d’interactions en raison de leur attachement plus fort à l’autonomie. Les auteurs y voient l’effet de « l’individualisme conjugal », qui pose l’épanouissement des individus comme la finalité essentielle du couple. Si les conflits, plus présents chez ces couples, peuvent refléter une communication plus large, ils s’accompagnent également d’une satisfaction relationnelle plus faible. L’écart entre l’idéal d’égalité, de communication, d’autonomie et l’expérience conjugale quotidienne engendre des formes relationnelles dégradées. D’après les auteurs, les modes de résolution de ces styles d’interactions conjugales passent par l’évitement, voire l’agression, produisant une insatisfaction chronique. Notre troisième chapitre portera sur les violences dans le couple et poursuivra cette réflexion.  </w:t>
      </w:r>
    </w:p>
    <w:p w14:paraId="54B40E9B" w14:textId="77777777" w:rsidR="00E2476B" w:rsidRDefault="00E2476B" w:rsidP="00E2476B">
      <w:pPr>
        <w:pStyle w:val="Textbody"/>
      </w:pPr>
      <w:r>
        <w:t>Si cette analyse de l’individualisme conjugal comme source de problème chez les couples aux styles conjugaux autonomes est intéressante, elle n’est pas entièrement convaincante dans le cas des bisexuelles.</w:t>
      </w:r>
    </w:p>
    <w:p w14:paraId="1AA12654" w14:textId="77777777" w:rsidR="00E2476B" w:rsidRDefault="00E2476B" w:rsidP="00E2476B">
      <w:pPr>
        <w:pStyle w:val="Titre3"/>
      </w:pPr>
      <w:bookmarkStart w:id="78" w:name="__RefHeading___Toc52664_3216639541"/>
      <w:r>
        <w:lastRenderedPageBreak/>
        <w:t>Des opportunités et menaces spécifiques dans la conjugalité bisexuelle</w:t>
      </w:r>
      <w:bookmarkEnd w:id="78"/>
    </w:p>
    <w:p w14:paraId="33482C13" w14:textId="77777777" w:rsidR="00E2476B" w:rsidRDefault="00E2476B" w:rsidP="00E2476B">
      <w:pPr>
        <w:pStyle w:val="Textbody"/>
      </w:pPr>
      <w:r>
        <w:t>Le fait que les sujets de conflits chez les bisexuelles soient variés et non redondants entre eux confirme des relations plus conflictuelles que les hétérosexuelles. Nous y voyons un rapport effectivement plus autonome au couple mais aussi plus critique et désenchanté, particulièrement quand il s’agit d’un couple avec un homme. Le fait d’avoir connu des relations de même sexe ou au moins d’y être ouverte, laisse entrevoir la possibilité d’une conjugalité à distance des rapports de genre hétéronormés. Ce vécu spécifique aux bisexuelles explique en partie un rapport plus critique et réflexif à la conjugalité. On a vu en Chapitre I que les hommes bisexuels peuvent vivre leur célibat comme une mise à distance du couple ou comme la conséquence d’une biphobie spécifique à leur égard. Chez les femmes, l’identification bisexuelle n’entraîne pas de difficultés supplémentaires dans l’accès au couple, toutefois elle en crée à l’intérieur de celui-ci. Comme pour les bisexuels on peut poser différentes hypothèses interprétatives, pas forcément contradictoires : la bisexualité féminine et les opportunités et discriminations spécifiques qu’elle engendre, produit un rapport plus distant et critique vis-à-vis du couple, expliquant des conflits plus fréquents.  Les rapports de genre ne sont pas anodins dans les styles conjugaux des bisexuelles. On peut faire l’hypothèse que celles en couple de sexe différent, comme pour l’évaluation de la qualité des relations, vivent une conjugalité plus conflictuelle.</w:t>
      </w:r>
    </w:p>
    <w:p w14:paraId="72CF9A48" w14:textId="77777777" w:rsidR="00E2476B" w:rsidRDefault="00E2476B" w:rsidP="00E2476B">
      <w:pPr>
        <w:pStyle w:val="Textbody"/>
      </w:pPr>
      <w:r>
        <w:t>L’observation des sujets de conflit dans l’échantillon de convenance poursuit le constat d’une conjugalité bisexuelle plus conflictuelle, avec trois résultats où elles déclarent plus avoir eu un conflit que les lesbiennes : les tâches quotidiennes, l’item politique, religion, opinion et la sexualité. L’écart y est toutefois beaucoup plus faible qu’entre bisexuelles et hétérosexuelles en population générale. Cet écart est-il l’effet résiduel des bisexuelles en couple avec des hommes dans Virage LGBT ou un écart s’exprime-t-il aussi entre bisexuelles en couple de même sexe et lesbiennes ?</w:t>
      </w:r>
    </w:p>
    <w:p w14:paraId="215EC401" w14:textId="77777777" w:rsidR="00E2476B" w:rsidRDefault="00E2476B" w:rsidP="00E2476B">
      <w:r>
        <w:t>Figure 8b : Sujets de conflits déclarés dans les douze derniers mois selon le type de couple.</w:t>
      </w:r>
    </w:p>
    <w:p w14:paraId="4B9219FA" w14:textId="77777777" w:rsidR="00E2476B" w:rsidRDefault="00E2476B" w:rsidP="00E2476B">
      <w:pPr>
        <w:pStyle w:val="Textbody"/>
      </w:pPr>
    </w:p>
    <w:p w14:paraId="3EFB6DD4" w14:textId="77777777" w:rsidR="00E2476B" w:rsidRDefault="00E2476B" w:rsidP="00E2476B">
      <w:pPr>
        <w:pStyle w:val="Textbody"/>
        <w:spacing w:before="0" w:after="0"/>
      </w:pPr>
      <w:r>
        <w:rPr>
          <w:noProof/>
        </w:rPr>
        <w:lastRenderedPageBreak/>
        <w:drawing>
          <wp:inline distT="0" distB="0" distL="0" distR="0" wp14:anchorId="50556190" wp14:editId="768CAFCB">
            <wp:extent cx="6523200" cy="6523200"/>
            <wp:effectExtent l="19050" t="19050" r="10950" b="10950"/>
            <wp:docPr id="9" name="Imag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6523200" cy="6523200"/>
                    </a:xfrm>
                    <a:prstGeom prst="rect">
                      <a:avLst/>
                    </a:prstGeom>
                    <a:noFill/>
                    <a:ln w="3302">
                      <a:solidFill>
                        <a:srgbClr val="E8E8E8"/>
                      </a:solidFill>
                      <a:prstDash val="solid"/>
                    </a:ln>
                  </pic:spPr>
                </pic:pic>
              </a:graphicData>
            </a:graphic>
          </wp:inline>
        </w:drawing>
      </w:r>
    </w:p>
    <w:p w14:paraId="4EB127F8" w14:textId="77777777" w:rsidR="00E2476B" w:rsidRDefault="00E2476B" w:rsidP="00E2476B">
      <w:pPr>
        <w:pStyle w:val="Standard"/>
        <w:spacing w:after="40"/>
        <w:ind w:left="102" w:right="102"/>
      </w:pPr>
      <w:r>
        <w:rPr>
          <w:rFonts w:ascii="Times New Roman" w:eastAsia="Arial" w:hAnsi="Times New Roman" w:cs="Times New Roman"/>
          <w:color w:val="000000"/>
          <w:sz w:val="16"/>
          <w:szCs w:val="16"/>
        </w:rPr>
        <w:t xml:space="preserve">Test du Chi2, p-valeur significatives (&lt; 0,05) pour les catégories commentées en lecture. </w:t>
      </w:r>
    </w:p>
    <w:p w14:paraId="7D5739A5"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xml:space="preserve">: Répondant∙es en couple dans les douze mois précédent l’enquête Virage LGBT, </w:t>
      </w:r>
      <w:proofErr w:type="spellStart"/>
      <w:r>
        <w:rPr>
          <w:rFonts w:ascii="Times New Roman" w:eastAsia="Arial" w:hAnsi="Times New Roman" w:cs="Times New Roman"/>
          <w:color w:val="000000"/>
          <w:sz w:val="16"/>
          <w:szCs w:val="16"/>
        </w:rPr>
        <w:t>âgé∙es</w:t>
      </w:r>
      <w:proofErr w:type="spellEnd"/>
      <w:r>
        <w:rPr>
          <w:rFonts w:ascii="Times New Roman" w:eastAsia="Arial" w:hAnsi="Times New Roman" w:cs="Times New Roman"/>
          <w:color w:val="000000"/>
          <w:sz w:val="16"/>
          <w:szCs w:val="16"/>
        </w:rPr>
        <w:t xml:space="preserve"> de 20 à 69 ans.</w:t>
      </w:r>
    </w:p>
    <w:p w14:paraId="164B6601"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Les bisexuelles en couple de sexe différent déclarent plus souvent que les bisexuelles en couple de même sexe et que les lesbiennes avoir eu un conflit dans l’année avec leur </w:t>
      </w:r>
      <w:proofErr w:type="spellStart"/>
      <w:r>
        <w:rPr>
          <w:rFonts w:ascii="Times New Roman" w:eastAsia="Arial" w:hAnsi="Times New Roman" w:cs="Times New Roman"/>
          <w:color w:val="000000"/>
          <w:sz w:val="16"/>
          <w:szCs w:val="16"/>
        </w:rPr>
        <w:t>conjoint∙e</w:t>
      </w:r>
      <w:proofErr w:type="spellEnd"/>
      <w:r>
        <w:rPr>
          <w:rFonts w:ascii="Times New Roman" w:eastAsia="Arial" w:hAnsi="Times New Roman" w:cs="Times New Roman"/>
          <w:color w:val="000000"/>
          <w:sz w:val="16"/>
          <w:szCs w:val="16"/>
        </w:rPr>
        <w:t xml:space="preserve"> au sujet de la répartition des tâches quotidiennes.  </w:t>
      </w:r>
    </w:p>
    <w:p w14:paraId="6594FFF7"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202C8B23" w14:textId="77777777" w:rsidR="00E2476B" w:rsidRDefault="00E2476B" w:rsidP="00E2476B">
      <w:pPr>
        <w:pStyle w:val="Textbody"/>
      </w:pPr>
      <w:r>
        <w:t xml:space="preserve">Ce deuxième graphique approfondit nos premières observations. Les conflits au sujet de la répartition des tâches quotidiennes concernent bel et bien les bisexuelles en couple avec un homme. Une fois cette distinction faite, l’écart entre bisexuelles en couple de même sexe et lesbienne est </w:t>
      </w:r>
      <w:r>
        <w:lastRenderedPageBreak/>
        <w:t xml:space="preserve">très faible (quatre points de pourcentage). La sexualité, qui était un autre sujet de conflit plus souvent déclaré par les bisexuelles par rapport aux hétérosexuelles est ici encore une fois plus le fait des bisexuelles en couple avec un homme. Ces résultats sont cohérents avec l’inégale répartition des tâches domestiques observées dans les couples hétérosexuels ainsi qu’avec le rapport moins fusionnel et plus critique au couple observé tout au long de ce chapitre chez les bisexuelles. Il a une explication très concrète dans une répartition effectivement différenciée et une explication plus subjective dans le ressenti qu’ont les femmes bisexuelles vis-à-vis de cette inégalité, probablement perçue comme un empiétement sur leur autonomie. Widmer et Kellerhals soulignent que l’écart entre l’idéal d’égalité et de négociation du couple contemporain combiné à la persistance d’inégalités entre hommes et femmes et termes de travail domestique et professionnel est associé au conflit conjugal. Cet écart est particulièrement fort dans le style </w:t>
      </w:r>
      <w:r>
        <w:rPr>
          <w:i/>
          <w:iCs/>
        </w:rPr>
        <w:t>Parallèle</w:t>
      </w:r>
      <w:r>
        <w:t xml:space="preserve"> fondé sur l’autonomie individuelle en même temps que structuré par de fortes inégalités de genre. La fusion conjugale contrebalance la sexuation des rôles et des pouvoirs dans d’autres styles d’interactions conjugales. En revanche, ceux où les aspirations égalitaires se confrontent à une réalité quotidienne décevante paient le prix du mal-être psychologiques chez les femmes et par conséquent l’insatisfaction des deux partenaires. Ainsi, une partie de l’insatisfaction déclarée chez les hommes bisexuels peut aussi s’expliquer par cet écart quand ils sont en couple avec des femmes bisexuelles ou hétérosexuelles avec des aspirations conjugales égalitaires.  </w:t>
      </w:r>
    </w:p>
    <w:p w14:paraId="67E28079" w14:textId="77777777" w:rsidR="00E2476B" w:rsidRDefault="00E2476B" w:rsidP="00E2476B">
      <w:pPr>
        <w:pStyle w:val="Textbody"/>
      </w:pPr>
      <w:r>
        <w:t xml:space="preserve">La prévalence des conflits à ce sujet en population générale (Figure 8a) peut être mise en regard du fait que pour 10% de bisexuelles en couple, le conjoint ne connait pas leur identification sexuelle. Les tentatives de discussion à ce sujet peuvent engendrer des situations conflictuelles. On peut aussi interpréter ce résultat comme une critique plus forte de la sexualité hétérosexuelle par les femmes </w:t>
      </w:r>
      <w:proofErr w:type="spellStart"/>
      <w:r>
        <w:t>bies</w:t>
      </w:r>
      <w:proofErr w:type="spellEnd"/>
      <w:r>
        <w:t xml:space="preserve">. Effectivement, dans la Figure 8b, ce sont les </w:t>
      </w:r>
      <w:proofErr w:type="spellStart"/>
      <w:r>
        <w:t>bies</w:t>
      </w:r>
      <w:proofErr w:type="spellEnd"/>
      <w:r>
        <w:t xml:space="preserve"> en couple de sexe différent qui déclarent le plus de conflit à ce sujet. On peut émettre une hypothèse complémentaire liée à la spécificité de l’échantillon LGBT. Le fait d’être en couple avec un homme pour les femmes bisexuelles plus proches des milieux communautaires et militants peut être l’objet de plus de rejet, et donc d’un rapport complexe à la sexualité conjugale.   </w:t>
      </w:r>
    </w:p>
    <w:p w14:paraId="77679C16" w14:textId="77777777" w:rsidR="00E2476B" w:rsidRDefault="00E2476B" w:rsidP="00E2476B">
      <w:pPr>
        <w:pStyle w:val="Textbody"/>
      </w:pPr>
      <w:r>
        <w:t xml:space="preserve">Le sujet de la politique, la religion et les opinions suscite plus de conflit chez les </w:t>
      </w:r>
      <w:proofErr w:type="spellStart"/>
      <w:r>
        <w:t>bies</w:t>
      </w:r>
      <w:proofErr w:type="spellEnd"/>
      <w:r>
        <w:t xml:space="preserve"> en couple avec un homme. Elles ont des idéaux plus compatibles avec ceux de leur conjointe quand elles sont en couple avec des femmes, et déclarent des conflits dans des proportions similaires aux lesbiennes.</w:t>
      </w:r>
    </w:p>
    <w:p w14:paraId="5CDBFB0A" w14:textId="77777777" w:rsidR="00E2476B" w:rsidRDefault="00E2476B" w:rsidP="00E2476B">
      <w:pPr>
        <w:pStyle w:val="Textbody"/>
      </w:pPr>
      <w:r>
        <w:lastRenderedPageBreak/>
        <w:t xml:space="preserve">La dynamique entre </w:t>
      </w:r>
      <w:proofErr w:type="spellStart"/>
      <w:r>
        <w:t>bies</w:t>
      </w:r>
      <w:proofErr w:type="spellEnd"/>
      <w:r>
        <w:t xml:space="preserve"> en couple de même sexe et de sexe différent s’inverse au sujet des conflits sur les enfants et la famille du/de la </w:t>
      </w:r>
      <w:proofErr w:type="spellStart"/>
      <w:r>
        <w:t>conjoint∙e</w:t>
      </w:r>
      <w:proofErr w:type="spellEnd"/>
      <w:r>
        <w:t>. Les premières déclarent plus souvent des conflits à ces sujets que les lesbiennes en couple et plus souvent encore que les bisexuelles en couple avec un homme. Ils peuvent s’expliquer par la lesbophobie dont elles sont l’objet, particulièrement quand elles sont en couple avec des femmes et qu’elles ont des enfants. Il est intéressant de constater que cela peut susciter plus de conflits qu’entre les couples de femmes de personnes se déclarant homosexuelles.</w:t>
      </w:r>
    </w:p>
    <w:p w14:paraId="7E3AA2FE" w14:textId="77777777" w:rsidR="00E2476B" w:rsidRDefault="00E2476B" w:rsidP="00E2476B">
      <w:pPr>
        <w:pStyle w:val="Textbody"/>
      </w:pPr>
      <w:r>
        <w:t>Chez les hommes, les conflits au sujet des enfants sont plus fréquemment déclarés par les bisexuels en couple avec une femme que par les gays. Les bisexuels en couple de même sexe ne sont que neuf à avoir des enfants dans l’échantillon et ne déclarent pas de conflit à ce sujet. Enfin, les sorties, loisirs et vacances sont un sujet plus conflictuel chez les bis en couple de même sexe.</w:t>
      </w:r>
    </w:p>
    <w:p w14:paraId="2A8BEDD9" w14:textId="77777777" w:rsidR="00E2476B" w:rsidRDefault="00E2476B" w:rsidP="00E2476B">
      <w:pPr>
        <w:pStyle w:val="Textbody"/>
      </w:pPr>
      <w:r>
        <w:rPr>
          <w:noProof/>
        </w:rPr>
        <mc:AlternateContent>
          <mc:Choice Requires="wps">
            <w:drawing>
              <wp:anchor distT="0" distB="0" distL="114300" distR="114300" simplePos="0" relativeHeight="251663360" behindDoc="0" locked="0" layoutInCell="1" allowOverlap="1" wp14:anchorId="0E4100D3" wp14:editId="6EC95EB7">
                <wp:simplePos x="0" y="0"/>
                <wp:positionH relativeFrom="column">
                  <wp:posOffset>1751039</wp:posOffset>
                </wp:positionH>
                <wp:positionV relativeFrom="paragraph">
                  <wp:posOffset>90720</wp:posOffset>
                </wp:positionV>
                <wp:extent cx="2338921" cy="0"/>
                <wp:effectExtent l="0" t="0" r="0" b="0"/>
                <wp:wrapNone/>
                <wp:docPr id="10" name="Ligne 1"/>
                <wp:cNvGraphicFramePr/>
                <a:graphic xmlns:a="http://schemas.openxmlformats.org/drawingml/2006/main">
                  <a:graphicData uri="http://schemas.microsoft.com/office/word/2010/wordprocessingShape">
                    <wps:wsp>
                      <wps:cNvCnPr/>
                      <wps:spPr>
                        <a:xfrm>
                          <a:off x="0" y="0"/>
                          <a:ext cx="2338921" cy="0"/>
                        </a:xfrm>
                        <a:prstGeom prst="line">
                          <a:avLst/>
                        </a:prstGeom>
                        <a:noFill/>
                        <a:ln w="12700">
                          <a:solidFill>
                            <a:srgbClr val="3465A4"/>
                          </a:solidFill>
                          <a:prstDash val="solid"/>
                        </a:ln>
                      </wps:spPr>
                      <wps:bodyPr/>
                    </wps:wsp>
                  </a:graphicData>
                </a:graphic>
              </wp:anchor>
            </w:drawing>
          </mc:Choice>
          <mc:Fallback>
            <w:pict>
              <v:line w14:anchorId="613F5F00" id="Ligne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7.9pt,7.15pt" to="322.0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" strokecolor="#3465a4" strokeweight="1pt"/>
            </w:pict>
          </mc:Fallback>
        </mc:AlternateContent>
      </w:r>
    </w:p>
    <w:p w14:paraId="5530762C" w14:textId="77777777" w:rsidR="00E2476B" w:rsidRDefault="00E2476B" w:rsidP="00E2476B">
      <w:pPr>
        <w:pStyle w:val="Textbody"/>
      </w:pPr>
      <w:r>
        <w:t xml:space="preserve">Il est erroné de chercher à caractériser les bisexualités par une seule forme de style conjugal. Les relations conjugales contemporaines sont toujours façonnées par l’impact des structures sociales et présentent une diversité de modèles. Ce chapitre a mis en lumière l’importance des rapports de genre et parfois de sexualité dans les styles conjugaux bisexuels. Le seul usage de dimensions binaires, comme l’autonomie ou la fusion, pour comprendre le rapport au couple est limité. En effet l’adhésion au principe d’autonomie est compatible avec une recherche de fusion dans le couple </w:t>
      </w:r>
      <w:bookmarkStart w:id="79" w:name="ZOTERO_ITEM_CSL_CITATION_{&quot;citationID&quot;:&quot;"/>
      <w:r>
        <w:t>(Singly 2003)</w:t>
      </w:r>
      <w:bookmarkEnd w:id="79"/>
      <w:r>
        <w:t>.</w:t>
      </w:r>
    </w:p>
    <w:p w14:paraId="3F3255BE" w14:textId="77777777" w:rsidR="00E2476B" w:rsidRDefault="00E2476B" w:rsidP="00E2476B">
      <w:pPr>
        <w:pStyle w:val="Textbody"/>
      </w:pPr>
      <w:r>
        <w:t>Le troisième chapitre s’intéressera aux violences conjugales déclarées par les personnes bisexuelles dans l’enquête.</w:t>
      </w:r>
    </w:p>
    <w:p w14:paraId="78E6D4E0" w14:textId="77777777" w:rsidR="00E2476B" w:rsidRPr="00824B13" w:rsidRDefault="00E2476B" w:rsidP="00E2476B">
      <w:pPr>
        <w:pStyle w:val="Titre1"/>
      </w:pPr>
      <w:r>
        <w:t>Chapitre III : Violences conjugales</w:t>
      </w:r>
    </w:p>
    <w:p w14:paraId="4A819115" w14:textId="77777777" w:rsidR="00E2476B" w:rsidRDefault="00E2476B" w:rsidP="00E2476B">
      <w:pPr>
        <w:pStyle w:val="Titre2"/>
        <w:numPr>
          <w:ilvl w:val="0"/>
          <w:numId w:val="30"/>
        </w:numPr>
        <w:tabs>
          <w:tab w:val="num" w:pos="360"/>
        </w:tabs>
        <w:ind w:left="0" w:firstLine="0"/>
      </w:pPr>
      <w:bookmarkStart w:id="80" w:name="_Toc238741944"/>
      <w:r>
        <w:t>La place de la bisexualité dans les recherches sur les violences conjugales</w:t>
      </w:r>
      <w:bookmarkEnd w:id="80"/>
      <w:r>
        <w:t xml:space="preserve"> </w:t>
      </w:r>
    </w:p>
    <w:p w14:paraId="67A7A845" w14:textId="77777777" w:rsidR="00E2476B" w:rsidRDefault="00E2476B" w:rsidP="00E2476B">
      <w:pPr>
        <w:pStyle w:val="Titre3"/>
      </w:pPr>
      <w:bookmarkStart w:id="81" w:name="_Toc238741945"/>
      <w:r>
        <w:t>L’asymétrie des violences conjugales</w:t>
      </w:r>
      <w:bookmarkEnd w:id="81"/>
      <w:r>
        <w:t xml:space="preserve"> </w:t>
      </w:r>
    </w:p>
    <w:p w14:paraId="25EF5082" w14:textId="77777777" w:rsidR="00E2476B" w:rsidRDefault="00E2476B" w:rsidP="00E2476B">
      <w:pPr>
        <w:pStyle w:val="Textbody"/>
        <w:rPr>
          <w:color w:val="000000"/>
          <w:lang w:eastAsia="fr-FR"/>
        </w:rPr>
      </w:pPr>
      <w:r>
        <w:t xml:space="preserve">Les recherches quantitatives sur les violences conjugales ont débuté dès la fin des années 1960 aux Etats-Unis et sont apparues au début des années 2000 en France. Les violences conjugales sont </w:t>
      </w:r>
      <w:r w:rsidRPr="00425D6D">
        <w:rPr>
          <w:color w:val="000000"/>
          <w:lang w:eastAsia="fr-FR"/>
        </w:rPr>
        <w:t xml:space="preserve">aujourd'hui </w:t>
      </w:r>
      <w:r>
        <w:rPr>
          <w:color w:val="000000"/>
          <w:lang w:eastAsia="fr-FR"/>
        </w:rPr>
        <w:t>communément admises comme étant</w:t>
      </w:r>
      <w:r w:rsidRPr="00425D6D">
        <w:rPr>
          <w:color w:val="000000"/>
          <w:lang w:eastAsia="fr-FR"/>
        </w:rPr>
        <w:t xml:space="preserve"> exercées en majorité par des hommes sur des </w:t>
      </w:r>
      <w:r w:rsidRPr="00425D6D">
        <w:rPr>
          <w:color w:val="000000"/>
          <w:lang w:eastAsia="fr-FR"/>
        </w:rPr>
        <w:lastRenderedPageBreak/>
        <w:t>femmes, concern</w:t>
      </w:r>
      <w:r>
        <w:rPr>
          <w:color w:val="000000"/>
          <w:lang w:eastAsia="fr-FR"/>
        </w:rPr>
        <w:t>a</w:t>
      </w:r>
      <w:r w:rsidRPr="00425D6D">
        <w:rPr>
          <w:color w:val="000000"/>
          <w:lang w:eastAsia="fr-FR"/>
        </w:rPr>
        <w:t>nt tous les milieux sociaux et revêt</w:t>
      </w:r>
      <w:r>
        <w:rPr>
          <w:color w:val="000000"/>
          <w:lang w:eastAsia="fr-FR"/>
        </w:rPr>
        <w:t>a</w:t>
      </w:r>
      <w:r w:rsidRPr="00425D6D">
        <w:rPr>
          <w:color w:val="000000"/>
          <w:lang w:eastAsia="fr-FR"/>
        </w:rPr>
        <w:t>nt des formes variées : physiques, psychologiques, sexuelles. Ces constats s'inscrivent dans une longue histoire de luttes pour la reconnaissance des violences faites aux femmes comme problème public</w:t>
      </w:r>
      <w:r>
        <w:rPr>
          <w:color w:val="000000"/>
          <w:lang w:eastAsia="fr-FR"/>
        </w:rPr>
        <w:t xml:space="preserve"> et de mesure du phénomène</w:t>
      </w:r>
      <w:r w:rsidRPr="00425D6D">
        <w:rPr>
          <w:color w:val="000000"/>
          <w:lang w:eastAsia="fr-FR"/>
        </w:rPr>
        <w:t xml:space="preserve">. </w:t>
      </w:r>
      <w:r>
        <w:rPr>
          <w:color w:val="000000"/>
          <w:lang w:eastAsia="fr-FR"/>
        </w:rPr>
        <w:t>Les dix dernières années les travaux se sont inscrits dans le cadre plus général des violences de genre qui rendent compte de l’organisation des rapports de domination des hommes sur les femmes (</w:t>
      </w:r>
      <w:proofErr w:type="spellStart"/>
      <w:r>
        <w:rPr>
          <w:color w:val="000000"/>
          <w:lang w:eastAsia="fr-FR"/>
        </w:rPr>
        <w:t>Cavalin</w:t>
      </w:r>
      <w:proofErr w:type="spellEnd"/>
      <w:r>
        <w:rPr>
          <w:color w:val="000000"/>
          <w:lang w:eastAsia="fr-FR"/>
        </w:rPr>
        <w:t xml:space="preserve"> 2013 ; Brown et al 2020). </w:t>
      </w:r>
    </w:p>
    <w:p w14:paraId="68F06537" w14:textId="77777777" w:rsidR="00E2476B" w:rsidRDefault="00E2476B" w:rsidP="00E2476B">
      <w:pPr>
        <w:pStyle w:val="Textbody"/>
        <w:rPr>
          <w:color w:val="000000"/>
          <w:lang w:eastAsia="fr-FR"/>
        </w:rPr>
      </w:pPr>
      <w:r w:rsidRPr="00321002">
        <w:rPr>
          <w:color w:val="000000"/>
          <w:lang w:eastAsia="fr-FR"/>
        </w:rPr>
        <w:t xml:space="preserve">Cette reconnaissance est passée, entre autres, par la mesure du phénomène. Les États-Unis ont été pionniers dans ces opérations de quantification, d'abord intégrées au champ de la violence familiale. Les National Family Violence </w:t>
      </w:r>
      <w:proofErr w:type="spellStart"/>
      <w:r w:rsidRPr="00321002">
        <w:rPr>
          <w:color w:val="000000"/>
          <w:lang w:eastAsia="fr-FR"/>
        </w:rPr>
        <w:t>Surveys</w:t>
      </w:r>
      <w:proofErr w:type="spellEnd"/>
      <w:r w:rsidRPr="00321002">
        <w:rPr>
          <w:color w:val="000000"/>
          <w:lang w:eastAsia="fr-FR"/>
        </w:rPr>
        <w:t xml:space="preserve"> (NFVS) menés dès la fin des années 1960 par Murray </w:t>
      </w:r>
      <w:proofErr w:type="spellStart"/>
      <w:r w:rsidRPr="00321002">
        <w:rPr>
          <w:color w:val="000000"/>
          <w:lang w:eastAsia="fr-FR"/>
        </w:rPr>
        <w:t>Straus</w:t>
      </w:r>
      <w:proofErr w:type="spellEnd"/>
      <w:r w:rsidRPr="00321002">
        <w:rPr>
          <w:color w:val="000000"/>
          <w:lang w:eastAsia="fr-FR"/>
        </w:rPr>
        <w:t xml:space="preserve"> et Richard </w:t>
      </w:r>
      <w:proofErr w:type="spellStart"/>
      <w:r w:rsidRPr="00321002">
        <w:rPr>
          <w:color w:val="000000"/>
          <w:lang w:eastAsia="fr-FR"/>
        </w:rPr>
        <w:t>Gelles</w:t>
      </w:r>
      <w:proofErr w:type="spellEnd"/>
      <w:r w:rsidRPr="00321002">
        <w:rPr>
          <w:color w:val="000000"/>
          <w:lang w:eastAsia="fr-FR"/>
        </w:rPr>
        <w:t xml:space="preserve"> ouvrent la voie à la mesure des violences entre </w:t>
      </w:r>
      <w:proofErr w:type="spellStart"/>
      <w:r w:rsidRPr="00321002">
        <w:rPr>
          <w:color w:val="000000"/>
          <w:lang w:eastAsia="fr-FR"/>
        </w:rPr>
        <w:t>conjoint·es</w:t>
      </w:r>
      <w:proofErr w:type="spellEnd"/>
      <w:r w:rsidRPr="00321002">
        <w:rPr>
          <w:color w:val="000000"/>
          <w:lang w:eastAsia="fr-FR"/>
        </w:rPr>
        <w:t xml:space="preserve">. Les résultats de ces enquêtes nationales divisent : concluant à une symétrie de genre dans la violence au sein du couple, ils vont à l'encontre des observations des </w:t>
      </w:r>
      <w:proofErr w:type="spellStart"/>
      <w:r w:rsidRPr="00321002">
        <w:rPr>
          <w:color w:val="000000"/>
          <w:lang w:eastAsia="fr-FR"/>
        </w:rPr>
        <w:t>travailleur·ses</w:t>
      </w:r>
      <w:proofErr w:type="spellEnd"/>
      <w:r w:rsidRPr="00321002">
        <w:rPr>
          <w:color w:val="000000"/>
          <w:lang w:eastAsia="fr-FR"/>
        </w:rPr>
        <w:t xml:space="preserve"> de terrain et des enquêtes qualitatives auprès des structures d'accueil. C'est le début d'un débat opposant approches familiales et approches féministes des violences</w:t>
      </w:r>
      <w:r>
        <w:rPr>
          <w:color w:val="000000"/>
          <w:lang w:eastAsia="fr-FR"/>
        </w:rPr>
        <w:t xml:space="preserve">. </w:t>
      </w:r>
      <w:r w:rsidRPr="00321002">
        <w:rPr>
          <w:color w:val="000000"/>
          <w:lang w:eastAsia="fr-FR"/>
        </w:rPr>
        <w:t xml:space="preserve"> </w:t>
      </w:r>
    </w:p>
    <w:p w14:paraId="6967CE96" w14:textId="77777777" w:rsidR="00E2476B" w:rsidRDefault="00E2476B" w:rsidP="00E2476B">
      <w:pPr>
        <w:pStyle w:val="Textbody"/>
        <w:rPr>
          <w:color w:val="000000"/>
          <w:lang w:eastAsia="fr-FR"/>
        </w:rPr>
      </w:pPr>
      <w:r w:rsidRPr="00321002">
        <w:rPr>
          <w:color w:val="000000"/>
          <w:lang w:eastAsia="fr-FR"/>
        </w:rPr>
        <w:t xml:space="preserve">La symétrie apparente dans les études en population générale s'explique principalement par l'incapacité des outils existants à </w:t>
      </w:r>
      <w:r>
        <w:rPr>
          <w:color w:val="000000"/>
          <w:lang w:eastAsia="fr-FR"/>
        </w:rPr>
        <w:t xml:space="preserve">distinguer les violences. </w:t>
      </w:r>
      <w:r w:rsidRPr="00804135">
        <w:rPr>
          <w:color w:val="000000"/>
          <w:lang w:eastAsia="fr-FR"/>
        </w:rPr>
        <w:t xml:space="preserve">Les </w:t>
      </w:r>
      <w:proofErr w:type="spellStart"/>
      <w:r>
        <w:rPr>
          <w:i/>
          <w:iCs/>
          <w:color w:val="000000"/>
        </w:rPr>
        <w:t>Conflict</w:t>
      </w:r>
      <w:proofErr w:type="spellEnd"/>
      <w:r>
        <w:rPr>
          <w:i/>
          <w:iCs/>
          <w:color w:val="000000"/>
        </w:rPr>
        <w:t xml:space="preserve"> </w:t>
      </w:r>
      <w:proofErr w:type="spellStart"/>
      <w:r>
        <w:rPr>
          <w:i/>
          <w:iCs/>
          <w:color w:val="000000"/>
        </w:rPr>
        <w:t>Tactics</w:t>
      </w:r>
      <w:proofErr w:type="spellEnd"/>
      <w:r>
        <w:rPr>
          <w:i/>
          <w:iCs/>
          <w:color w:val="000000"/>
        </w:rPr>
        <w:t xml:space="preserve"> </w:t>
      </w:r>
      <w:proofErr w:type="spellStart"/>
      <w:r>
        <w:rPr>
          <w:i/>
          <w:iCs/>
          <w:color w:val="000000"/>
        </w:rPr>
        <w:t>Scales</w:t>
      </w:r>
      <w:proofErr w:type="spellEnd"/>
      <w:r>
        <w:rPr>
          <w:i/>
          <w:iCs/>
          <w:color w:val="000000"/>
        </w:rPr>
        <w:t xml:space="preserve"> </w:t>
      </w:r>
      <w:r w:rsidRPr="00804135">
        <w:rPr>
          <w:color w:val="000000"/>
        </w:rPr>
        <w:t>(</w:t>
      </w:r>
      <w:r w:rsidRPr="00804135">
        <w:rPr>
          <w:color w:val="000000"/>
          <w:lang w:eastAsia="fr-FR"/>
        </w:rPr>
        <w:t>CTS</w:t>
      </w:r>
      <w:r>
        <w:rPr>
          <w:color w:val="000000"/>
          <w:lang w:eastAsia="fr-FR"/>
        </w:rPr>
        <w:t>),</w:t>
      </w:r>
      <w:r w:rsidRPr="00804135">
        <w:rPr>
          <w:color w:val="000000"/>
        </w:rPr>
        <w:t xml:space="preserve"> </w:t>
      </w:r>
      <w:r>
        <w:rPr>
          <w:color w:val="000000"/>
        </w:rPr>
        <w:t xml:space="preserve">développées par </w:t>
      </w:r>
      <w:proofErr w:type="spellStart"/>
      <w:r>
        <w:rPr>
          <w:color w:val="000000"/>
        </w:rPr>
        <w:t>Straus</w:t>
      </w:r>
      <w:proofErr w:type="spellEnd"/>
      <w:r>
        <w:rPr>
          <w:color w:val="000000"/>
        </w:rPr>
        <w:t>,</w:t>
      </w:r>
      <w:r w:rsidRPr="00804135">
        <w:rPr>
          <w:color w:val="000000"/>
          <w:lang w:eastAsia="fr-FR"/>
        </w:rPr>
        <w:t xml:space="preserve"> </w:t>
      </w:r>
      <w:r>
        <w:rPr>
          <w:color w:val="000000"/>
        </w:rPr>
        <w:t xml:space="preserve">en présentant la violence comme issue d'un conflit de couple, </w:t>
      </w:r>
      <w:r w:rsidRPr="00804135">
        <w:rPr>
          <w:color w:val="000000"/>
          <w:lang w:eastAsia="fr-FR"/>
        </w:rPr>
        <w:t xml:space="preserve">produisent systématiquement des prévalences élevées d'actes violents avec une distribution proche entre hommes et femmes. </w:t>
      </w:r>
      <w:r>
        <w:rPr>
          <w:color w:val="000000"/>
        </w:rPr>
        <w:t xml:space="preserve">Ces échelles naturalisent une conception de la relation intime comme espace de conflits symétriques. </w:t>
      </w:r>
      <w:r>
        <w:rPr>
          <w:color w:val="000000"/>
          <w:lang w:eastAsia="fr-FR"/>
        </w:rPr>
        <w:t>Michael</w:t>
      </w:r>
      <w:r w:rsidRPr="00321002">
        <w:rPr>
          <w:color w:val="000000"/>
          <w:lang w:eastAsia="fr-FR"/>
        </w:rPr>
        <w:t xml:space="preserve"> Johnson </w:t>
      </w:r>
      <w:r>
        <w:rPr>
          <w:color w:val="000000"/>
          <w:lang w:eastAsia="fr-FR"/>
        </w:rPr>
        <w:t xml:space="preserve">va </w:t>
      </w:r>
      <w:r w:rsidRPr="00321002">
        <w:rPr>
          <w:color w:val="000000"/>
          <w:lang w:eastAsia="fr-FR"/>
        </w:rPr>
        <w:t>développe</w:t>
      </w:r>
      <w:r>
        <w:rPr>
          <w:color w:val="000000"/>
          <w:lang w:eastAsia="fr-FR"/>
        </w:rPr>
        <w:t>r</w:t>
      </w:r>
      <w:r w:rsidRPr="00321002">
        <w:rPr>
          <w:color w:val="000000"/>
          <w:lang w:eastAsia="fr-FR"/>
        </w:rPr>
        <w:t xml:space="preserve"> une typologie devenue centrale</w:t>
      </w:r>
      <w:r>
        <w:rPr>
          <w:color w:val="000000"/>
          <w:lang w:eastAsia="fr-FR"/>
        </w:rPr>
        <w:t xml:space="preserve"> dans l’approche féministe des violences</w:t>
      </w:r>
      <w:r w:rsidRPr="00321002">
        <w:rPr>
          <w:color w:val="000000"/>
          <w:lang w:eastAsia="fr-FR"/>
        </w:rPr>
        <w:t xml:space="preserve"> : d'un côté le « terrorisme conjugal », violence genrée exercée par des hommes sur des femmes dans une logique de contrôle et de domination, de l'autre les « violences situationnelles », commises aussi bien par des hommes que par des femmes.</w:t>
      </w:r>
      <w:r>
        <w:rPr>
          <w:color w:val="000000"/>
          <w:lang w:eastAsia="fr-FR"/>
        </w:rPr>
        <w:t xml:space="preserve"> </w:t>
      </w:r>
      <w:r>
        <w:rPr>
          <w:color w:val="000000"/>
        </w:rPr>
        <w:t xml:space="preserve">La notion de terrorisme conjugal recoupe en partie ce que </w:t>
      </w:r>
      <w:r w:rsidRPr="00804135">
        <w:t xml:space="preserve">Stark </w:t>
      </w:r>
      <w:r>
        <w:rPr>
          <w:color w:val="000000"/>
        </w:rPr>
        <w:t xml:space="preserve">appelle </w:t>
      </w:r>
      <w:r w:rsidRPr="00804135">
        <w:t>contrôle coercitif</w:t>
      </w:r>
      <w:r>
        <w:rPr>
          <w:color w:val="000000"/>
        </w:rPr>
        <w:t>. Des formes de violences qui ne reposent pas exclusivement sur la violence physique, où les stratégies masculines impliquent du contrôle, de l’isolement, de l’intimidation. C’est une conception politique des violences de genre, un ensemble d’inégalités préexistent à la mise en place du</w:t>
      </w:r>
      <w:r w:rsidRPr="00804135">
        <w:rPr>
          <w:color w:val="000000"/>
        </w:rPr>
        <w:t xml:space="preserve"> contrôle coercitif</w:t>
      </w:r>
      <w:r>
        <w:rPr>
          <w:color w:val="000000"/>
        </w:rPr>
        <w:t xml:space="preserve">. </w:t>
      </w:r>
    </w:p>
    <w:p w14:paraId="4E6D4801" w14:textId="77777777" w:rsidR="00E2476B" w:rsidRDefault="00E2476B" w:rsidP="00E2476B">
      <w:pPr>
        <w:pStyle w:val="Textbody"/>
        <w:rPr>
          <w:color w:val="000000"/>
          <w:lang w:eastAsia="fr-FR"/>
        </w:rPr>
      </w:pPr>
      <w:r w:rsidRPr="00321002">
        <w:rPr>
          <w:color w:val="000000"/>
          <w:lang w:eastAsia="fr-FR"/>
        </w:rPr>
        <w:t xml:space="preserve">A partir des données du </w:t>
      </w:r>
      <w:r w:rsidRPr="00804135">
        <w:rPr>
          <w:i/>
          <w:iCs/>
          <w:color w:val="000000"/>
        </w:rPr>
        <w:t xml:space="preserve">Crime Survey for </w:t>
      </w:r>
      <w:proofErr w:type="spellStart"/>
      <w:r w:rsidRPr="00804135">
        <w:rPr>
          <w:i/>
          <w:iCs/>
          <w:color w:val="000000"/>
        </w:rPr>
        <w:t>England</w:t>
      </w:r>
      <w:proofErr w:type="spellEnd"/>
      <w:r w:rsidRPr="00804135">
        <w:rPr>
          <w:i/>
          <w:iCs/>
          <w:color w:val="000000"/>
        </w:rPr>
        <w:t xml:space="preserve"> and Wales</w:t>
      </w:r>
      <w:r>
        <w:rPr>
          <w:color w:val="000000"/>
        </w:rPr>
        <w:t xml:space="preserve"> (</w:t>
      </w:r>
      <w:r w:rsidRPr="00321002">
        <w:rPr>
          <w:color w:val="000000"/>
          <w:lang w:eastAsia="fr-FR"/>
        </w:rPr>
        <w:t>CSEW</w:t>
      </w:r>
      <w:r>
        <w:rPr>
          <w:color w:val="000000"/>
          <w:lang w:eastAsia="fr-FR"/>
        </w:rPr>
        <w:t>)</w:t>
      </w:r>
      <w:r w:rsidRPr="00321002">
        <w:rPr>
          <w:color w:val="000000"/>
          <w:lang w:eastAsia="fr-FR"/>
        </w:rPr>
        <w:t xml:space="preserve">, Andy </w:t>
      </w:r>
      <w:proofErr w:type="spellStart"/>
      <w:r w:rsidRPr="00321002">
        <w:rPr>
          <w:color w:val="000000"/>
          <w:lang w:eastAsia="fr-FR"/>
        </w:rPr>
        <w:t>Myhill</w:t>
      </w:r>
      <w:proofErr w:type="spellEnd"/>
      <w:r w:rsidRPr="00321002">
        <w:rPr>
          <w:color w:val="000000"/>
          <w:lang w:eastAsia="fr-FR"/>
        </w:rPr>
        <w:t xml:space="preserve"> construit deux indicateurs de mesure du contrôle coercitif : le fait d'avoir été répétitivement </w:t>
      </w:r>
      <w:proofErr w:type="spellStart"/>
      <w:r w:rsidRPr="00321002">
        <w:rPr>
          <w:color w:val="000000"/>
          <w:lang w:eastAsia="fr-FR"/>
        </w:rPr>
        <w:t>dévalorisé·e</w:t>
      </w:r>
      <w:proofErr w:type="spellEnd"/>
      <w:r w:rsidRPr="00321002">
        <w:rPr>
          <w:color w:val="000000"/>
          <w:lang w:eastAsia="fr-FR"/>
        </w:rPr>
        <w:t xml:space="preserve"> et d'avoir été </w:t>
      </w:r>
      <w:proofErr w:type="spellStart"/>
      <w:r w:rsidRPr="00321002">
        <w:rPr>
          <w:color w:val="000000"/>
          <w:lang w:eastAsia="fr-FR"/>
        </w:rPr>
        <w:t>effrayé·e</w:t>
      </w:r>
      <w:proofErr w:type="spellEnd"/>
      <w:r w:rsidRPr="00321002">
        <w:rPr>
          <w:color w:val="000000"/>
          <w:lang w:eastAsia="fr-FR"/>
        </w:rPr>
        <w:t xml:space="preserve"> par des menaces. Les résultats sont sans ambiguïté : </w:t>
      </w:r>
      <w:r>
        <w:rPr>
          <w:color w:val="000000"/>
          <w:lang w:eastAsia="fr-FR"/>
        </w:rPr>
        <w:t>l</w:t>
      </w:r>
      <w:r w:rsidRPr="00321002">
        <w:rPr>
          <w:color w:val="000000"/>
          <w:lang w:eastAsia="fr-FR"/>
        </w:rPr>
        <w:t xml:space="preserve">a symétrie de genre </w:t>
      </w:r>
      <w:r w:rsidRPr="00321002">
        <w:rPr>
          <w:color w:val="000000"/>
          <w:lang w:eastAsia="fr-FR"/>
        </w:rPr>
        <w:lastRenderedPageBreak/>
        <w:t>disparaît dès lors qu'on mesure la violence comme processus d'emprise plutôt que comme un ensemble d'actes discrets (</w:t>
      </w:r>
      <w:proofErr w:type="spellStart"/>
      <w:r w:rsidRPr="00321002">
        <w:rPr>
          <w:color w:val="000000"/>
          <w:lang w:eastAsia="fr-FR"/>
        </w:rPr>
        <w:t>Myhill</w:t>
      </w:r>
      <w:proofErr w:type="spellEnd"/>
      <w:r w:rsidRPr="00321002">
        <w:rPr>
          <w:color w:val="000000"/>
          <w:lang w:eastAsia="fr-FR"/>
        </w:rPr>
        <w:t xml:space="preserve"> 2017). Le contrôle coercitif résiste à la mise en questionnaire parce qu'il est continu, diffus, et ne se réduit pas à des actes dénombrables. Atteindre le continu en additionnant des actes discrets est une impossibilité de principe.</w:t>
      </w:r>
    </w:p>
    <w:p w14:paraId="51701D56" w14:textId="77777777" w:rsidR="00E2476B" w:rsidRDefault="00E2476B" w:rsidP="00E2476B">
      <w:pPr>
        <w:pStyle w:val="Textbody"/>
        <w:rPr>
          <w:color w:val="000000"/>
          <w:lang w:eastAsia="fr-FR"/>
        </w:rPr>
      </w:pPr>
      <w:r>
        <w:rPr>
          <w:color w:val="000000"/>
          <w:lang w:eastAsia="fr-FR"/>
        </w:rPr>
        <w:t xml:space="preserve">La distinction entre violences situationnelles et contrôle coercitif / terrorisme conjugal </w:t>
      </w:r>
      <w:r w:rsidRPr="00321002">
        <w:rPr>
          <w:color w:val="000000"/>
          <w:lang w:eastAsia="fr-FR"/>
        </w:rPr>
        <w:t>est le présupposé théorique à la base des grandes enquêtes françaises dédiées aux violences, l'</w:t>
      </w:r>
      <w:proofErr w:type="spellStart"/>
      <w:r w:rsidRPr="00321002">
        <w:rPr>
          <w:color w:val="000000"/>
          <w:lang w:eastAsia="fr-FR"/>
        </w:rPr>
        <w:t>Enveff</w:t>
      </w:r>
      <w:proofErr w:type="spellEnd"/>
      <w:r w:rsidRPr="00321002">
        <w:rPr>
          <w:color w:val="000000"/>
          <w:lang w:eastAsia="fr-FR"/>
        </w:rPr>
        <w:t xml:space="preserve"> (2000) et Virage (2015). Ces enquêtes ne sont pas les seules à mesurer les violences conjugales en France : les enquêtes de victimation CVS menées annuellement par l'INSEE depuis 2007 et les enquêtes sur les comportements sexuels y contribuent également, avec des outils et des cadrages différents.</w:t>
      </w:r>
    </w:p>
    <w:p w14:paraId="55225750" w14:textId="77777777" w:rsidR="00E2476B" w:rsidRPr="00DB4AE2" w:rsidRDefault="00E2476B" w:rsidP="00E2476B">
      <w:pPr>
        <w:pStyle w:val="Titre3"/>
      </w:pPr>
      <w:bookmarkStart w:id="82" w:name="_Toc238741946"/>
      <w:r>
        <w:t>Le genre et la sexualité dans l’étude des violences conjugales</w:t>
      </w:r>
      <w:bookmarkEnd w:id="82"/>
      <w:r>
        <w:t xml:space="preserve"> </w:t>
      </w:r>
    </w:p>
    <w:p w14:paraId="217C878F" w14:textId="77777777" w:rsidR="00E2476B" w:rsidRPr="003C1466" w:rsidRDefault="00E2476B" w:rsidP="00E2476B">
      <w:pPr>
        <w:pStyle w:val="NormalWeb"/>
        <w:spacing w:before="240" w:beforeAutospacing="0" w:after="240" w:afterAutospacing="0" w:line="360" w:lineRule="auto"/>
        <w:jc w:val="both"/>
      </w:pPr>
      <w:r>
        <w:rPr>
          <w:color w:val="000000"/>
        </w:rPr>
        <w:t>La</w:t>
      </w:r>
      <w:r w:rsidRPr="003C1466">
        <w:rPr>
          <w:color w:val="000000"/>
        </w:rPr>
        <w:t xml:space="preserve"> </w:t>
      </w:r>
      <w:r>
        <w:rPr>
          <w:color w:val="000000"/>
        </w:rPr>
        <w:t xml:space="preserve">lutte contre l’épidémie de sida, puis contre l’homophobie et la transphobie ont permis l’émergence d’études spécifiques aux populations LGBT, qui déclarent plus de violences que les autres et sont dans des situations de vulnérabilité à risque sur la santé (Trachman, </w:t>
      </w:r>
      <w:proofErr w:type="spellStart"/>
      <w:r>
        <w:rPr>
          <w:color w:val="000000"/>
        </w:rPr>
        <w:t>Lejbowicz</w:t>
      </w:r>
      <w:proofErr w:type="spellEnd"/>
      <w:r>
        <w:rPr>
          <w:color w:val="000000"/>
        </w:rPr>
        <w:t xml:space="preserve"> 2020).</w:t>
      </w:r>
      <w:r w:rsidRPr="003C1466">
        <w:rPr>
          <w:color w:val="000000"/>
        </w:rPr>
        <w:t xml:space="preserve"> </w:t>
      </w:r>
    </w:p>
    <w:p w14:paraId="41693737" w14:textId="77777777" w:rsidR="00E2476B" w:rsidRDefault="00E2476B" w:rsidP="00E2476B">
      <w:pPr>
        <w:pStyle w:val="Textbody"/>
        <w:rPr>
          <w:color w:val="000000"/>
          <w:lang w:eastAsia="fr-FR"/>
        </w:rPr>
      </w:pPr>
      <w:r>
        <w:rPr>
          <w:color w:val="000000"/>
        </w:rPr>
        <w:t xml:space="preserve">Le volet Virage LGBT est la première enquête dédiée aux violences ciblant spécifiquement les minorités sexuelles et de genre. Mesurer l’exposition aux violences d’un groupe minoritaire suppose de reconnaître des expériences spécifiques à ces groupes. Dans le cas de l’homo-bisexualité, cela suppose de reconnaître que les modes de vie, pratiques et identifications sexuelles minoritaires engendrent des violences spécifiques dans toutes les sphères de la vie. </w:t>
      </w:r>
      <w:r w:rsidRPr="003C1466">
        <w:rPr>
          <w:color w:val="000000"/>
        </w:rPr>
        <w:t xml:space="preserve">Comme le formule Patrizia </w:t>
      </w:r>
      <w:proofErr w:type="spellStart"/>
      <w:r w:rsidRPr="003C1466">
        <w:rPr>
          <w:color w:val="000000"/>
        </w:rPr>
        <w:t>Romito</w:t>
      </w:r>
      <w:proofErr w:type="spellEnd"/>
      <w:r w:rsidRPr="003C1466">
        <w:rPr>
          <w:color w:val="000000"/>
        </w:rPr>
        <w:t>, le manque de données dans un domaine est un choix politique, appelée la « politique de la donnée absente » (</w:t>
      </w:r>
      <w:proofErr w:type="spellStart"/>
      <w:r w:rsidRPr="003C1466">
        <w:rPr>
          <w:color w:val="000000"/>
        </w:rPr>
        <w:t>Chetcuti-Osorovitz</w:t>
      </w:r>
      <w:proofErr w:type="spellEnd"/>
      <w:r w:rsidRPr="003C1466">
        <w:rPr>
          <w:color w:val="000000"/>
        </w:rPr>
        <w:t xml:space="preserve"> et </w:t>
      </w:r>
      <w:proofErr w:type="spellStart"/>
      <w:r w:rsidRPr="003C1466">
        <w:rPr>
          <w:color w:val="000000"/>
        </w:rPr>
        <w:t>Jaspard</w:t>
      </w:r>
      <w:proofErr w:type="spellEnd"/>
      <w:r w:rsidRPr="003C1466">
        <w:rPr>
          <w:color w:val="000000"/>
        </w:rPr>
        <w:t xml:space="preserve"> 2007).</w:t>
      </w:r>
      <w:r>
        <w:rPr>
          <w:color w:val="000000"/>
        </w:rPr>
        <w:t xml:space="preserve"> </w:t>
      </w:r>
      <w:r>
        <w:rPr>
          <w:color w:val="000000"/>
          <w:lang w:eastAsia="fr-FR"/>
        </w:rPr>
        <w:t xml:space="preserve">Les violences déclarées par les LGBT ont trait à l’homophobie et la transphobie et c’est cet angle qui est adopté dans l’étude des violences (au travail, dans la famille, dans l’espace public, à l’école), plutôt que celui des violences conjugales. </w:t>
      </w:r>
    </w:p>
    <w:p w14:paraId="7C7810A5" w14:textId="77777777" w:rsidR="00E2476B" w:rsidRDefault="00E2476B" w:rsidP="00E2476B">
      <w:pPr>
        <w:pStyle w:val="Textbody"/>
        <w:rPr>
          <w:color w:val="000000"/>
          <w:lang w:eastAsia="fr-FR"/>
        </w:rPr>
      </w:pPr>
      <w:r>
        <w:rPr>
          <w:color w:val="000000"/>
          <w:lang w:eastAsia="fr-FR"/>
        </w:rPr>
        <w:t>Pourtant, il a été montré que les actes violents ont des significations différentes selon les personnes qui les exercent et celles qui les subissent. Ainsi, les violences dans les couples de même sexe, intéressantes pour comprendre les violences de genre, sont étudiées dans les pays anglophones mais la recherche française s’y intéresse peu (</w:t>
      </w:r>
      <w:proofErr w:type="spellStart"/>
      <w:r>
        <w:rPr>
          <w:color w:val="000000"/>
          <w:lang w:eastAsia="fr-FR"/>
        </w:rPr>
        <w:t>Lejbowicz</w:t>
      </w:r>
      <w:proofErr w:type="spellEnd"/>
      <w:r>
        <w:rPr>
          <w:color w:val="000000"/>
          <w:lang w:eastAsia="fr-FR"/>
        </w:rPr>
        <w:t>, 2022). En</w:t>
      </w:r>
      <w:r w:rsidRPr="004273E6">
        <w:rPr>
          <w:color w:val="000000"/>
          <w:lang w:eastAsia="fr-FR"/>
        </w:rPr>
        <w:t xml:space="preserve"> fusionnant les bases PG et LGBT</w:t>
      </w:r>
      <w:r>
        <w:rPr>
          <w:color w:val="000000"/>
          <w:lang w:eastAsia="fr-FR"/>
        </w:rPr>
        <w:t xml:space="preserve">, Tania </w:t>
      </w:r>
      <w:proofErr w:type="spellStart"/>
      <w:r>
        <w:rPr>
          <w:color w:val="000000"/>
          <w:lang w:eastAsia="fr-FR"/>
        </w:rPr>
        <w:t>Lejbowicz</w:t>
      </w:r>
      <w:proofErr w:type="spellEnd"/>
      <w:r>
        <w:rPr>
          <w:color w:val="000000"/>
          <w:lang w:eastAsia="fr-FR"/>
        </w:rPr>
        <w:t xml:space="preserve"> a montré</w:t>
      </w:r>
      <w:r w:rsidRPr="004273E6">
        <w:rPr>
          <w:color w:val="000000"/>
          <w:lang w:eastAsia="fr-FR"/>
        </w:rPr>
        <w:t xml:space="preserve"> que les violences exercées par des femmes sur d’autres femmes sont de </w:t>
      </w:r>
      <w:r w:rsidRPr="004273E6">
        <w:rPr>
          <w:color w:val="000000"/>
          <w:lang w:eastAsia="fr-FR"/>
        </w:rPr>
        <w:lastRenderedPageBreak/>
        <w:t>moindre intensité et relèvent moins souvent de violences corporelles que celles exercées par les hommes. Un résultat expliqué par l’approche féministe de l’appropriation du corps comme forme de contrôle et de domination des hommes sur les femmes, par l’apprentissage genré des violences et par des organisations conjugales différentes. Le deuxième résultat de son travail est que, dans le cas de violence</w:t>
      </w:r>
      <w:r>
        <w:rPr>
          <w:color w:val="000000"/>
          <w:lang w:eastAsia="fr-FR"/>
        </w:rPr>
        <w:t>s</w:t>
      </w:r>
      <w:r w:rsidRPr="004273E6">
        <w:rPr>
          <w:color w:val="000000"/>
          <w:lang w:eastAsia="fr-FR"/>
        </w:rPr>
        <w:t xml:space="preserve"> exercée</w:t>
      </w:r>
      <w:r>
        <w:rPr>
          <w:color w:val="000000"/>
          <w:lang w:eastAsia="fr-FR"/>
        </w:rPr>
        <w:t>s</w:t>
      </w:r>
      <w:r w:rsidRPr="004273E6">
        <w:rPr>
          <w:color w:val="000000"/>
          <w:lang w:eastAsia="fr-FR"/>
        </w:rPr>
        <w:t xml:space="preserve"> par les hommes, les hétérosexuelles déclarent davantage de violences physiques alors que les lesbiennes et bisexuelles davantage de violences sexuelles. Ce résultat invite à dépasser l’unique approche des prévalences, pour penser non seulement l’exposition mais la perception des actes violents selon l’identification sexuelle. La distance à l’hétérosexualité faciliterait les écarts aux normes conjugales et sexuelles, modifiant la perception des rapports de domination dans les relations avec les hommes.</w:t>
      </w:r>
    </w:p>
    <w:p w14:paraId="252377B7" w14:textId="77777777" w:rsidR="00E2476B" w:rsidRPr="00DB4AE2" w:rsidRDefault="00E2476B" w:rsidP="00E2476B">
      <w:pPr>
        <w:pStyle w:val="Titre3"/>
      </w:pPr>
      <w:bookmarkStart w:id="83" w:name="_Toc238741947"/>
      <w:r>
        <w:t>Repenser la place de la bisexualité dans les violences conjugales</w:t>
      </w:r>
      <w:bookmarkEnd w:id="83"/>
      <w:r>
        <w:t xml:space="preserve"> </w:t>
      </w:r>
    </w:p>
    <w:p w14:paraId="5CB45F00" w14:textId="77777777" w:rsidR="00E2476B" w:rsidRDefault="00E2476B" w:rsidP="00E2476B">
      <w:pPr>
        <w:pStyle w:val="Textbody"/>
        <w:rPr>
          <w:color w:val="000000"/>
          <w:lang w:eastAsia="fr-FR"/>
        </w:rPr>
      </w:pPr>
      <w:r>
        <w:rPr>
          <w:color w:val="000000"/>
          <w:lang w:eastAsia="fr-FR"/>
        </w:rPr>
        <w:t xml:space="preserve">L’études des déclarations de violence conjugale des minorités sexuelles invite à penser la place spécifique de la bisexualité. En couple de sexe différent, les femmes bisexuelles font-elles l’expérience des mêmes violences conjugales que les femmes hétérosexuelles ?  Comment le stigmate bisexuel impacte-t-il les relations des hommes bis ? En couple de même sexe, comment s’exprime la violence interne au couple ? Quel rôle joue la bisexualité dans l’expression et la déclaration des violences conjugales ? </w:t>
      </w:r>
    </w:p>
    <w:p w14:paraId="0EAD73B2" w14:textId="77777777" w:rsidR="00E2476B" w:rsidRDefault="00E2476B" w:rsidP="00E2476B">
      <w:pPr>
        <w:pStyle w:val="Textbody"/>
      </w:pPr>
      <w:r w:rsidRPr="00824B13">
        <w:t xml:space="preserve">Une partie de la littérature anglophone montre que </w:t>
      </w:r>
      <w:r>
        <w:t>l</w:t>
      </w:r>
      <w:r w:rsidRPr="00824B13">
        <w:t>es femmes bisexuelles sont davantage exposées au risque de subir des violences conjugales que leurs homologues lesbiennes et hétérosexuelles (</w:t>
      </w:r>
      <w:proofErr w:type="spellStart"/>
      <w:r w:rsidRPr="00824B13">
        <w:t>Bermea</w:t>
      </w:r>
      <w:proofErr w:type="spellEnd"/>
      <w:r>
        <w:t xml:space="preserve"> et al 2018</w:t>
      </w:r>
      <w:r w:rsidRPr="00824B13">
        <w:t>). Le corpus de cette revue de littérature</w:t>
      </w:r>
      <w:r>
        <w:t xml:space="preserve"> analyse une trentaine d’études,</w:t>
      </w:r>
      <w:r w:rsidRPr="00824B13">
        <w:t xml:space="preserve"> </w:t>
      </w:r>
      <w:r>
        <w:t>avec</w:t>
      </w:r>
      <w:r w:rsidRPr="00824B13">
        <w:t xml:space="preserve"> des échantillons de nature et de taille différentes, représentatifs ou non. Les critères retenus pour mesurer la bisexualité, pratiques ou identification, varient </w:t>
      </w:r>
      <w:r>
        <w:t>d’une étude à l’autre</w:t>
      </w:r>
      <w:r w:rsidRPr="00824B13">
        <w:t xml:space="preserve">. Toutefois </w:t>
      </w:r>
      <w:r>
        <w:t xml:space="preserve">elles </w:t>
      </w:r>
      <w:r w:rsidRPr="00824B13">
        <w:t xml:space="preserve">convergent pour montrer que les expériences de la violence des femmes bisexuelles sont uniques et doivent être étudiées </w:t>
      </w:r>
      <w:r>
        <w:t>séparément</w:t>
      </w:r>
      <w:r w:rsidRPr="00824B13">
        <w:t xml:space="preserve">. L’hétérosexisme est mis en avant comme facteur affectant les expériences de la violence conjugale. </w:t>
      </w:r>
      <w:r>
        <w:t xml:space="preserve">Si </w:t>
      </w:r>
      <w:r w:rsidRPr="00824B13">
        <w:t xml:space="preserve">les personnes bisexuelles </w:t>
      </w:r>
      <w:r>
        <w:t>peuvent</w:t>
      </w:r>
      <w:r w:rsidRPr="00824B13">
        <w:t xml:space="preserve"> être victimes d’homophobie de la part de la majorité hétérosexuelle, l’exclusion de la communauté queer vient souvent aggraver leurs expériences de</w:t>
      </w:r>
      <w:r>
        <w:t>s</w:t>
      </w:r>
      <w:r w:rsidRPr="00824B13">
        <w:t xml:space="preserve"> discrimination</w:t>
      </w:r>
      <w:r>
        <w:t>s</w:t>
      </w:r>
      <w:r w:rsidRPr="00824B13">
        <w:t xml:space="preserve">. De nombreuses études ont montré que les personnes bisexuelles sont exposées à de multiples stéréotypes négatifs, même au sein de groupes de pairs queer. </w:t>
      </w:r>
      <w:r>
        <w:t xml:space="preserve">Cette revue de littérature identifie cinq principaux facteurs de risques de violences conjugales parmi les femmes bisexuelles : l’usage de substances, les comportements sexuels à </w:t>
      </w:r>
      <w:r>
        <w:lastRenderedPageBreak/>
        <w:t xml:space="preserve">risque, les troubles psychiques, l’homophobie internalisée et les expériences extérieures de discriminations. Les deux derniers facteurs concernent directement les minorités sexuelles. </w:t>
      </w:r>
    </w:p>
    <w:p w14:paraId="2F3C2E56" w14:textId="77777777" w:rsidR="00E2476B" w:rsidRDefault="00E2476B" w:rsidP="00E2476B">
      <w:pPr>
        <w:pStyle w:val="Textbody"/>
      </w:pPr>
      <w:r>
        <w:t xml:space="preserve">Dans ce corpus d’études, les femmes bisexuelles sont plus à risque vis-à-vis des violences psychologiques et sexuelles. Les taux de violence graves sont élevés et l’usage de violence psychologique particulièrement fréquent avec des forts taux de contrôle coercitif. Elles sont également à risque de victimisation spécifiques : par exemple de divulgation de l’identification sexuelle, surtout de la part de partenaires masculins. Une menace qui peut avoir des répercussions fortes d’ostracisation, de coupure de liens familiaux ou amicaux. Sachant que la bisexualité est moins souvent </w:t>
      </w:r>
      <w:proofErr w:type="gramStart"/>
      <w:r>
        <w:t>connu</w:t>
      </w:r>
      <w:proofErr w:type="gramEnd"/>
      <w:r>
        <w:t xml:space="preserve"> des parents que l’homosexualité (Trachman, </w:t>
      </w:r>
      <w:proofErr w:type="spellStart"/>
      <w:r>
        <w:t>Lejbowicz</w:t>
      </w:r>
      <w:proofErr w:type="spellEnd"/>
      <w:r>
        <w:t xml:space="preserve"> 2020). Comme dans d’autres cas de violences conjugales, non spécifiquement bisexuels, les enfants peuvent être utilisés contre les femmes. Dans le cas des </w:t>
      </w:r>
      <w:proofErr w:type="spellStart"/>
      <w:r>
        <w:t>bies</w:t>
      </w:r>
      <w:proofErr w:type="spellEnd"/>
      <w:r>
        <w:t xml:space="preserve">, l’identification sexuelle devient un outil pour les discréditer en tant que mères pendant les décisions de garde d’enfant. Malgré des recherches constantes qui tendent à montrer que les bisexuelles sont plus à risque face aux violences conjugales, un petit corpus affirme qu’il n’y a pas de prévalence entre hétérosexuelles, lesbiennes et bisexuelles. Les </w:t>
      </w:r>
      <w:proofErr w:type="spellStart"/>
      <w:r>
        <w:t>auteur∙ices</w:t>
      </w:r>
      <w:proofErr w:type="spellEnd"/>
      <w:r>
        <w:t xml:space="preserve"> expliquent cela par des différences de conceptualisation de la bisexualité dans les enquêtes. </w:t>
      </w:r>
    </w:p>
    <w:p w14:paraId="32CA5556" w14:textId="77777777" w:rsidR="00E2476B" w:rsidRPr="00E73CBC" w:rsidRDefault="00E2476B" w:rsidP="00E2476B">
      <w:pPr>
        <w:pStyle w:val="Textbody"/>
        <w:rPr>
          <w:color w:val="000000"/>
          <w:lang w:eastAsia="fr-FR"/>
        </w:rPr>
      </w:pPr>
      <w:r w:rsidRPr="00E82665">
        <w:t xml:space="preserve">Nos deux premiers chapitres semblent montrer </w:t>
      </w:r>
      <w:r>
        <w:t xml:space="preserve">que la bisexualité implique une distance à l’hétérosexualité à la fois dans les </w:t>
      </w:r>
      <w:r w:rsidRPr="00E82665">
        <w:t xml:space="preserve">configurations et </w:t>
      </w:r>
      <w:r>
        <w:t>l</w:t>
      </w:r>
      <w:r w:rsidRPr="00E82665">
        <w:t xml:space="preserve">es styles conjugaux, même dans des couples d’apparence hétérosexuels. </w:t>
      </w:r>
      <w:r>
        <w:t xml:space="preserve">Pour prolonger ces réflexions, nous nous demandons dans ce chapitre </w:t>
      </w:r>
      <w:r w:rsidRPr="00F3048A">
        <w:rPr>
          <w:b/>
          <w:bCs/>
          <w:i/>
          <w:iCs/>
        </w:rPr>
        <w:t xml:space="preserve">quelles sont les spécificités des </w:t>
      </w:r>
      <w:r>
        <w:rPr>
          <w:b/>
          <w:bCs/>
          <w:i/>
          <w:iCs/>
        </w:rPr>
        <w:t>personnes</w:t>
      </w:r>
      <w:r w:rsidRPr="00F3048A">
        <w:rPr>
          <w:b/>
          <w:bCs/>
          <w:i/>
          <w:iCs/>
        </w:rPr>
        <w:t xml:space="preserve"> bisexuelles dans l’expérience de la violence conjugale ?</w:t>
      </w:r>
      <w:r>
        <w:t xml:space="preserve">  </w:t>
      </w:r>
    </w:p>
    <w:p w14:paraId="173891A5" w14:textId="77777777" w:rsidR="00E2476B" w:rsidRDefault="00E2476B" w:rsidP="00E2476B">
      <w:pPr>
        <w:pStyle w:val="Textbody"/>
      </w:pPr>
      <w:r>
        <w:t>Nous formulons les deux hypothèses suivantes : les personnes bisexuelles déclarent plus de violence quand elles sont en couple avec un homme. Dans la lignée des violences de genre nous postulons une asymétrie dans l’exercice et l’expérience de la violence qui se retrouve dans les configurations des couples de personnes bisexuelles. Notre deuxième hypothèse sera que la</w:t>
      </w:r>
      <w:r w:rsidRPr="006F5BB6">
        <w:rPr>
          <w:i/>
          <w:iCs/>
        </w:rPr>
        <w:t xml:space="preserve"> </w:t>
      </w:r>
      <w:r w:rsidRPr="00976850">
        <w:t>bisexualité, tant dans la trajectoire sexuelle passée, que dans l’expression d’une identification sexuelle produit des expériences de violences conjugales spécifiques.</w:t>
      </w:r>
      <w:r>
        <w:t xml:space="preserve"> </w:t>
      </w:r>
    </w:p>
    <w:p w14:paraId="703832C4" w14:textId="77777777" w:rsidR="00E2476B" w:rsidRDefault="00E2476B" w:rsidP="00E2476B">
      <w:pPr>
        <w:pStyle w:val="Titre2"/>
        <w:numPr>
          <w:ilvl w:val="0"/>
          <w:numId w:val="30"/>
        </w:numPr>
        <w:tabs>
          <w:tab w:val="num" w:pos="360"/>
        </w:tabs>
        <w:ind w:left="0" w:firstLine="0"/>
      </w:pPr>
      <w:bookmarkStart w:id="84" w:name="_Toc238741948"/>
      <w:r>
        <w:lastRenderedPageBreak/>
        <w:t>La mesure des violences conjugales et les liens avec la bisexualité dans l’enquête Virage</w:t>
      </w:r>
      <w:bookmarkEnd w:id="84"/>
      <w:r>
        <w:t xml:space="preserve"> </w:t>
      </w:r>
    </w:p>
    <w:p w14:paraId="37008283" w14:textId="77777777" w:rsidR="00E2476B" w:rsidRPr="008F013E" w:rsidRDefault="00E2476B" w:rsidP="00E2476B">
      <w:pPr>
        <w:pStyle w:val="Textbody"/>
      </w:pPr>
      <w:r>
        <w:t xml:space="preserve">Nous ne cherchons pas à reproduire ce qui a déjà été fait sur les données de l’enquête Virage mais plutôt à éclairer des mécanismes liés à la bisexualité dans l’exercice et l’expérience de la violence. Nous savons déjà que les minorités sexuelles déclarent plus de violence dans la famille avec des conséquences sur le lien familial et plus de violence dans l’espace public ayant des conséquences sur l’investissement des espaces extérieurs (Trachman, </w:t>
      </w:r>
      <w:proofErr w:type="spellStart"/>
      <w:r>
        <w:t>Lejbowicz</w:t>
      </w:r>
      <w:proofErr w:type="spellEnd"/>
      <w:r>
        <w:t xml:space="preserve">, 2020). Les formes de violences diffèrent selon l’identification sexuelle dans ces espaces : les lesbiennes et bisexuelles déclarent plus de violences physiques et sexuelles dans la famille, des violences qui portent sur le corps. Les </w:t>
      </w:r>
      <w:proofErr w:type="spellStart"/>
      <w:r>
        <w:t>bies</w:t>
      </w:r>
      <w:proofErr w:type="spellEnd"/>
      <w:r>
        <w:t xml:space="preserve"> déclarent plus de violences physiques et psychologiques que les lesbiennes, qui elles déclarent plus de violences sexuelles que les bisexuelles. Les gays et bisexuels déclarent plus de violences de tous types que les hétéros avec une surexposition des bis aux violences psychologiques et physiques par rapport aux gays. Dans l’espace public la bisexualité est un facteur spécifique de vulnérabilité aux violences sexuelles pour les hommes et les femmes. Ici, nous nous intéressons aux violences dans le couple.</w:t>
      </w:r>
    </w:p>
    <w:p w14:paraId="299BB86D" w14:textId="77777777" w:rsidR="00E2476B" w:rsidRPr="008F013E" w:rsidRDefault="00E2476B" w:rsidP="00E2476B">
      <w:pPr>
        <w:pStyle w:val="Titre3"/>
      </w:pPr>
      <w:bookmarkStart w:id="85" w:name="_Toc238741949"/>
      <w:r>
        <w:t>La mesure des violences dans le couple au cours des douze mois précédant l’enquête</w:t>
      </w:r>
      <w:bookmarkEnd w:id="85"/>
    </w:p>
    <w:p w14:paraId="55FF0975" w14:textId="77777777" w:rsidR="00E2476B" w:rsidRDefault="00E2476B" w:rsidP="00E2476B">
      <w:pPr>
        <w:pStyle w:val="Textbody"/>
        <w:rPr>
          <w:color w:val="000000"/>
        </w:rPr>
      </w:pPr>
      <w:r>
        <w:rPr>
          <w:color w:val="000000"/>
        </w:rPr>
        <w:t>Six</w:t>
      </w:r>
      <w:r w:rsidRPr="005B4C57">
        <w:rPr>
          <w:color w:val="000000"/>
        </w:rPr>
        <w:t xml:space="preserve"> sections</w:t>
      </w:r>
      <w:r>
        <w:rPr>
          <w:color w:val="000000"/>
        </w:rPr>
        <w:t xml:space="preserve"> du questionnaire</w:t>
      </w:r>
      <w:r w:rsidRPr="005B4C57">
        <w:rPr>
          <w:color w:val="000000"/>
        </w:rPr>
        <w:t xml:space="preserve"> </w:t>
      </w:r>
      <w:r>
        <w:rPr>
          <w:color w:val="000000"/>
        </w:rPr>
        <w:t xml:space="preserve">portent sur les </w:t>
      </w:r>
      <w:r w:rsidRPr="005B4C57">
        <w:rPr>
          <w:color w:val="000000"/>
        </w:rPr>
        <w:t xml:space="preserve">violences subies au cours des douze mois précédant l’enquête en distinguant </w:t>
      </w:r>
      <w:r>
        <w:rPr>
          <w:color w:val="000000"/>
        </w:rPr>
        <w:t>les</w:t>
      </w:r>
      <w:r w:rsidRPr="005B4C57">
        <w:rPr>
          <w:color w:val="000000"/>
        </w:rPr>
        <w:t xml:space="preserve"> espaces de survenue : </w:t>
      </w:r>
      <w:r>
        <w:rPr>
          <w:color w:val="000000"/>
        </w:rPr>
        <w:t xml:space="preserve">une section porte sur le couple et une autre sur les relations avec les ex-partenaire. </w:t>
      </w:r>
      <w:r w:rsidRPr="005B4C57">
        <w:rPr>
          <w:color w:val="000000"/>
        </w:rPr>
        <w:t>La dernière partie du questionnaire est consacrée aux violences qui se sont produites avant les douze mois précédant l’enquête.</w:t>
      </w:r>
    </w:p>
    <w:p w14:paraId="341AC1DE" w14:textId="77777777" w:rsidR="00E2476B" w:rsidRDefault="00E2476B" w:rsidP="00E2476B">
      <w:pPr>
        <w:pStyle w:val="Textbody"/>
      </w:pPr>
      <w:r w:rsidRPr="005B4C57">
        <w:t>Concernant la période étudiée, il est difficile d’analyser conjointement les données sur les violences portant sur les douze derniers mois et celles s’étant produites avant, les questions posées et les personnes interrogées n’étant pas les mêmes (</w:t>
      </w:r>
      <w:proofErr w:type="spellStart"/>
      <w:r>
        <w:t>Lejbowicz</w:t>
      </w:r>
      <w:proofErr w:type="spellEnd"/>
      <w:r>
        <w:t xml:space="preserve"> 2022 ; </w:t>
      </w:r>
      <w:r w:rsidRPr="005B4C57">
        <w:t>Brown et al</w:t>
      </w:r>
      <w:r>
        <w:t xml:space="preserve"> </w:t>
      </w:r>
      <w:r w:rsidRPr="005B4C57">
        <w:t xml:space="preserve">2020). Seuls les faits subis </w:t>
      </w:r>
      <w:r>
        <w:t>au cours des douze derniers mois seront ici pris en compte</w:t>
      </w:r>
      <w:r w:rsidRPr="005B4C57">
        <w:t>.</w:t>
      </w:r>
      <w:r>
        <w:t xml:space="preserve"> D’une part pour ne pas reproduire les analyses faites par Tania </w:t>
      </w:r>
      <w:proofErr w:type="spellStart"/>
      <w:r>
        <w:t>Lejbowicz</w:t>
      </w:r>
      <w:proofErr w:type="spellEnd"/>
      <w:r>
        <w:t xml:space="preserve"> sur la période précédente. D’autre part pour coller aux analyses des chapitres I et II, qui portent souvent sur la base des personnes en couple au moins quatre mois au cours des douze mois précédant l’enquête. </w:t>
      </w:r>
      <w:r>
        <w:rPr>
          <w:color w:val="000000"/>
        </w:rPr>
        <w:t xml:space="preserve">Les déclarations des 12 derniers mois concernent moins de personnes mais sont plus précises car moins dépendantes des biais de mémoire et de qualification rétrospective (Brown et al 2020). </w:t>
      </w:r>
    </w:p>
    <w:p w14:paraId="018C3EDD" w14:textId="77777777" w:rsidR="00E2476B" w:rsidRDefault="00E2476B" w:rsidP="00E2476B">
      <w:pPr>
        <w:pStyle w:val="Textbody"/>
        <w:rPr>
          <w:color w:val="000000"/>
        </w:rPr>
      </w:pPr>
      <w:r>
        <w:lastRenderedPageBreak/>
        <w:t>Nous dissocions ce chapitre de l’analyse des conflits en suivant la distinction théorique centrale opérée par l’</w:t>
      </w:r>
      <w:proofErr w:type="spellStart"/>
      <w:r>
        <w:t>Enveff</w:t>
      </w:r>
      <w:proofErr w:type="spellEnd"/>
      <w:r>
        <w:t xml:space="preserve"> et reprise par Virage : la violence nie l’altérité de l’autre, là où le conflit suppose une relation. Si cette distinction stabilise un cadre analytique nécessaire à la mesure, elle pose la question de ce que serait une violence purement situationnelle, en dehors de toute dynamique genrée. </w:t>
      </w:r>
      <w:r w:rsidRPr="00294772">
        <w:t>Les conséquences d'un conflit diffèrent en fonction des dynamiques économiques au sein du couple par exemple. La médiatisation et la prise de conscience autour des violences conjugales implique également que les femmes savent qu'elles peuvent être victimes</w:t>
      </w:r>
      <w:r>
        <w:t>,</w:t>
      </w:r>
      <w:r w:rsidRPr="00294772">
        <w:t xml:space="preserve"> impact</w:t>
      </w:r>
      <w:r>
        <w:t>ant</w:t>
      </w:r>
      <w:r w:rsidRPr="00294772">
        <w:t xml:space="preserve"> les conditions de possibilité même d'enclencher un conflit</w:t>
      </w:r>
      <w:r>
        <w:t xml:space="preserve">. Ainsi, </w:t>
      </w:r>
      <w:r>
        <w:rPr>
          <w:color w:val="000000"/>
        </w:rPr>
        <w:t xml:space="preserve">si on considère la violence comme outil de contrôle social et de rappel à l'ordre intériorisé par les femmes </w:t>
      </w:r>
      <w:hyperlink r:id="rId25" w:history="1">
        <w:r>
          <w:rPr>
            <w:rStyle w:val="Lienhypertexte"/>
            <w:color w:val="000000"/>
          </w:rPr>
          <w:t xml:space="preserve">(Kelly </w:t>
        </w:r>
        <w:proofErr w:type="gramStart"/>
        <w:r>
          <w:rPr>
            <w:rStyle w:val="Lienhypertexte"/>
            <w:color w:val="000000"/>
          </w:rPr>
          <w:t>2019;</w:t>
        </w:r>
        <w:proofErr w:type="gramEnd"/>
        <w:r>
          <w:rPr>
            <w:rStyle w:val="Lienhypertexte"/>
            <w:color w:val="000000"/>
          </w:rPr>
          <w:t xml:space="preserve"> </w:t>
        </w:r>
        <w:proofErr w:type="spellStart"/>
        <w:r>
          <w:rPr>
            <w:rStyle w:val="Lienhypertexte"/>
            <w:color w:val="000000"/>
          </w:rPr>
          <w:t>Hanmer</w:t>
        </w:r>
        <w:proofErr w:type="spellEnd"/>
        <w:r>
          <w:rPr>
            <w:rStyle w:val="Lienhypertexte"/>
            <w:color w:val="000000"/>
          </w:rPr>
          <w:t xml:space="preserve"> 1977)</w:t>
        </w:r>
      </w:hyperlink>
      <w:r>
        <w:rPr>
          <w:color w:val="000000"/>
        </w:rPr>
        <w:t xml:space="preserve"> alors même les violences dites situationnelles s'inscrivent dans un rapport de domination. </w:t>
      </w:r>
    </w:p>
    <w:p w14:paraId="7C545642" w14:textId="77777777" w:rsidR="00E2476B" w:rsidRPr="008F013E" w:rsidRDefault="00E2476B" w:rsidP="00E2476B">
      <w:pPr>
        <w:suppressAutoHyphens w:val="0"/>
        <w:spacing w:before="100" w:beforeAutospacing="1" w:after="100" w:afterAutospacing="1" w:line="360" w:lineRule="auto"/>
        <w:jc w:val="both"/>
        <w:rPr>
          <w:rFonts w:ascii="Times New Roman" w:eastAsia="Times New Roman" w:hAnsi="Times New Roman" w:cs="Times New Roman"/>
          <w:lang w:eastAsia="fr-FR"/>
        </w:rPr>
      </w:pPr>
      <w:r>
        <w:rPr>
          <w:rFonts w:ascii="Times New Roman" w:eastAsia="Times New Roman" w:hAnsi="Times New Roman" w:cs="Times New Roman"/>
          <w:lang w:eastAsia="fr-FR"/>
        </w:rPr>
        <w:t xml:space="preserve">Le questionnaire de l’enquête Virage n’utilise pas les termes « violence », « agression » ou « harcèlement » car ils font preuve de variations dans l’interprétation (Hamel, 2020). L’ordre des faits abordés est le suivant : violences psychologiques, physiques, sexuelles, économiques et administratives. Le questionnaire est identique entre hommes et femmes pour permettre la comparaison mais des différences d’interprétations sont observées malgré des questions très factuelles. Pour creuser cet écueil classique de la mesure des violences de genre, des questions sont posées sur la fréquence, la gravité des actes. Ensuite les </w:t>
      </w:r>
      <w:proofErr w:type="spellStart"/>
      <w:r>
        <w:rPr>
          <w:rFonts w:ascii="Times New Roman" w:eastAsia="Times New Roman" w:hAnsi="Times New Roman" w:cs="Times New Roman"/>
          <w:lang w:eastAsia="fr-FR"/>
        </w:rPr>
        <w:t>enquêté∙es</w:t>
      </w:r>
      <w:proofErr w:type="spellEnd"/>
      <w:r>
        <w:rPr>
          <w:rFonts w:ascii="Times New Roman" w:eastAsia="Times New Roman" w:hAnsi="Times New Roman" w:cs="Times New Roman"/>
          <w:lang w:eastAsia="fr-FR"/>
        </w:rPr>
        <w:t xml:space="preserve"> sélectionnent le fait considéré comme le plus grave et répondent à des questions sur les circonstances de survenue, les motifs supposés, les conséquences à court et long terme et les recours envisagés. Pour les violences sexuelles le classement en rapport sexuel forcés, tentatives de rapports sexuels forcés et attouchements forcés est réalisé a posteriori pour éviter les biais de méconnaissance des catégories pénales. Les questions sur la fréquence, la gravité perçue, l’impact physique et psychologique permettent de distinguer les situations de conflits de celles d’emprise. </w:t>
      </w:r>
    </w:p>
    <w:p w14:paraId="4A7E2819" w14:textId="77777777" w:rsidR="00E2476B" w:rsidRPr="005B4C57" w:rsidRDefault="00E2476B" w:rsidP="00E2476B">
      <w:pPr>
        <w:pStyle w:val="Titre3"/>
      </w:pPr>
      <w:bookmarkStart w:id="86" w:name="_Toc238741950"/>
      <w:r>
        <w:t>Les indicateurs construits a posteriori</w:t>
      </w:r>
      <w:bookmarkEnd w:id="86"/>
      <w:r>
        <w:t xml:space="preserve"> </w:t>
      </w:r>
    </w:p>
    <w:p w14:paraId="64D531B4" w14:textId="77777777" w:rsidR="00E2476B" w:rsidRDefault="00E2476B" w:rsidP="00E2476B">
      <w:pPr>
        <w:pStyle w:val="Textbody"/>
      </w:pPr>
      <w:r>
        <w:t xml:space="preserve">Nous commençons par observer des indicateurs globaux de violence, construits post-enquête sur la base en population générale. Ils sont particulièrement utiles pour aborder nos effectifs réduits avant d'entrer dans le détail des types de violence. Les questions des différents modules permettent d'établir trois indicateurs de violences conjugales (psychologiques, physiques, sexuelles) chacun allant d’un niveau zéro qui correspond à une situation sans violence jusqu’à un niveau trois </w:t>
      </w:r>
      <w:r>
        <w:lastRenderedPageBreak/>
        <w:t>correspondant à des violences sévères. Dans la lignée des apports méthodologiques de la recherche sur l’asymétrie de genre, ces indicateurs permettent la prise en compte du cumul de plusieurs faits de même nature, de la fréquence de survenue de chaque fait et de la gravité différentielle accordée aux faits (</w:t>
      </w:r>
      <w:proofErr w:type="spellStart"/>
      <w:r>
        <w:t>Lejbowicz</w:t>
      </w:r>
      <w:proofErr w:type="spellEnd"/>
      <w:r>
        <w:t xml:space="preserve"> 2022). </w:t>
      </w:r>
      <w:r w:rsidRPr="00111CB3">
        <w:t>La construction de l’indicateur de violences psychologiques repose sur la notion de contrôle coercitif, caractérisé par la persistance des faits, l’humiliation ou le dénigrement infligé à la victime, et le climat d’angoisse dans lequel il la plonge (Stark 2007). Le niveau maximal correspond à un cumul de ces trois caractéristiques.</w:t>
      </w:r>
    </w:p>
    <w:p w14:paraId="61E0B26F" w14:textId="77777777" w:rsidR="00E2476B" w:rsidRPr="00FB64D9" w:rsidRDefault="00E2476B" w:rsidP="00E2476B">
      <w:pPr>
        <w:spacing w:line="360" w:lineRule="auto"/>
        <w:jc w:val="both"/>
        <w:rPr>
          <w:i/>
          <w:iCs/>
        </w:rPr>
      </w:pPr>
      <w:r w:rsidRPr="00FB64D9">
        <w:rPr>
          <w:iCs/>
        </w:rPr>
        <w:t xml:space="preserve">Virage LGBT ne dispose pas des indicateurs globaux post-construits. Nous les avons donc recréés, en restreignant l'analyse au module </w:t>
      </w:r>
      <w:r>
        <w:rPr>
          <w:iCs/>
        </w:rPr>
        <w:t>« couple au cours des 12 derniers mois »</w:t>
      </w:r>
      <w:r w:rsidRPr="00FB64D9">
        <w:rPr>
          <w:iCs/>
        </w:rPr>
        <w:t>. L'indicateur a été construit à partir des mêmes items élémentaires que ceux utilisés par l'Ined pour construire l'indicateur agrégé de Virage PG (C2 à C31), garantissant une définition strictement comparable entre les deux enquêtes ; seul le regroupement en niveaux de gravité (Niv0 à Niv3), peu pertinent compte tenu de nos effectifs, n'a pas été répliqué.</w:t>
      </w:r>
      <w:r>
        <w:rPr>
          <w:iCs/>
        </w:rPr>
        <w:t xml:space="preserve"> A la place nous avons transformé les niveaux en une occurrence simple Oui / Non dans les deux bases. </w:t>
      </w:r>
    </w:p>
    <w:p w14:paraId="042A49AF" w14:textId="77777777" w:rsidR="00E2476B" w:rsidRDefault="00E2476B" w:rsidP="00E2476B">
      <w:pPr>
        <w:pStyle w:val="Textbody"/>
      </w:pPr>
      <w:r>
        <w:t xml:space="preserve">Cette simplification empêche l’analyse des différents niveaux de gravité mais les effectifs séparés des deux bases ne nous le permettent pas. Plutôt qu’une analyse comparative des prévalences nous proposons une exploration des mécanismes liées à la bisexualité dans l’exercice et l’expérience des violences conjugales. Ce chapitre combinera analyses statistiques quand les effectifs le permettent avec une analyse qualitative des données. </w:t>
      </w:r>
    </w:p>
    <w:p w14:paraId="65596DA1" w14:textId="77777777" w:rsidR="00E2476B" w:rsidRDefault="00E2476B" w:rsidP="00E2476B">
      <w:pPr>
        <w:pStyle w:val="Titre3"/>
      </w:pPr>
      <w:bookmarkStart w:id="87" w:name="_Toc238741951"/>
      <w:r>
        <w:t>Violence conjugale et bisexualité dans l’enquête</w:t>
      </w:r>
      <w:bookmarkEnd w:id="87"/>
      <w:r>
        <w:t xml:space="preserve"> </w:t>
      </w:r>
    </w:p>
    <w:p w14:paraId="32CF9607" w14:textId="77777777" w:rsidR="00E2476B" w:rsidRDefault="00E2476B" w:rsidP="00E2476B">
      <w:pPr>
        <w:pStyle w:val="Textbody"/>
      </w:pPr>
      <w:r>
        <w:t xml:space="preserve">Des éléments du questionnaire permettent une compréhension de la place de la bisexualité dans les violences conjugales. Un sous-module nommé « réactions de l’entourage à l’orientation sexuelle » pose la question de la connaissance de la bisexualité de l’enquêté par le ou la </w:t>
      </w:r>
      <w:proofErr w:type="spellStart"/>
      <w:r>
        <w:t>conjoint∙e</w:t>
      </w:r>
      <w:proofErr w:type="spellEnd"/>
      <w:r>
        <w:t xml:space="preserve">. Dans le chapitre II nous avons montré que les hommes bisexuels déclarent plus souvent ne pas être </w:t>
      </w:r>
      <w:r w:rsidRPr="00555EE4">
        <w:rPr>
          <w:i/>
          <w:iCs/>
        </w:rPr>
        <w:t>out</w:t>
      </w:r>
      <w:r>
        <w:t xml:space="preserve"> dans leur couple et que les femmes bisexuelles et que les </w:t>
      </w:r>
      <w:proofErr w:type="spellStart"/>
      <w:r>
        <w:t>bi∙es</w:t>
      </w:r>
      <w:proofErr w:type="spellEnd"/>
      <w:r>
        <w:t xml:space="preserve"> en couple de sexe différent déclarent plus une ignorance de leur bisexualité de la part du partenaire. Viennent ensuite des questions sur l’âge à la connaissance de la bisexualité, l’acceptation de la bisexualité lors de l’annonce et au moment de l’enquête, les incitations à cacher sa bisexualité, les menaces de révélation et les conflits avec le/la </w:t>
      </w:r>
      <w:proofErr w:type="spellStart"/>
      <w:r>
        <w:t>conjoint∙e</w:t>
      </w:r>
      <w:proofErr w:type="spellEnd"/>
      <w:r>
        <w:t xml:space="preserve"> au sujet de la bisexualité. Elles laissent imaginer certaines des spécificités de la bisexualité dans les violences conjugales. </w:t>
      </w:r>
    </w:p>
    <w:p w14:paraId="60BB4A88" w14:textId="77777777" w:rsidR="00E2476B" w:rsidRPr="008F013E" w:rsidRDefault="00E2476B" w:rsidP="00E2476B">
      <w:pPr>
        <w:pStyle w:val="Textbody"/>
      </w:pPr>
      <w:r>
        <w:lastRenderedPageBreak/>
        <w:t xml:space="preserve">Tout d’abord, on l’a abordé dans le chapitre II, la possibilité de cacher son identification dans le couple expose les </w:t>
      </w:r>
      <w:proofErr w:type="spellStart"/>
      <w:r>
        <w:t>bi∙es</w:t>
      </w:r>
      <w:proofErr w:type="spellEnd"/>
      <w:r>
        <w:t xml:space="preserve"> à de potentielles violences s’il y a révélation. Dans les cas où la bisexualité est connue, elle peut être utilisée comme moyen de pression : menace de divulgation à l’entourage ; ou de dévalorisation : recours aux stéréotypes bisexuels de l’infidélité et de promiscuité pour contrôler les sorties par exemple. Cette deuxième catégorie de violence est plus difficile à relier directement à la bisexualité. Les </w:t>
      </w:r>
      <w:proofErr w:type="spellStart"/>
      <w:r>
        <w:t>auteur∙ices</w:t>
      </w:r>
      <w:proofErr w:type="spellEnd"/>
      <w:r>
        <w:t xml:space="preserve"> et victimes pouvant ne pas reconnaître le poids de l’imaginaire bisexuel dans ces faits et encore moins les déclarer comme tels. Le refus de reconnaître des formes spécifiques de violence et l’absence de communauté bisexuelle freinent aussi la capacité des personnes bisexuelles à identifier et déclarer ces discriminations. </w:t>
      </w:r>
    </w:p>
    <w:p w14:paraId="0C2721E5" w14:textId="77777777" w:rsidR="00E2476B" w:rsidRDefault="00E2476B" w:rsidP="00E2476B">
      <w:pPr>
        <w:pStyle w:val="Titre2"/>
        <w:numPr>
          <w:ilvl w:val="0"/>
          <w:numId w:val="30"/>
        </w:numPr>
        <w:tabs>
          <w:tab w:val="num" w:pos="360"/>
        </w:tabs>
        <w:ind w:left="0" w:firstLine="0"/>
      </w:pPr>
      <w:bookmarkStart w:id="88" w:name="_Toc238741952"/>
      <w:r>
        <w:t>Les configurations des violences conjugales déclarées par les personnes bisexuelles</w:t>
      </w:r>
      <w:bookmarkEnd w:id="88"/>
      <w:r>
        <w:t xml:space="preserve"> </w:t>
      </w:r>
    </w:p>
    <w:p w14:paraId="544C038A" w14:textId="77777777" w:rsidR="00E2476B" w:rsidRDefault="00E2476B" w:rsidP="00E2476B">
      <w:pPr>
        <w:pStyle w:val="Titre3"/>
      </w:pPr>
      <w:bookmarkStart w:id="89" w:name="_Toc238741953"/>
      <w:r>
        <w:t>La surexposition aux violences psychologiques chez les femmes bisexuelles</w:t>
      </w:r>
      <w:bookmarkEnd w:id="89"/>
      <w:r>
        <w:t xml:space="preserve"> </w:t>
      </w:r>
    </w:p>
    <w:p w14:paraId="0330AB90" w14:textId="77777777" w:rsidR="00E2476B" w:rsidRDefault="00E2476B" w:rsidP="00E2476B">
      <w:r>
        <w:t xml:space="preserve">Table 12a : </w:t>
      </w:r>
      <w:r w:rsidRPr="005D5189">
        <w:t>Indicateur global de violence dans le couple dans les 12 derniers mois</w:t>
      </w:r>
      <w:r>
        <w:t>.</w:t>
      </w:r>
    </w:p>
    <w:tbl>
      <w:tblPr>
        <w:tblW w:w="5000" w:type="pct"/>
        <w:jc w:val="center"/>
        <w:tblLayout w:type="fixed"/>
        <w:tblLook w:val="0420" w:firstRow="1" w:lastRow="0" w:firstColumn="0" w:lastColumn="0" w:noHBand="0" w:noVBand="1"/>
      </w:tblPr>
      <w:tblGrid>
        <w:gridCol w:w="2431"/>
        <w:gridCol w:w="1158"/>
        <w:gridCol w:w="1157"/>
        <w:gridCol w:w="1157"/>
        <w:gridCol w:w="1157"/>
        <w:gridCol w:w="1157"/>
        <w:gridCol w:w="1157"/>
      </w:tblGrid>
      <w:tr w:rsidR="00E2476B" w:rsidRPr="005D5189" w14:paraId="5B9C1545" w14:textId="77777777" w:rsidTr="0018419C">
        <w:trPr>
          <w:tblHeader/>
          <w:jc w:val="center"/>
        </w:trPr>
        <w:tc>
          <w:tcPr>
            <w:tcW w:w="2438" w:type="dxa"/>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7D327266"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3483" w:type="dxa"/>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5BB104"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5D5189">
              <w:rPr>
                <w:rFonts w:ascii="Times New Roman" w:eastAsia="Arial" w:hAnsi="Times New Roman" w:cs="Times New Roman"/>
                <w:b/>
                <w:color w:val="000000"/>
                <w:sz w:val="14"/>
                <w:szCs w:val="14"/>
              </w:rPr>
              <w:t>Virage PG — Femmes</w:t>
            </w:r>
          </w:p>
        </w:tc>
        <w:tc>
          <w:tcPr>
            <w:tcW w:w="3483" w:type="dxa"/>
            <w:gridSpan w:val="3"/>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3FA29788"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5D5189">
              <w:rPr>
                <w:rFonts w:ascii="Times New Roman" w:eastAsia="Arial" w:hAnsi="Times New Roman" w:cs="Times New Roman"/>
                <w:b/>
                <w:color w:val="000000"/>
                <w:sz w:val="14"/>
                <w:szCs w:val="14"/>
              </w:rPr>
              <w:t>Virage PG — Hommes</w:t>
            </w:r>
          </w:p>
        </w:tc>
      </w:tr>
      <w:tr w:rsidR="00E2476B" w:rsidRPr="005D5189" w14:paraId="5E293EBF" w14:textId="77777777" w:rsidTr="0018419C">
        <w:trPr>
          <w:tblHeader/>
          <w:jc w:val="center"/>
        </w:trPr>
        <w:tc>
          <w:tcPr>
            <w:tcW w:w="2438" w:type="dxa"/>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0DE8E23E"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right="100"/>
              <w:rPr>
                <w:rFonts w:ascii="Times New Roman" w:eastAsia="Arial" w:hAnsi="Times New Roman" w:cs="Times New Roman"/>
                <w:color w:val="000000"/>
                <w:sz w:val="14"/>
                <w:szCs w:val="14"/>
              </w:rPr>
            </w:pP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3C26C3"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Homo</w:t>
            </w:r>
            <w:r w:rsidRPr="005D5189">
              <w:rPr>
                <w:rFonts w:ascii="Times New Roman" w:eastAsia="Arial" w:hAnsi="Times New Roman" w:cs="Times New Roman"/>
                <w:color w:val="000000"/>
                <w:sz w:val="14"/>
                <w:szCs w:val="14"/>
              </w:rPr>
              <w:br/>
              <w:t>(64)</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A7D032"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Bi</w:t>
            </w:r>
            <w:r w:rsidRPr="005D5189">
              <w:rPr>
                <w:rFonts w:ascii="Times New Roman" w:eastAsia="Arial" w:hAnsi="Times New Roman" w:cs="Times New Roman"/>
                <w:color w:val="000000"/>
                <w:sz w:val="14"/>
                <w:szCs w:val="14"/>
              </w:rPr>
              <w:br/>
              <w:t>(75)</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EAE156"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Hétéro</w:t>
            </w:r>
            <w:r w:rsidRPr="005D5189">
              <w:rPr>
                <w:rFonts w:ascii="Times New Roman" w:eastAsia="Arial" w:hAnsi="Times New Roman" w:cs="Times New Roman"/>
                <w:color w:val="000000"/>
                <w:sz w:val="14"/>
                <w:szCs w:val="14"/>
              </w:rPr>
              <w:br/>
              <w:t>(10</w:t>
            </w:r>
            <w:r>
              <w:rPr>
                <w:rFonts w:ascii="Times New Roman" w:eastAsia="Arial" w:hAnsi="Times New Roman" w:cs="Times New Roman"/>
                <w:color w:val="000000"/>
                <w:sz w:val="14"/>
                <w:szCs w:val="14"/>
              </w:rPr>
              <w:t xml:space="preserve"> </w:t>
            </w:r>
            <w:r w:rsidRPr="005D5189">
              <w:rPr>
                <w:rFonts w:ascii="Times New Roman" w:eastAsia="Arial" w:hAnsi="Times New Roman" w:cs="Times New Roman"/>
                <w:color w:val="000000"/>
                <w:sz w:val="14"/>
                <w:szCs w:val="14"/>
              </w:rPr>
              <w:t>125)</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D36B8C"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Homo</w:t>
            </w:r>
            <w:r w:rsidRPr="005D5189">
              <w:rPr>
                <w:rFonts w:ascii="Times New Roman" w:eastAsia="Arial" w:hAnsi="Times New Roman" w:cs="Times New Roman"/>
                <w:color w:val="000000"/>
                <w:sz w:val="14"/>
                <w:szCs w:val="14"/>
              </w:rPr>
              <w:br/>
              <w:t>(89)</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2D1A263"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Bi</w:t>
            </w:r>
            <w:r w:rsidRPr="005D5189">
              <w:rPr>
                <w:rFonts w:ascii="Times New Roman" w:eastAsia="Arial" w:hAnsi="Times New Roman" w:cs="Times New Roman"/>
                <w:color w:val="000000"/>
                <w:sz w:val="14"/>
                <w:szCs w:val="14"/>
              </w:rPr>
              <w:br/>
              <w:t>(34)</w:t>
            </w:r>
            <w:r w:rsidRPr="005D5189">
              <w:rPr>
                <w:rFonts w:ascii="Times New Roman" w:eastAsia="Arial" w:hAnsi="Times New Roman" w:cs="Times New Roman"/>
                <w:color w:val="000000"/>
                <w:sz w:val="14"/>
                <w:szCs w:val="14"/>
                <w:vertAlign w:val="superscript"/>
              </w:rPr>
              <w:t>1</w:t>
            </w:r>
          </w:p>
        </w:tc>
        <w:tc>
          <w:tcPr>
            <w:tcW w:w="1161" w:type="dxa"/>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6F4FA992"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b/>
                <w:color w:val="000000"/>
                <w:sz w:val="14"/>
                <w:szCs w:val="14"/>
              </w:rPr>
              <w:t>Hétéro</w:t>
            </w:r>
            <w:r w:rsidRPr="005D5189">
              <w:rPr>
                <w:rFonts w:ascii="Times New Roman" w:eastAsia="Arial" w:hAnsi="Times New Roman" w:cs="Times New Roman"/>
                <w:color w:val="000000"/>
                <w:sz w:val="14"/>
                <w:szCs w:val="14"/>
              </w:rPr>
              <w:br/>
              <w:t>(8</w:t>
            </w:r>
            <w:r>
              <w:rPr>
                <w:rFonts w:ascii="Times New Roman" w:eastAsia="Arial" w:hAnsi="Times New Roman" w:cs="Times New Roman"/>
                <w:color w:val="000000"/>
                <w:sz w:val="14"/>
                <w:szCs w:val="14"/>
              </w:rPr>
              <w:t xml:space="preserve"> </w:t>
            </w:r>
            <w:r w:rsidRPr="005D5189">
              <w:rPr>
                <w:rFonts w:ascii="Times New Roman" w:eastAsia="Arial" w:hAnsi="Times New Roman" w:cs="Times New Roman"/>
                <w:color w:val="000000"/>
                <w:sz w:val="14"/>
                <w:szCs w:val="14"/>
              </w:rPr>
              <w:t>038)</w:t>
            </w:r>
            <w:r w:rsidRPr="005D5189">
              <w:rPr>
                <w:rFonts w:ascii="Times New Roman" w:eastAsia="Arial" w:hAnsi="Times New Roman" w:cs="Times New Roman"/>
                <w:color w:val="000000"/>
                <w:sz w:val="14"/>
                <w:szCs w:val="14"/>
                <w:vertAlign w:val="superscript"/>
              </w:rPr>
              <w:t>1</w:t>
            </w:r>
          </w:p>
        </w:tc>
      </w:tr>
      <w:tr w:rsidR="00E2476B" w:rsidRPr="005D5189" w14:paraId="47DBFC5C" w14:textId="77777777" w:rsidTr="0018419C">
        <w:trPr>
          <w:jc w:val="center"/>
        </w:trPr>
        <w:tc>
          <w:tcPr>
            <w:tcW w:w="9404" w:type="dxa"/>
            <w:gridSpan w:val="7"/>
            <w:tcBorders>
              <w:top w:val="single" w:sz="8"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6F591733"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5D5189">
              <w:rPr>
                <w:rFonts w:ascii="Times New Roman" w:eastAsia="Arial" w:hAnsi="Times New Roman" w:cs="Times New Roman"/>
                <w:bCs/>
                <w:i/>
                <w:iCs/>
                <w:color w:val="000000"/>
                <w:sz w:val="14"/>
                <w:szCs w:val="14"/>
              </w:rPr>
              <w:t>Violence dans le couple au cours des 12 derniers mois</w:t>
            </w:r>
          </w:p>
        </w:tc>
      </w:tr>
      <w:tr w:rsidR="00E2476B" w:rsidRPr="005D5189" w14:paraId="19FA55FA" w14:textId="77777777" w:rsidTr="0018419C">
        <w:trPr>
          <w:jc w:val="center"/>
        </w:trPr>
        <w:tc>
          <w:tcPr>
            <w:tcW w:w="2438" w:type="dxa"/>
            <w:tcBorders>
              <w:left w:val="single" w:sz="12" w:space="0" w:color="auto"/>
              <w:right w:val="single" w:sz="4" w:space="0" w:color="auto"/>
            </w:tcBorders>
            <w:shd w:val="clear" w:color="auto" w:fill="FFFFFF"/>
            <w:tcMar>
              <w:top w:w="0" w:type="dxa"/>
              <w:left w:w="0" w:type="dxa"/>
              <w:bottom w:w="0" w:type="dxa"/>
              <w:right w:w="0" w:type="dxa"/>
            </w:tcMar>
          </w:tcPr>
          <w:p w14:paraId="5D6D2093"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Oui</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3E87885C"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1.6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(2)</w:t>
            </w:r>
            <w:r w:rsidRPr="005D5189">
              <w:rPr>
                <w:rFonts w:ascii="Times New Roman" w:eastAsia="Arial" w:hAnsi="Times New Roman" w:cs="Times New Roman"/>
                <w:color w:val="000000"/>
                <w:sz w:val="14"/>
                <w:szCs w:val="14"/>
              </w:rPr>
              <w:br/>
              <w:t>[0</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2]</w:t>
            </w:r>
            <w:r w:rsidRPr="005D5189">
              <w:rPr>
                <w:rFonts w:ascii="Times New Roman" w:eastAsia="Arial" w:hAnsi="Times New Roman" w:cs="Times New Roman"/>
                <w:color w:val="000000"/>
                <w:sz w:val="14"/>
                <w:szCs w:val="14"/>
                <w:vertAlign w:val="superscript"/>
              </w:rPr>
              <w:t>3</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70870CE8"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20.9</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(14)</w:t>
            </w:r>
            <w:r w:rsidRPr="005D5189">
              <w:rPr>
                <w:rFonts w:ascii="Times New Roman" w:eastAsia="Arial" w:hAnsi="Times New Roman" w:cs="Times New Roman"/>
                <w:color w:val="000000"/>
                <w:sz w:val="14"/>
                <w:szCs w:val="14"/>
              </w:rPr>
              <w:br/>
              <w:t>[11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36]</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0807182C"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5.2</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(540)</w:t>
            </w:r>
            <w:r w:rsidRPr="005D5189">
              <w:rPr>
                <w:rFonts w:ascii="Times New Roman" w:eastAsia="Arial" w:hAnsi="Times New Roman" w:cs="Times New Roman"/>
                <w:color w:val="000000"/>
                <w:sz w:val="14"/>
                <w:szCs w:val="14"/>
              </w:rPr>
              <w:br/>
              <w:t>[4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1336F514"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3.1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(4)</w:t>
            </w:r>
            <w:r w:rsidRPr="005D5189">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5]</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3E64B05F"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12.5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w:t>
            </w:r>
            <w:r w:rsidRPr="005D5189">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35]</w:t>
            </w:r>
          </w:p>
        </w:tc>
        <w:tc>
          <w:tcPr>
            <w:tcW w:w="1161" w:type="dxa"/>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37CEF784"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(315)</w:t>
            </w:r>
            <w:r w:rsidRPr="005D5189">
              <w:rPr>
                <w:rFonts w:ascii="Times New Roman" w:eastAsia="Arial" w:hAnsi="Times New Roman" w:cs="Times New Roman"/>
                <w:color w:val="000000"/>
                <w:sz w:val="14"/>
                <w:szCs w:val="14"/>
              </w:rPr>
              <w:br/>
              <w:t>[3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2</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4.2]</w:t>
            </w:r>
          </w:p>
        </w:tc>
      </w:tr>
      <w:tr w:rsidR="00E2476B" w:rsidRPr="005D5189" w14:paraId="3157B87E" w14:textId="77777777" w:rsidTr="0018419C">
        <w:trPr>
          <w:jc w:val="center"/>
        </w:trPr>
        <w:tc>
          <w:tcPr>
            <w:tcW w:w="2438" w:type="dxa"/>
            <w:tcBorders>
              <w:left w:val="single" w:sz="12" w:space="0" w:color="auto"/>
              <w:right w:val="single" w:sz="4" w:space="0" w:color="auto"/>
            </w:tcBorders>
            <w:shd w:val="clear" w:color="auto" w:fill="FFFFFF"/>
            <w:tcMar>
              <w:top w:w="0" w:type="dxa"/>
              <w:left w:w="0" w:type="dxa"/>
              <w:bottom w:w="0" w:type="dxa"/>
              <w:right w:w="0" w:type="dxa"/>
            </w:tcMar>
          </w:tcPr>
          <w:p w14:paraId="33C11530"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Non</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1156A337"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98.4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(62)</w:t>
            </w:r>
            <w:r w:rsidRPr="005D5189">
              <w:rPr>
                <w:rFonts w:ascii="Times New Roman" w:eastAsia="Arial" w:hAnsi="Times New Roman" w:cs="Times New Roman"/>
                <w:color w:val="000000"/>
                <w:sz w:val="14"/>
                <w:szCs w:val="14"/>
              </w:rPr>
              <w:br/>
              <w:t>[93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100]</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43C0211D"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79.1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(61)</w:t>
            </w:r>
            <w:r w:rsidRPr="005D5189">
              <w:rPr>
                <w:rFonts w:ascii="Times New Roman" w:eastAsia="Arial" w:hAnsi="Times New Roman" w:cs="Times New Roman"/>
                <w:color w:val="000000"/>
                <w:sz w:val="14"/>
                <w:szCs w:val="14"/>
              </w:rPr>
              <w:br/>
              <w:t>[64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89]</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3CC32EDA"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94.8</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(9,577)</w:t>
            </w:r>
            <w:r w:rsidRPr="005D5189">
              <w:rPr>
                <w:rFonts w:ascii="Times New Roman" w:eastAsia="Arial" w:hAnsi="Times New Roman" w:cs="Times New Roman"/>
                <w:color w:val="000000"/>
                <w:sz w:val="14"/>
                <w:szCs w:val="14"/>
              </w:rPr>
              <w:br/>
              <w:t>[94</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95]</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26E92874"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96.9</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(85)</w:t>
            </w:r>
            <w:r w:rsidRPr="005D5189">
              <w:rPr>
                <w:rFonts w:ascii="Times New Roman" w:eastAsia="Arial" w:hAnsi="Times New Roman" w:cs="Times New Roman"/>
                <w:color w:val="000000"/>
                <w:sz w:val="14"/>
                <w:szCs w:val="14"/>
              </w:rPr>
              <w:br/>
              <w:t>[91</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99]</w:t>
            </w:r>
          </w:p>
        </w:tc>
        <w:tc>
          <w:tcPr>
            <w:tcW w:w="1161" w:type="dxa"/>
            <w:tcBorders>
              <w:left w:val="single" w:sz="4" w:space="0" w:color="auto"/>
              <w:right w:val="single" w:sz="4" w:space="0" w:color="auto"/>
            </w:tcBorders>
            <w:shd w:val="clear" w:color="auto" w:fill="FFFFFF"/>
            <w:tcMar>
              <w:top w:w="0" w:type="dxa"/>
              <w:left w:w="0" w:type="dxa"/>
              <w:bottom w:w="0" w:type="dxa"/>
              <w:right w:w="0" w:type="dxa"/>
            </w:tcMar>
          </w:tcPr>
          <w:p w14:paraId="59C1BA03"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87.5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(31)</w:t>
            </w:r>
            <w:r w:rsidRPr="005D5189">
              <w:rPr>
                <w:rFonts w:ascii="Times New Roman" w:eastAsia="Arial" w:hAnsi="Times New Roman" w:cs="Times New Roman"/>
                <w:color w:val="000000"/>
                <w:sz w:val="14"/>
                <w:szCs w:val="14"/>
              </w:rPr>
              <w:br/>
              <w:t>[65</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96]</w:t>
            </w:r>
          </w:p>
        </w:tc>
        <w:tc>
          <w:tcPr>
            <w:tcW w:w="1161" w:type="dxa"/>
            <w:tcBorders>
              <w:left w:val="single" w:sz="4" w:space="0" w:color="auto"/>
              <w:right w:val="single" w:sz="12" w:space="0" w:color="auto"/>
            </w:tcBorders>
            <w:shd w:val="clear" w:color="auto" w:fill="FFFFFF"/>
            <w:tcMar>
              <w:top w:w="0" w:type="dxa"/>
              <w:left w:w="0" w:type="dxa"/>
              <w:bottom w:w="0" w:type="dxa"/>
              <w:right w:w="0" w:type="dxa"/>
            </w:tcMar>
          </w:tcPr>
          <w:p w14:paraId="7809F70D"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color w:val="000000"/>
                <w:sz w:val="14"/>
                <w:szCs w:val="14"/>
              </w:rPr>
              <w:t>96.3</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br/>
              <w:t>(7,708)</w:t>
            </w:r>
            <w:r w:rsidRPr="005D5189">
              <w:rPr>
                <w:rFonts w:ascii="Times New Roman" w:eastAsia="Arial" w:hAnsi="Times New Roman" w:cs="Times New Roman"/>
                <w:color w:val="000000"/>
                <w:sz w:val="14"/>
                <w:szCs w:val="14"/>
              </w:rPr>
              <w:br/>
              <w:t>[96</w:t>
            </w:r>
            <w:r>
              <w:rPr>
                <w:rFonts w:ascii="Times New Roman" w:eastAsia="Arial" w:hAnsi="Times New Roman" w:cs="Times New Roman"/>
                <w:color w:val="000000"/>
                <w:sz w:val="14"/>
                <w:szCs w:val="14"/>
              </w:rPr>
              <w:t>-</w:t>
            </w:r>
            <w:r w:rsidRPr="005D5189">
              <w:rPr>
                <w:rFonts w:ascii="Times New Roman" w:eastAsia="Arial" w:hAnsi="Times New Roman" w:cs="Times New Roman"/>
                <w:color w:val="000000"/>
                <w:sz w:val="14"/>
                <w:szCs w:val="14"/>
              </w:rPr>
              <w:t>97]</w:t>
            </w:r>
          </w:p>
        </w:tc>
      </w:tr>
      <w:tr w:rsidR="00E2476B" w:rsidRPr="005D5189" w14:paraId="429A474A" w14:textId="77777777" w:rsidTr="0018419C">
        <w:trPr>
          <w:jc w:val="center"/>
        </w:trPr>
        <w:tc>
          <w:tcPr>
            <w:tcW w:w="2438" w:type="dxa"/>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0D4D7C8A"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i/>
                <w:iCs/>
                <w:color w:val="000000"/>
                <w:sz w:val="14"/>
                <w:szCs w:val="14"/>
              </w:rPr>
            </w:pPr>
            <w:r w:rsidRPr="005D5189">
              <w:rPr>
                <w:rFonts w:ascii="Times New Roman" w:eastAsia="Arial" w:hAnsi="Times New Roman" w:cs="Times New Roman"/>
                <w:i/>
                <w:iCs/>
                <w:color w:val="000000"/>
                <w:sz w:val="14"/>
                <w:szCs w:val="14"/>
              </w:rPr>
              <w:t>P-valeur</w:t>
            </w:r>
          </w:p>
        </w:tc>
        <w:tc>
          <w:tcPr>
            <w:tcW w:w="3483" w:type="dxa"/>
            <w:gridSpan w:val="3"/>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70AF6789"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i/>
                <w:iCs/>
                <w:color w:val="000000"/>
                <w:sz w:val="14"/>
                <w:szCs w:val="14"/>
              </w:rPr>
              <w:t>&lt;0.001</w:t>
            </w:r>
            <w:r w:rsidRPr="005D5189">
              <w:rPr>
                <w:rFonts w:ascii="Times New Roman" w:eastAsia="Arial" w:hAnsi="Times New Roman" w:cs="Times New Roman"/>
                <w:i/>
                <w:iCs/>
                <w:color w:val="000000"/>
                <w:sz w:val="14"/>
                <w:szCs w:val="14"/>
                <w:vertAlign w:val="superscript"/>
              </w:rPr>
              <w:t>2</w:t>
            </w:r>
          </w:p>
        </w:tc>
        <w:tc>
          <w:tcPr>
            <w:tcW w:w="3483" w:type="dxa"/>
            <w:gridSpan w:val="3"/>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1423F5D2" w14:textId="77777777" w:rsidR="00E2476B" w:rsidRPr="005D5189"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5D5189">
              <w:rPr>
                <w:rFonts w:ascii="Times New Roman" w:eastAsia="Arial" w:hAnsi="Times New Roman" w:cs="Times New Roman"/>
                <w:i/>
                <w:iCs/>
                <w:color w:val="000000"/>
                <w:sz w:val="14"/>
                <w:szCs w:val="14"/>
              </w:rPr>
              <w:t>0.064</w:t>
            </w:r>
            <w:r w:rsidRPr="005D5189">
              <w:rPr>
                <w:rFonts w:ascii="Times New Roman" w:eastAsia="Arial" w:hAnsi="Times New Roman" w:cs="Times New Roman"/>
                <w:i/>
                <w:iCs/>
                <w:color w:val="000000"/>
                <w:sz w:val="14"/>
                <w:szCs w:val="14"/>
                <w:vertAlign w:val="superscript"/>
              </w:rPr>
              <w:t>2</w:t>
            </w:r>
          </w:p>
        </w:tc>
      </w:tr>
      <w:tr w:rsidR="00E2476B" w:rsidRPr="005D5189" w14:paraId="76137442" w14:textId="77777777" w:rsidTr="0018419C">
        <w:trPr>
          <w:jc w:val="center"/>
        </w:trPr>
        <w:tc>
          <w:tcPr>
            <w:tcW w:w="9404" w:type="dxa"/>
            <w:gridSpan w:val="7"/>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33ADBF18" w14:textId="77777777" w:rsidR="00E2476B" w:rsidRPr="009E54A4"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1</w:t>
            </w:r>
            <w:r w:rsidRPr="009E54A4">
              <w:rPr>
                <w:rFonts w:ascii="Times New Roman" w:eastAsia="Arial" w:hAnsi="Times New Roman" w:cs="Times New Roman"/>
                <w:color w:val="000000"/>
                <w:sz w:val="14"/>
                <w:szCs w:val="14"/>
              </w:rPr>
              <w:t>Effectifs non-pondérés entre parenthèses.</w:t>
            </w:r>
          </w:p>
          <w:p w14:paraId="2B88D410" w14:textId="77777777" w:rsidR="00E2476B" w:rsidRPr="009E54A4"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2</w:t>
            </w:r>
            <w:r w:rsidRPr="009E54A4">
              <w:rPr>
                <w:rFonts w:ascii="Times New Roman" w:eastAsia="Arial" w:hAnsi="Times New Roman" w:cs="Times New Roman"/>
                <w:color w:val="000000"/>
                <w:sz w:val="14"/>
                <w:szCs w:val="14"/>
              </w:rPr>
              <w:t>Test du Chi-deux ajusté de Rao &amp; Scott pour données pondérées.</w:t>
            </w:r>
          </w:p>
          <w:p w14:paraId="3B3C2335"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3</w:t>
            </w:r>
            <w:r w:rsidRPr="009E54A4">
              <w:rPr>
                <w:rFonts w:ascii="Times New Roman" w:eastAsia="Arial" w:hAnsi="Times New Roman" w:cs="Times New Roman"/>
                <w:color w:val="000000"/>
                <w:sz w:val="14"/>
                <w:szCs w:val="14"/>
              </w:rPr>
              <w:t xml:space="preserve">Pourcentages pondérés </w:t>
            </w:r>
            <w:r>
              <w:rPr>
                <w:rFonts w:ascii="Times New Roman" w:eastAsia="Arial" w:hAnsi="Times New Roman" w:cs="Times New Roman"/>
                <w:color w:val="000000"/>
                <w:sz w:val="14"/>
                <w:szCs w:val="14"/>
              </w:rPr>
              <w:t>(Effectifs non pondérés) [</w:t>
            </w:r>
            <w:r w:rsidRPr="009E54A4">
              <w:rPr>
                <w:rFonts w:ascii="Times New Roman" w:eastAsia="Arial" w:hAnsi="Times New Roman" w:cs="Times New Roman"/>
                <w:color w:val="000000"/>
                <w:sz w:val="14"/>
                <w:szCs w:val="14"/>
              </w:rPr>
              <w:t>Intervalle de confiance à 95 %</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w:t>
            </w:r>
          </w:p>
          <w:p w14:paraId="0D1F8757"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Champ</w:t>
            </w:r>
            <w:r w:rsidRPr="009E54A4">
              <w:rPr>
                <w:rFonts w:ascii="Times New Roman" w:eastAsia="Arial" w:hAnsi="Times New Roman" w:cs="Times New Roman"/>
                <w:color w:val="000000"/>
                <w:sz w:val="14"/>
                <w:szCs w:val="14"/>
              </w:rPr>
              <w:t xml:space="preserve"> : Répondant</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es en couple dans les 12 mois de l'enquête Virage.</w:t>
            </w:r>
            <w:r>
              <w:rPr>
                <w:rFonts w:ascii="Times New Roman" w:eastAsia="Arial" w:hAnsi="Times New Roman" w:cs="Times New Roman"/>
                <w:color w:val="000000"/>
                <w:sz w:val="14"/>
                <w:szCs w:val="14"/>
              </w:rPr>
              <w:t xml:space="preserve"> </w:t>
            </w:r>
            <w:r w:rsidRPr="009E54A4">
              <w:rPr>
                <w:rFonts w:ascii="Times New Roman" w:eastAsia="Arial" w:hAnsi="Times New Roman" w:cs="Times New Roman"/>
                <w:color w:val="000000"/>
                <w:sz w:val="14"/>
                <w:szCs w:val="14"/>
              </w:rPr>
              <w:t>Données pondérées</w:t>
            </w:r>
          </w:p>
          <w:p w14:paraId="0D97DB57"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Lecture</w:t>
            </w:r>
            <w:r w:rsidRPr="009E54A4">
              <w:rPr>
                <w:rFonts w:ascii="Times New Roman" w:eastAsia="Arial" w:hAnsi="Times New Roman" w:cs="Times New Roman"/>
                <w:color w:val="000000"/>
                <w:sz w:val="14"/>
                <w:szCs w:val="14"/>
              </w:rPr>
              <w:t xml:space="preserve"> : 1.6% des femmes homosexuelles dans l'enquête Virage en population générale déclarent de la violence dans le couple dans les 12 mois précédent l'enquête, avec un intervalle de confiance à 95% de [0,36% - 7,2%].</w:t>
            </w:r>
          </w:p>
          <w:p w14:paraId="15C65E11" w14:textId="77777777" w:rsidR="00E2476B" w:rsidRPr="009E54A4"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Source</w:t>
            </w:r>
            <w:r w:rsidRPr="009E54A4">
              <w:rPr>
                <w:rFonts w:ascii="Times New Roman" w:eastAsia="Arial" w:hAnsi="Times New Roman" w:cs="Times New Roman"/>
                <w:color w:val="000000"/>
                <w:sz w:val="14"/>
                <w:szCs w:val="14"/>
              </w:rPr>
              <w:t xml:space="preserve"> : Enquête Virage PG, Ined, 2015.</w:t>
            </w:r>
          </w:p>
        </w:tc>
      </w:tr>
    </w:tbl>
    <w:p w14:paraId="6360101F" w14:textId="77777777" w:rsidR="00E2476B" w:rsidRDefault="00E2476B" w:rsidP="00E2476B">
      <w:pPr>
        <w:pStyle w:val="Textbody"/>
      </w:pPr>
      <w:r>
        <w:t xml:space="preserve">Les femmes bisexuelles déclarent, au global, plus de violences dans le couple au cours des douze derniers mois que les hétérosexuelles et les lesbiennes : 20,9 % contre 5,2 % et 1,6 %. Même constat chez les hommes, bien que le résultat ne soit pas significatif. Les </w:t>
      </w:r>
      <w:proofErr w:type="spellStart"/>
      <w:r>
        <w:t>bisexuel∙les</w:t>
      </w:r>
      <w:proofErr w:type="spellEnd"/>
      <w:r>
        <w:t xml:space="preserve"> déclarent également plus de violences avant les douze derniers mois que les </w:t>
      </w:r>
      <w:proofErr w:type="spellStart"/>
      <w:r>
        <w:t>hétérosexuel∙les</w:t>
      </w:r>
      <w:proofErr w:type="spellEnd"/>
      <w:r>
        <w:t xml:space="preserve"> (voir Annexe n°1). Ces indicateurs globaux ne nous disent en revanche rien du type de violence déclaré — physique, psychologique ou sexuelle.</w:t>
      </w:r>
    </w:p>
    <w:p w14:paraId="775750BF" w14:textId="77777777" w:rsidR="00E2476B" w:rsidRDefault="00E2476B" w:rsidP="00E2476B">
      <w:pPr>
        <w:pStyle w:val="NormalWeb"/>
        <w:spacing w:line="360" w:lineRule="auto"/>
        <w:jc w:val="both"/>
      </w:pPr>
      <w:r>
        <w:lastRenderedPageBreak/>
        <w:t xml:space="preserve">À noter qu'à ce stade, les déclarations de violence des lesbiennes, gays et hommes bis ne dépassent pas dix individus en population générale, ce qui limite fortement la production de résultats statistiques robustes. Nous utilisons donc dans un premier temps l'enquête PG pour situer les violences déclarées par rapport aux </w:t>
      </w:r>
      <w:proofErr w:type="spellStart"/>
      <w:r>
        <w:t>hétérosexuel∙les</w:t>
      </w:r>
      <w:proofErr w:type="spellEnd"/>
      <w:r>
        <w:t xml:space="preserve">, avant d'approfondir l'étude des autres groupes à l'aide de l'enquête LGBT. Les hommes bisexuels sont seulement trois à déclarer des violences dans le couple au cours des 12 mois précédant l’enquête, nous les excluant de la suite des analyses en population générale. </w:t>
      </w:r>
    </w:p>
    <w:p w14:paraId="6BC1A745" w14:textId="77777777" w:rsidR="00E2476B" w:rsidRDefault="00E2476B" w:rsidP="00E2476B">
      <w:r>
        <w:t>Table 13a : Types de</w:t>
      </w:r>
      <w:r w:rsidRPr="005D5189">
        <w:t xml:space="preserve"> violence dans le couple </w:t>
      </w:r>
      <w:r>
        <w:t>dans</w:t>
      </w:r>
      <w:r w:rsidRPr="005D5189">
        <w:t xml:space="preserve"> les 12 derniers mois</w:t>
      </w:r>
      <w:r>
        <w:t>.</w:t>
      </w:r>
    </w:p>
    <w:tbl>
      <w:tblPr>
        <w:tblW w:w="5000" w:type="pct"/>
        <w:jc w:val="center"/>
        <w:tblLook w:val="0420" w:firstRow="1" w:lastRow="0" w:firstColumn="0" w:lastColumn="0" w:noHBand="0" w:noVBand="1"/>
      </w:tblPr>
      <w:tblGrid>
        <w:gridCol w:w="2404"/>
        <w:gridCol w:w="2956"/>
        <w:gridCol w:w="2956"/>
        <w:gridCol w:w="1068"/>
      </w:tblGrid>
      <w:tr w:rsidR="00E2476B" w14:paraId="7C0651C6" w14:textId="77777777" w:rsidTr="0018419C">
        <w:trPr>
          <w:tblHeader/>
          <w:jc w:val="center"/>
        </w:trPr>
        <w:tc>
          <w:tcPr>
            <w:tcW w:w="1281" w:type="pct"/>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3AF3E1"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3150" w:type="pct"/>
            <w:gridSpan w:val="2"/>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3AAFBA6"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F23351">
              <w:rPr>
                <w:rFonts w:ascii="Times New Roman" w:eastAsia="Arial" w:hAnsi="Times New Roman" w:cs="Times New Roman"/>
                <w:b/>
                <w:color w:val="000000"/>
                <w:sz w:val="14"/>
                <w:szCs w:val="14"/>
              </w:rPr>
              <w:t>Virage PG — Femmes</w:t>
            </w:r>
          </w:p>
        </w:tc>
        <w:tc>
          <w:tcPr>
            <w:tcW w:w="569" w:type="pct"/>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184BAFD"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p>
        </w:tc>
      </w:tr>
      <w:tr w:rsidR="00E2476B" w14:paraId="64D2CDEA" w14:textId="77777777" w:rsidTr="0018419C">
        <w:trPr>
          <w:tblHeader/>
          <w:jc w:val="center"/>
        </w:trPr>
        <w:tc>
          <w:tcPr>
            <w:tcW w:w="1281" w:type="pct"/>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7C1F47"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57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C8B47E"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b/>
                <w:color w:val="000000"/>
                <w:sz w:val="14"/>
                <w:szCs w:val="14"/>
              </w:rPr>
              <w:t>Bi</w:t>
            </w:r>
            <w:r w:rsidRPr="00F23351">
              <w:rPr>
                <w:rFonts w:ascii="Times New Roman" w:eastAsia="Arial" w:hAnsi="Times New Roman" w:cs="Times New Roman"/>
                <w:color w:val="000000"/>
                <w:sz w:val="14"/>
                <w:szCs w:val="14"/>
              </w:rPr>
              <w:br/>
              <w:t>(75)</w:t>
            </w:r>
            <w:r w:rsidRPr="00F23351">
              <w:rPr>
                <w:rFonts w:ascii="Times New Roman" w:eastAsia="Arial" w:hAnsi="Times New Roman" w:cs="Times New Roman"/>
                <w:color w:val="000000"/>
                <w:sz w:val="14"/>
                <w:szCs w:val="14"/>
                <w:vertAlign w:val="superscript"/>
              </w:rPr>
              <w:t>1</w:t>
            </w:r>
          </w:p>
        </w:tc>
        <w:tc>
          <w:tcPr>
            <w:tcW w:w="157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C12D7A"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b/>
                <w:color w:val="000000"/>
                <w:sz w:val="14"/>
                <w:szCs w:val="14"/>
              </w:rPr>
              <w:t>Hétéro</w:t>
            </w:r>
            <w:r w:rsidRPr="00F23351">
              <w:rPr>
                <w:rFonts w:ascii="Times New Roman" w:eastAsia="Arial" w:hAnsi="Times New Roman" w:cs="Times New Roman"/>
                <w:color w:val="000000"/>
                <w:sz w:val="14"/>
                <w:szCs w:val="14"/>
              </w:rPr>
              <w:br/>
              <w:t>(10125)</w:t>
            </w:r>
            <w:r w:rsidRPr="00F23351">
              <w:rPr>
                <w:rFonts w:ascii="Times New Roman" w:eastAsia="Arial" w:hAnsi="Times New Roman" w:cs="Times New Roman"/>
                <w:color w:val="000000"/>
                <w:sz w:val="14"/>
                <w:szCs w:val="14"/>
                <w:vertAlign w:val="superscript"/>
              </w:rPr>
              <w:t>1</w:t>
            </w:r>
          </w:p>
        </w:tc>
        <w:tc>
          <w:tcPr>
            <w:tcW w:w="569" w:type="pct"/>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4FA63C9"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P-valeur</w:t>
            </w:r>
            <w:r w:rsidRPr="00F23351">
              <w:rPr>
                <w:rFonts w:ascii="Times New Roman" w:eastAsia="Arial" w:hAnsi="Times New Roman" w:cs="Times New Roman"/>
                <w:bCs/>
                <w:i/>
                <w:iCs/>
                <w:color w:val="000000"/>
                <w:sz w:val="14"/>
                <w:szCs w:val="14"/>
                <w:vertAlign w:val="superscript"/>
              </w:rPr>
              <w:t>2</w:t>
            </w:r>
          </w:p>
        </w:tc>
      </w:tr>
      <w:tr w:rsidR="00E2476B" w14:paraId="45F9DF0B" w14:textId="77777777" w:rsidTr="0018419C">
        <w:trPr>
          <w:jc w:val="center"/>
        </w:trPr>
        <w:tc>
          <w:tcPr>
            <w:tcW w:w="4431" w:type="pct"/>
            <w:gridSpan w:val="3"/>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0632772F"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physique dans le couple au cours des 12 derniers mois</w:t>
            </w:r>
          </w:p>
        </w:tc>
        <w:tc>
          <w:tcPr>
            <w:tcW w:w="569" w:type="pct"/>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5912EC23"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0,6</w:t>
            </w:r>
          </w:p>
        </w:tc>
      </w:tr>
      <w:tr w:rsidR="00E2476B" w14:paraId="3C2E9B5E" w14:textId="77777777" w:rsidTr="0018419C">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1DEE8B28"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635D2F0F"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1,9</w:t>
            </w:r>
            <w:r w:rsidRPr="00F23351">
              <w:rPr>
                <w:rFonts w:ascii="Times New Roman" w:eastAsia="Arial" w:hAnsi="Times New Roman" w:cs="Times New Roman"/>
                <w:color w:val="000000"/>
                <w:sz w:val="14"/>
                <w:szCs w:val="14"/>
              </w:rPr>
              <w:br/>
              <w:t>(1)</w:t>
            </w:r>
            <w:r w:rsidRPr="00F23351">
              <w:rPr>
                <w:rFonts w:ascii="Times New Roman" w:eastAsia="Arial" w:hAnsi="Times New Roman" w:cs="Times New Roman"/>
                <w:color w:val="000000"/>
                <w:sz w:val="14"/>
                <w:szCs w:val="14"/>
              </w:rPr>
              <w:br/>
              <w:t>[0,27-12]</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08E32EC4"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1,1</w:t>
            </w:r>
            <w:r w:rsidRPr="00F23351">
              <w:rPr>
                <w:rFonts w:ascii="Times New Roman" w:eastAsia="Arial" w:hAnsi="Times New Roman" w:cs="Times New Roman"/>
                <w:color w:val="000000"/>
                <w:sz w:val="14"/>
                <w:szCs w:val="14"/>
              </w:rPr>
              <w:br/>
              <w:t>(90)</w:t>
            </w:r>
            <w:r w:rsidRPr="00F23351">
              <w:rPr>
                <w:rFonts w:ascii="Times New Roman" w:eastAsia="Arial" w:hAnsi="Times New Roman" w:cs="Times New Roman"/>
                <w:color w:val="000000"/>
                <w:sz w:val="14"/>
                <w:szCs w:val="14"/>
              </w:rPr>
              <w:br/>
              <w:t>[0,84-1,4]</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0E85C04A"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5B42EFF0" w14:textId="77777777" w:rsidTr="0018419C">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630B3FBC"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Non</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4199004A"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98,1</w:t>
            </w:r>
            <w:r w:rsidRPr="00F23351">
              <w:rPr>
                <w:rFonts w:ascii="Times New Roman" w:eastAsia="Arial" w:hAnsi="Times New Roman" w:cs="Times New Roman"/>
                <w:color w:val="000000"/>
                <w:sz w:val="14"/>
                <w:szCs w:val="14"/>
              </w:rPr>
              <w:br/>
              <w:t>(74)</w:t>
            </w:r>
            <w:r w:rsidRPr="00F23351">
              <w:rPr>
                <w:rFonts w:ascii="Times New Roman" w:eastAsia="Arial" w:hAnsi="Times New Roman" w:cs="Times New Roman"/>
                <w:color w:val="000000"/>
                <w:sz w:val="14"/>
                <w:szCs w:val="14"/>
              </w:rPr>
              <w:br/>
              <w:t>[88-100]</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25ACED6D"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98,9</w:t>
            </w:r>
            <w:r w:rsidRPr="00F23351">
              <w:rPr>
                <w:rFonts w:ascii="Times New Roman" w:eastAsia="Arial" w:hAnsi="Times New Roman" w:cs="Times New Roman"/>
                <w:color w:val="000000"/>
                <w:sz w:val="14"/>
                <w:szCs w:val="14"/>
              </w:rPr>
              <w:br/>
              <w:t>(10 032)</w:t>
            </w:r>
            <w:r w:rsidRPr="00F23351">
              <w:rPr>
                <w:rFonts w:ascii="Times New Roman" w:eastAsia="Arial" w:hAnsi="Times New Roman" w:cs="Times New Roman"/>
                <w:color w:val="000000"/>
                <w:sz w:val="14"/>
                <w:szCs w:val="14"/>
              </w:rPr>
              <w:br/>
              <w:t>[99-99]</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761D4091"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52AF9648" w14:textId="77777777" w:rsidTr="0018419C">
        <w:trPr>
          <w:jc w:val="center"/>
        </w:trPr>
        <w:tc>
          <w:tcPr>
            <w:tcW w:w="4431" w:type="pct"/>
            <w:gridSpan w:val="3"/>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31FBAE5E"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psyc</w:t>
            </w:r>
            <w:r>
              <w:rPr>
                <w:rFonts w:ascii="Times New Roman" w:eastAsia="Arial" w:hAnsi="Times New Roman" w:cs="Times New Roman"/>
                <w:bCs/>
                <w:i/>
                <w:iCs/>
                <w:color w:val="000000"/>
                <w:sz w:val="14"/>
                <w:szCs w:val="14"/>
              </w:rPr>
              <w:t>hologique</w:t>
            </w:r>
            <w:r w:rsidRPr="00F23351">
              <w:rPr>
                <w:rFonts w:ascii="Times New Roman" w:eastAsia="Arial" w:hAnsi="Times New Roman" w:cs="Times New Roman"/>
                <w:bCs/>
                <w:i/>
                <w:iCs/>
                <w:color w:val="000000"/>
                <w:sz w:val="14"/>
                <w:szCs w:val="14"/>
              </w:rPr>
              <w:t xml:space="preserve"> dans le couple au cours des 12 derniers mois</w:t>
            </w:r>
          </w:p>
        </w:tc>
        <w:tc>
          <w:tcPr>
            <w:tcW w:w="569" w:type="pct"/>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1F5D205F"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&lt;0,001</w:t>
            </w:r>
          </w:p>
        </w:tc>
      </w:tr>
      <w:tr w:rsidR="00E2476B" w14:paraId="3426025F" w14:textId="77777777" w:rsidTr="0018419C">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352523B8"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6CD82255"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20,9</w:t>
            </w:r>
            <w:r w:rsidRPr="00F23351">
              <w:rPr>
                <w:rFonts w:ascii="Times New Roman" w:eastAsia="Arial" w:hAnsi="Times New Roman" w:cs="Times New Roman"/>
                <w:color w:val="000000"/>
                <w:sz w:val="14"/>
                <w:szCs w:val="14"/>
              </w:rPr>
              <w:br/>
              <w:t>(14)</w:t>
            </w:r>
            <w:r w:rsidRPr="00F23351">
              <w:rPr>
                <w:rFonts w:ascii="Times New Roman" w:eastAsia="Arial" w:hAnsi="Times New Roman" w:cs="Times New Roman"/>
                <w:color w:val="000000"/>
                <w:sz w:val="14"/>
                <w:szCs w:val="14"/>
              </w:rPr>
              <w:br/>
              <w:t>[11-36]</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3AAA0493"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5,1</w:t>
            </w:r>
            <w:r w:rsidRPr="00F23351">
              <w:rPr>
                <w:rFonts w:ascii="Times New Roman" w:eastAsia="Arial" w:hAnsi="Times New Roman" w:cs="Times New Roman"/>
                <w:color w:val="000000"/>
                <w:sz w:val="14"/>
                <w:szCs w:val="14"/>
              </w:rPr>
              <w:br/>
              <w:t>(532)</w:t>
            </w:r>
            <w:r w:rsidRPr="00F23351">
              <w:rPr>
                <w:rFonts w:ascii="Times New Roman" w:eastAsia="Arial" w:hAnsi="Times New Roman" w:cs="Times New Roman"/>
                <w:color w:val="000000"/>
                <w:sz w:val="14"/>
                <w:szCs w:val="14"/>
              </w:rPr>
              <w:br/>
              <w:t>[4,6-5,7]</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277E523F"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226694FF" w14:textId="77777777" w:rsidTr="0018419C">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3135B4EE"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Non</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746ACDB3"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79,1</w:t>
            </w:r>
            <w:r w:rsidRPr="00F23351">
              <w:rPr>
                <w:rFonts w:ascii="Times New Roman" w:eastAsia="Arial" w:hAnsi="Times New Roman" w:cs="Times New Roman"/>
                <w:color w:val="000000"/>
                <w:sz w:val="14"/>
                <w:szCs w:val="14"/>
              </w:rPr>
              <w:br/>
              <w:t>(61)</w:t>
            </w:r>
            <w:r w:rsidRPr="00F23351">
              <w:rPr>
                <w:rFonts w:ascii="Times New Roman" w:eastAsia="Arial" w:hAnsi="Times New Roman" w:cs="Times New Roman"/>
                <w:color w:val="000000"/>
                <w:sz w:val="14"/>
                <w:szCs w:val="14"/>
              </w:rPr>
              <w:br/>
              <w:t>[64-89]</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4062318E"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94,9</w:t>
            </w:r>
            <w:r w:rsidRPr="00F23351">
              <w:rPr>
                <w:rFonts w:ascii="Times New Roman" w:eastAsia="Arial" w:hAnsi="Times New Roman" w:cs="Times New Roman"/>
                <w:color w:val="000000"/>
                <w:sz w:val="14"/>
                <w:szCs w:val="14"/>
              </w:rPr>
              <w:br/>
              <w:t>(9 592)</w:t>
            </w:r>
            <w:r w:rsidRPr="00F23351">
              <w:rPr>
                <w:rFonts w:ascii="Times New Roman" w:eastAsia="Arial" w:hAnsi="Times New Roman" w:cs="Times New Roman"/>
                <w:color w:val="000000"/>
                <w:sz w:val="14"/>
                <w:szCs w:val="14"/>
              </w:rPr>
              <w:br/>
              <w:t>[94-95]</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1213F339"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4BDDA84D" w14:textId="77777777" w:rsidTr="0018419C">
        <w:trPr>
          <w:jc w:val="center"/>
        </w:trPr>
        <w:tc>
          <w:tcPr>
            <w:tcW w:w="4431" w:type="pct"/>
            <w:gridSpan w:val="3"/>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tcPr>
          <w:p w14:paraId="546EB275"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Cs/>
                <w:i/>
                <w:iCs/>
                <w:color w:val="000000"/>
                <w:sz w:val="14"/>
                <w:szCs w:val="14"/>
              </w:rPr>
              <w:t>Violence sexuelle dans le couple au cours des 12 derniers mois</w:t>
            </w:r>
          </w:p>
        </w:tc>
        <w:tc>
          <w:tcPr>
            <w:tcW w:w="569" w:type="pct"/>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35C118B5"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F23351">
              <w:rPr>
                <w:rFonts w:ascii="Times New Roman" w:eastAsia="Arial" w:hAnsi="Times New Roman" w:cs="Times New Roman"/>
                <w:i/>
                <w:iCs/>
                <w:color w:val="000000"/>
                <w:sz w:val="14"/>
                <w:szCs w:val="14"/>
              </w:rPr>
              <w:t>0,3</w:t>
            </w:r>
          </w:p>
        </w:tc>
      </w:tr>
      <w:tr w:rsidR="00E2476B" w14:paraId="23CC9667" w14:textId="77777777" w:rsidTr="0018419C">
        <w:trPr>
          <w:jc w:val="center"/>
        </w:trPr>
        <w:tc>
          <w:tcPr>
            <w:tcW w:w="1281" w:type="pct"/>
            <w:tcBorders>
              <w:left w:val="single" w:sz="8" w:space="0" w:color="000000"/>
              <w:right w:val="single" w:sz="4" w:space="0" w:color="auto"/>
            </w:tcBorders>
            <w:shd w:val="clear" w:color="auto" w:fill="FFFFFF"/>
            <w:tcMar>
              <w:top w:w="0" w:type="dxa"/>
              <w:left w:w="0" w:type="dxa"/>
              <w:bottom w:w="0" w:type="dxa"/>
              <w:right w:w="0" w:type="dxa"/>
            </w:tcMar>
          </w:tcPr>
          <w:p w14:paraId="118E75EE"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Oui</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214EEAC7"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0,6</w:t>
            </w:r>
            <w:r w:rsidRPr="00F23351">
              <w:rPr>
                <w:rFonts w:ascii="Times New Roman" w:eastAsia="Arial" w:hAnsi="Times New Roman" w:cs="Times New Roman"/>
                <w:color w:val="000000"/>
                <w:sz w:val="14"/>
                <w:szCs w:val="14"/>
              </w:rPr>
              <w:br/>
              <w:t>(1)</w:t>
            </w:r>
            <w:r w:rsidRPr="00F23351">
              <w:rPr>
                <w:rFonts w:ascii="Times New Roman" w:eastAsia="Arial" w:hAnsi="Times New Roman" w:cs="Times New Roman"/>
                <w:color w:val="000000"/>
                <w:sz w:val="14"/>
                <w:szCs w:val="14"/>
              </w:rPr>
              <w:br/>
              <w:t>[0,09-4,5]</w:t>
            </w:r>
          </w:p>
        </w:tc>
        <w:tc>
          <w:tcPr>
            <w:tcW w:w="1575" w:type="pct"/>
            <w:tcBorders>
              <w:left w:val="single" w:sz="4" w:space="0" w:color="auto"/>
              <w:right w:val="single" w:sz="4" w:space="0" w:color="auto"/>
            </w:tcBorders>
            <w:shd w:val="clear" w:color="auto" w:fill="FFFFFF"/>
            <w:tcMar>
              <w:top w:w="0" w:type="dxa"/>
              <w:left w:w="0" w:type="dxa"/>
              <w:bottom w:w="0" w:type="dxa"/>
              <w:right w:w="0" w:type="dxa"/>
            </w:tcMar>
          </w:tcPr>
          <w:p w14:paraId="6B919A6C"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0,2</w:t>
            </w:r>
            <w:r w:rsidRPr="00F23351">
              <w:rPr>
                <w:rFonts w:ascii="Times New Roman" w:eastAsia="Arial" w:hAnsi="Times New Roman" w:cs="Times New Roman"/>
                <w:color w:val="000000"/>
                <w:sz w:val="14"/>
                <w:szCs w:val="14"/>
              </w:rPr>
              <w:br/>
              <w:t>(24)</w:t>
            </w:r>
            <w:r w:rsidRPr="00F23351">
              <w:rPr>
                <w:rFonts w:ascii="Times New Roman" w:eastAsia="Arial" w:hAnsi="Times New Roman" w:cs="Times New Roman"/>
                <w:color w:val="000000"/>
                <w:sz w:val="14"/>
                <w:szCs w:val="14"/>
              </w:rPr>
              <w:br/>
              <w:t>[0,13-0,36]</w:t>
            </w:r>
          </w:p>
        </w:tc>
        <w:tc>
          <w:tcPr>
            <w:tcW w:w="569"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4BDE2209"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3E31FA37" w14:textId="77777777" w:rsidTr="0018419C">
        <w:trPr>
          <w:jc w:val="center"/>
        </w:trPr>
        <w:tc>
          <w:tcPr>
            <w:tcW w:w="1281" w:type="pct"/>
            <w:tcBorders>
              <w:left w:val="single" w:sz="8" w:space="0" w:color="000000"/>
              <w:bottom w:val="single" w:sz="8" w:space="0" w:color="000000"/>
              <w:right w:val="single" w:sz="4" w:space="0" w:color="auto"/>
            </w:tcBorders>
            <w:shd w:val="clear" w:color="auto" w:fill="FFFFFF"/>
            <w:tcMar>
              <w:top w:w="0" w:type="dxa"/>
              <w:left w:w="0" w:type="dxa"/>
              <w:bottom w:w="0" w:type="dxa"/>
              <w:right w:w="0" w:type="dxa"/>
            </w:tcMar>
          </w:tcPr>
          <w:p w14:paraId="7AB2ACCE"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Non</w:t>
            </w:r>
          </w:p>
        </w:tc>
        <w:tc>
          <w:tcPr>
            <w:tcW w:w="157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339C4E4D"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99,4</w:t>
            </w:r>
            <w:r w:rsidRPr="00F23351">
              <w:rPr>
                <w:rFonts w:ascii="Times New Roman" w:eastAsia="Arial" w:hAnsi="Times New Roman" w:cs="Times New Roman"/>
                <w:color w:val="000000"/>
                <w:sz w:val="14"/>
                <w:szCs w:val="14"/>
              </w:rPr>
              <w:br/>
              <w:t>(74)</w:t>
            </w:r>
            <w:r w:rsidRPr="00F23351">
              <w:rPr>
                <w:rFonts w:ascii="Times New Roman" w:eastAsia="Arial" w:hAnsi="Times New Roman" w:cs="Times New Roman"/>
                <w:color w:val="000000"/>
                <w:sz w:val="14"/>
                <w:szCs w:val="14"/>
              </w:rPr>
              <w:br/>
              <w:t>[96-100]</w:t>
            </w:r>
          </w:p>
        </w:tc>
        <w:tc>
          <w:tcPr>
            <w:tcW w:w="157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0E74B65E"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rPr>
              <w:t>99,8</w:t>
            </w:r>
            <w:r w:rsidRPr="00F23351">
              <w:rPr>
                <w:rFonts w:ascii="Times New Roman" w:eastAsia="Arial" w:hAnsi="Times New Roman" w:cs="Times New Roman"/>
                <w:color w:val="000000"/>
                <w:sz w:val="14"/>
                <w:szCs w:val="14"/>
              </w:rPr>
              <w:br/>
              <w:t>(10 095)</w:t>
            </w:r>
            <w:r w:rsidRPr="00F23351">
              <w:rPr>
                <w:rFonts w:ascii="Times New Roman" w:eastAsia="Arial" w:hAnsi="Times New Roman" w:cs="Times New Roman"/>
                <w:color w:val="000000"/>
                <w:sz w:val="14"/>
                <w:szCs w:val="14"/>
              </w:rPr>
              <w:br/>
              <w:t>[100-100]</w:t>
            </w:r>
          </w:p>
        </w:tc>
        <w:tc>
          <w:tcPr>
            <w:tcW w:w="569" w:type="pct"/>
            <w:tcBorders>
              <w:top w:val="none" w:sz="0" w:space="0" w:color="000000"/>
              <w:left w:val="single" w:sz="4" w:space="0" w:color="auto"/>
              <w:bottom w:val="single" w:sz="8" w:space="0" w:color="000000"/>
              <w:right w:val="single" w:sz="8" w:space="0" w:color="000000"/>
            </w:tcBorders>
            <w:shd w:val="clear" w:color="auto" w:fill="FFFFFF"/>
            <w:tcMar>
              <w:top w:w="0" w:type="dxa"/>
              <w:left w:w="0" w:type="dxa"/>
              <w:bottom w:w="0" w:type="dxa"/>
              <w:right w:w="0" w:type="dxa"/>
            </w:tcMar>
          </w:tcPr>
          <w:p w14:paraId="2E84F82F"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41E1D15F" w14:textId="77777777" w:rsidTr="0018419C">
        <w:trPr>
          <w:trHeight w:val="1417"/>
          <w:jc w:val="center"/>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E58F356"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non-pondérés entre parenthèses.</w:t>
            </w:r>
          </w:p>
          <w:p w14:paraId="557BFE89"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Test du Chi-deux ajusté de Rao &amp; Scott pour données pondérées.</w:t>
            </w:r>
          </w:p>
          <w:p w14:paraId="10E0B4E0"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3</w:t>
            </w:r>
            <w:r w:rsidRPr="00F23351">
              <w:rPr>
                <w:rFonts w:ascii="Times New Roman" w:eastAsia="Arial" w:hAnsi="Times New Roman" w:cs="Times New Roman"/>
                <w:color w:val="000000"/>
                <w:sz w:val="14"/>
                <w:szCs w:val="14"/>
              </w:rPr>
              <w:t>Pourcentages pondérés (Effectifs non pondérés) [Intervalle de confiance à 95 %].</w:t>
            </w:r>
          </w:p>
          <w:p w14:paraId="1787A675"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hétérosexuelles</w:t>
            </w:r>
            <w:r w:rsidRPr="00F23351">
              <w:rPr>
                <w:rFonts w:ascii="Times New Roman" w:eastAsia="Arial" w:hAnsi="Times New Roman" w:cs="Times New Roman"/>
                <w:color w:val="000000"/>
                <w:sz w:val="14"/>
                <w:szCs w:val="14"/>
              </w:rPr>
              <w:t xml:space="preserve"> en couple dans les 12 mois de l'enquête Virage. Données pondérées</w:t>
            </w:r>
          </w:p>
          <w:p w14:paraId="4A098901"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20,9</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bisexuelles en couple dans </w:t>
            </w:r>
            <w:r w:rsidRPr="00F23351">
              <w:rPr>
                <w:rFonts w:ascii="Times New Roman" w:eastAsia="Arial" w:hAnsi="Times New Roman" w:cs="Times New Roman"/>
                <w:color w:val="000000"/>
                <w:sz w:val="14"/>
                <w:szCs w:val="14"/>
              </w:rPr>
              <w:t xml:space="preserve">l'enquête Virage 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dans le couple dans les 12 mois précédent l'enquête, avec un intervalle de confiance à 95% de [</w:t>
            </w:r>
            <w:r>
              <w:rPr>
                <w:rFonts w:ascii="Times New Roman" w:eastAsia="Arial" w:hAnsi="Times New Roman" w:cs="Times New Roman"/>
                <w:color w:val="000000"/>
                <w:sz w:val="14"/>
                <w:szCs w:val="14"/>
              </w:rPr>
              <w:t>11</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36</w:t>
            </w:r>
            <w:r w:rsidRPr="00F23351">
              <w:rPr>
                <w:rFonts w:ascii="Times New Roman" w:eastAsia="Arial" w:hAnsi="Times New Roman" w:cs="Times New Roman"/>
                <w:color w:val="000000"/>
                <w:sz w:val="14"/>
                <w:szCs w:val="14"/>
              </w:rPr>
              <w:t>%].</w:t>
            </w:r>
          </w:p>
          <w:p w14:paraId="6AD9D589"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PG, Ined, 2015.</w:t>
            </w:r>
          </w:p>
        </w:tc>
      </w:tr>
    </w:tbl>
    <w:p w14:paraId="0F29F2DF" w14:textId="77777777" w:rsidR="00E2476B" w:rsidRDefault="00E2476B" w:rsidP="00E2476B">
      <w:pPr>
        <w:spacing w:line="360" w:lineRule="auto"/>
        <w:jc w:val="both"/>
      </w:pPr>
      <w:r w:rsidRPr="003C06C6">
        <w:rPr>
          <w:iCs/>
        </w:rPr>
        <w:t>En distinguant les types de violence, on constate que ce sont surtout les violences psychologiques qui sont déclarées par les bisexuelles : elles en déclarent quatre fois plus que les hétérosexuelles (20,9 % contre 5,1 %).</w:t>
      </w:r>
      <w:r>
        <w:rPr>
          <w:iCs/>
        </w:rPr>
        <w:t xml:space="preserve"> </w:t>
      </w:r>
      <w:r w:rsidRPr="00681A9F">
        <w:rPr>
          <w:iCs/>
        </w:rPr>
        <w:t>Quand on prend les résultats au cours de la vie, l’écart entre bisexuelles et hétérosexuelles reste significatif mais se réduit : 11,9% contre 4,7%</w:t>
      </w:r>
      <w:r>
        <w:rPr>
          <w:iCs/>
        </w:rPr>
        <w:t xml:space="preserve"> (voir Annexe n°2)</w:t>
      </w:r>
      <w:r w:rsidRPr="00681A9F">
        <w:rPr>
          <w:iCs/>
        </w:rPr>
        <w:t>.</w:t>
      </w:r>
      <w:r>
        <w:t xml:space="preserve"> </w:t>
      </w:r>
    </w:p>
    <w:p w14:paraId="575701D1" w14:textId="77777777" w:rsidR="00E2476B" w:rsidRDefault="00E2476B" w:rsidP="00E2476B">
      <w:pPr>
        <w:pStyle w:val="Textbody"/>
      </w:pPr>
      <w:r>
        <w:lastRenderedPageBreak/>
        <w:t>Les bisexuelles déclarent également plus de violence sexuelle que les hétérosexuelles (2,8 % contre 0,7 %), un résultat qui repose toutefois sur cinq bisexuelles seulement.</w:t>
      </w:r>
    </w:p>
    <w:p w14:paraId="3FEDA098" w14:textId="77777777" w:rsidR="00E2476B" w:rsidRDefault="00E2476B" w:rsidP="00E2476B">
      <w:pPr>
        <w:pStyle w:val="Textbody"/>
      </w:pPr>
      <w:r>
        <w:t xml:space="preserve">Ici, une première grande question se pose : la surreprésentation des bisexuelles dans les déclarantes de violences psychologiques témoigne-t-elle d’une surexposition à ces faits ou d’une meilleure capacité à les déclarer ? Les effectifs ne nous permettent pas de réaliser de régressions mais nous pouvons déjà avancer deux éléments en faveur de la surexposition : le questionnaire Virage ne fait pas mention de « violence » ou </w:t>
      </w:r>
      <w:proofErr w:type="gramStart"/>
      <w:r>
        <w:t>d’ «</w:t>
      </w:r>
      <w:proofErr w:type="gramEnd"/>
      <w:r>
        <w:t xml:space="preserve"> agression », les faits de violences psychologiques listés font appel à des situations précises (voir Annexe n°3). Le fait d’interroger les individus sur les 12 derniers mois limite les biais de mémoire. De plus, la surexposition observée jusqu’ici concorde avec les résultats des études anglophones. </w:t>
      </w:r>
    </w:p>
    <w:p w14:paraId="1A36AFC1" w14:textId="77777777" w:rsidR="00E2476B" w:rsidRDefault="00E2476B" w:rsidP="00E2476B">
      <w:pPr>
        <w:pStyle w:val="Textbody"/>
      </w:pPr>
      <w:r>
        <w:t xml:space="preserve">Les premiers résultats en population générale supposent des expériences quantitativement différentes de celles des violences conjugales hétérosexuelles.  </w:t>
      </w:r>
    </w:p>
    <w:p w14:paraId="3F012BFF" w14:textId="77777777" w:rsidR="00E2476B" w:rsidRDefault="00E2476B" w:rsidP="00E2476B">
      <w:pPr>
        <w:pStyle w:val="Textbody"/>
      </w:pPr>
    </w:p>
    <w:p w14:paraId="2B01A7E9" w14:textId="77777777" w:rsidR="00E2476B" w:rsidRPr="00241B01" w:rsidRDefault="00E2476B" w:rsidP="00E2476B">
      <w:r>
        <w:t>Table 14 : Types</w:t>
      </w:r>
      <w:r w:rsidRPr="005D5189">
        <w:t xml:space="preserve"> de violence dans le couple </w:t>
      </w:r>
      <w:r>
        <w:t>au cours</w:t>
      </w:r>
      <w:r w:rsidRPr="005D5189">
        <w:t xml:space="preserve"> </w:t>
      </w:r>
      <w:r>
        <w:t>d</w:t>
      </w:r>
      <w:r w:rsidRPr="005D5189">
        <w:t>es 12 derniers mois</w:t>
      </w:r>
      <w:r>
        <w:t xml:space="preserve"> (Virage LGBT). </w:t>
      </w:r>
    </w:p>
    <w:p w14:paraId="79935A0D" w14:textId="77777777" w:rsidR="00E2476B" w:rsidRPr="004C7E05" w:rsidRDefault="00E2476B" w:rsidP="00E2476B">
      <w:pPr>
        <w:rPr>
          <w:rFonts w:ascii="Times New Roman" w:hAnsi="Times New Roman" w:cs="Times New Roman"/>
          <w:sz w:val="14"/>
          <w:szCs w:val="14"/>
        </w:rPr>
      </w:pPr>
    </w:p>
    <w:tbl>
      <w:tblPr>
        <w:tblW w:w="5000" w:type="pct"/>
        <w:jc w:val="center"/>
        <w:tblLook w:val="0420" w:firstRow="1" w:lastRow="0" w:firstColumn="0" w:lastColumn="0" w:noHBand="0" w:noVBand="1"/>
      </w:tblPr>
      <w:tblGrid>
        <w:gridCol w:w="1402"/>
        <w:gridCol w:w="1993"/>
        <w:gridCol w:w="1993"/>
        <w:gridCol w:w="1993"/>
        <w:gridCol w:w="1993"/>
      </w:tblGrid>
      <w:tr w:rsidR="00E2476B" w:rsidRPr="004C7E05" w14:paraId="195C9B67" w14:textId="77777777" w:rsidTr="0018419C">
        <w:trPr>
          <w:tblHeader/>
          <w:jc w:val="center"/>
        </w:trPr>
        <w:tc>
          <w:tcPr>
            <w:tcW w:w="0" w:type="auto"/>
            <w:tcBorders>
              <w:top w:val="single" w:sz="12" w:space="0" w:color="auto"/>
              <w:left w:val="single" w:sz="12" w:space="0" w:color="auto"/>
              <w:bottom w:val="single" w:sz="12" w:space="0" w:color="auto"/>
            </w:tcBorders>
            <w:shd w:val="clear" w:color="auto" w:fill="FFFFFF"/>
            <w:tcMar>
              <w:top w:w="0" w:type="dxa"/>
              <w:left w:w="0" w:type="dxa"/>
              <w:bottom w:w="0" w:type="dxa"/>
              <w:right w:w="0" w:type="dxa"/>
            </w:tcMar>
            <w:vAlign w:val="center"/>
          </w:tcPr>
          <w:p w14:paraId="24F29EB5"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2126" w:type="pct"/>
            <w:gridSpan w:val="2"/>
            <w:tcBorders>
              <w:top w:val="single" w:sz="12" w:space="0" w:color="auto"/>
              <w:bottom w:val="single" w:sz="12" w:space="0" w:color="auto"/>
            </w:tcBorders>
            <w:shd w:val="clear" w:color="auto" w:fill="FFFFFF"/>
            <w:tcMar>
              <w:top w:w="0" w:type="dxa"/>
              <w:left w:w="0" w:type="dxa"/>
              <w:bottom w:w="0" w:type="dxa"/>
              <w:right w:w="0" w:type="dxa"/>
            </w:tcMar>
            <w:vAlign w:val="center"/>
          </w:tcPr>
          <w:p w14:paraId="0ABF5482"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4C7E05">
              <w:rPr>
                <w:rFonts w:ascii="Times New Roman" w:eastAsia="Arial" w:hAnsi="Times New Roman" w:cs="Times New Roman"/>
                <w:b/>
                <w:color w:val="000000"/>
                <w:sz w:val="14"/>
                <w:szCs w:val="14"/>
              </w:rPr>
              <w:t>Virage LGBT — Femmes</w:t>
            </w:r>
          </w:p>
        </w:tc>
        <w:tc>
          <w:tcPr>
            <w:tcW w:w="2126" w:type="pct"/>
            <w:gridSpan w:val="2"/>
            <w:tcBorders>
              <w:top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6919AF07"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4C7E05">
              <w:rPr>
                <w:rFonts w:ascii="Times New Roman" w:eastAsia="Arial" w:hAnsi="Times New Roman" w:cs="Times New Roman"/>
                <w:b/>
                <w:color w:val="000000"/>
                <w:sz w:val="14"/>
                <w:szCs w:val="14"/>
              </w:rPr>
              <w:t>Virage LGBT — Hommes</w:t>
            </w:r>
          </w:p>
        </w:tc>
      </w:tr>
      <w:tr w:rsidR="00E2476B" w:rsidRPr="004C7E05" w14:paraId="373148F1" w14:textId="77777777" w:rsidTr="0018419C">
        <w:trPr>
          <w:tblHeader/>
          <w:jc w:val="center"/>
        </w:trPr>
        <w:tc>
          <w:tcPr>
            <w:tcW w:w="0" w:type="auto"/>
            <w:tcBorders>
              <w:top w:val="single" w:sz="12" w:space="0" w:color="auto"/>
              <w:left w:val="single" w:sz="12" w:space="0" w:color="auto"/>
              <w:bottom w:val="single" w:sz="12" w:space="0" w:color="auto"/>
            </w:tcBorders>
            <w:shd w:val="clear" w:color="auto" w:fill="FFFFFF"/>
            <w:tcMar>
              <w:top w:w="0" w:type="dxa"/>
              <w:left w:w="0" w:type="dxa"/>
              <w:bottom w:w="0" w:type="dxa"/>
              <w:right w:w="0" w:type="dxa"/>
            </w:tcMar>
            <w:vAlign w:val="center"/>
          </w:tcPr>
          <w:p w14:paraId="10C27B90"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100AFF2F"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Homo</w:t>
            </w:r>
            <w:r w:rsidRPr="004C7E05">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 xml:space="preserve"> </w:t>
            </w:r>
            <w:r w:rsidRPr="004C7E05">
              <w:rPr>
                <w:rFonts w:ascii="Times New Roman" w:eastAsia="Arial" w:hAnsi="Times New Roman" w:cs="Times New Roman"/>
                <w:color w:val="000000"/>
                <w:sz w:val="14"/>
                <w:szCs w:val="14"/>
              </w:rPr>
              <w:t>752)</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10EC6693"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Bi</w:t>
            </w:r>
            <w:r w:rsidRPr="004C7E05">
              <w:rPr>
                <w:rFonts w:ascii="Times New Roman" w:eastAsia="Arial" w:hAnsi="Times New Roman" w:cs="Times New Roman"/>
                <w:color w:val="000000"/>
                <w:sz w:val="14"/>
                <w:szCs w:val="14"/>
              </w:rPr>
              <w:br/>
              <w:t>(445)</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tcBorders>
            <w:shd w:val="clear" w:color="auto" w:fill="FFFFFF"/>
            <w:tcMar>
              <w:top w:w="0" w:type="dxa"/>
              <w:left w:w="0" w:type="dxa"/>
              <w:bottom w:w="0" w:type="dxa"/>
              <w:right w:w="0" w:type="dxa"/>
            </w:tcMar>
            <w:vAlign w:val="center"/>
          </w:tcPr>
          <w:p w14:paraId="5827C73A"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Homo</w:t>
            </w:r>
            <w:r w:rsidRPr="004C7E05">
              <w:rPr>
                <w:rFonts w:ascii="Times New Roman" w:eastAsia="Arial" w:hAnsi="Times New Roman" w:cs="Times New Roman"/>
                <w:color w:val="000000"/>
                <w:sz w:val="14"/>
                <w:szCs w:val="14"/>
              </w:rPr>
              <w:br/>
              <w:t>(1</w:t>
            </w:r>
            <w:r>
              <w:rPr>
                <w:rFonts w:ascii="Times New Roman" w:eastAsia="Arial" w:hAnsi="Times New Roman" w:cs="Times New Roman"/>
                <w:color w:val="000000"/>
                <w:sz w:val="14"/>
                <w:szCs w:val="14"/>
              </w:rPr>
              <w:t xml:space="preserve"> </w:t>
            </w:r>
            <w:r w:rsidRPr="004C7E05">
              <w:rPr>
                <w:rFonts w:ascii="Times New Roman" w:eastAsia="Arial" w:hAnsi="Times New Roman" w:cs="Times New Roman"/>
                <w:color w:val="000000"/>
                <w:sz w:val="14"/>
                <w:szCs w:val="14"/>
              </w:rPr>
              <w:t>769)</w:t>
            </w:r>
            <w:r w:rsidRPr="004C7E05">
              <w:rPr>
                <w:rFonts w:ascii="Times New Roman" w:eastAsia="Arial" w:hAnsi="Times New Roman" w:cs="Times New Roman"/>
                <w:color w:val="000000"/>
                <w:sz w:val="14"/>
                <w:szCs w:val="14"/>
                <w:vertAlign w:val="superscript"/>
              </w:rPr>
              <w:t>1</w:t>
            </w:r>
          </w:p>
        </w:tc>
        <w:tc>
          <w:tcPr>
            <w:tcW w:w="1063" w:type="pct"/>
            <w:tcBorders>
              <w:top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0912F442"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b/>
                <w:color w:val="000000"/>
                <w:sz w:val="14"/>
                <w:szCs w:val="14"/>
              </w:rPr>
              <w:t>Bi</w:t>
            </w:r>
            <w:r w:rsidRPr="004C7E05">
              <w:rPr>
                <w:rFonts w:ascii="Times New Roman" w:eastAsia="Arial" w:hAnsi="Times New Roman" w:cs="Times New Roman"/>
                <w:color w:val="000000"/>
                <w:sz w:val="14"/>
                <w:szCs w:val="14"/>
              </w:rPr>
              <w:br/>
              <w:t>(172)</w:t>
            </w:r>
            <w:r w:rsidRPr="004C7E05">
              <w:rPr>
                <w:rFonts w:ascii="Times New Roman" w:eastAsia="Arial" w:hAnsi="Times New Roman" w:cs="Times New Roman"/>
                <w:color w:val="000000"/>
                <w:sz w:val="14"/>
                <w:szCs w:val="14"/>
                <w:vertAlign w:val="superscript"/>
              </w:rPr>
              <w:t>1</w:t>
            </w:r>
          </w:p>
        </w:tc>
      </w:tr>
      <w:tr w:rsidR="00E2476B" w:rsidRPr="004C7E05" w14:paraId="2D6F5346" w14:textId="77777777" w:rsidTr="0018419C">
        <w:trPr>
          <w:jc w:val="center"/>
        </w:trPr>
        <w:tc>
          <w:tcPr>
            <w:tcW w:w="5000" w:type="pct"/>
            <w:gridSpan w:val="5"/>
            <w:tcBorders>
              <w:top w:val="single" w:sz="12" w:space="0" w:color="auto"/>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78C80B88"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psychologique</w:t>
            </w:r>
            <w:r w:rsidRPr="00F23351">
              <w:rPr>
                <w:rFonts w:ascii="Times New Roman" w:eastAsia="Arial" w:hAnsi="Times New Roman" w:cs="Times New Roman"/>
                <w:bCs/>
                <w:i/>
                <w:iCs/>
                <w:color w:val="000000"/>
                <w:sz w:val="14"/>
                <w:szCs w:val="14"/>
              </w:rPr>
              <w:t xml:space="preserve"> dans le couple au cours des 12 derniers mois</w:t>
            </w:r>
          </w:p>
        </w:tc>
      </w:tr>
      <w:tr w:rsidR="00E2476B" w:rsidRPr="004C7E05" w14:paraId="4F36DEF8" w14:textId="77777777" w:rsidTr="0018419C">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22DA6971"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300BD2B1"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45,3%</w:t>
            </w:r>
            <w:r w:rsidRPr="004C7E05">
              <w:rPr>
                <w:rFonts w:ascii="Times New Roman" w:eastAsia="Arial" w:hAnsi="Times New Roman" w:cs="Times New Roman"/>
                <w:color w:val="000000"/>
                <w:sz w:val="14"/>
                <w:szCs w:val="14"/>
              </w:rPr>
              <w:br/>
              <w:t>(785,0)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509EA472"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39,3%</w:t>
            </w:r>
            <w:r w:rsidRPr="004C7E05">
              <w:rPr>
                <w:rFonts w:ascii="Times New Roman" w:eastAsia="Arial" w:hAnsi="Times New Roman" w:cs="Times New Roman"/>
                <w:color w:val="000000"/>
                <w:sz w:val="14"/>
                <w:szCs w:val="14"/>
              </w:rPr>
              <w:br/>
              <w:t>(170,0)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1178293"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44,5%</w:t>
            </w:r>
            <w:r w:rsidRPr="004C7E05">
              <w:rPr>
                <w:rFonts w:ascii="Times New Roman" w:eastAsia="Arial" w:hAnsi="Times New Roman" w:cs="Times New Roman"/>
                <w:color w:val="000000"/>
                <w:sz w:val="14"/>
                <w:szCs w:val="14"/>
              </w:rPr>
              <w:br/>
              <w:t>(783,0)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2DF94773"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40,8%</w:t>
            </w:r>
            <w:r w:rsidRPr="004C7E05">
              <w:rPr>
                <w:rFonts w:ascii="Times New Roman" w:eastAsia="Arial" w:hAnsi="Times New Roman" w:cs="Times New Roman"/>
                <w:color w:val="000000"/>
                <w:sz w:val="14"/>
                <w:szCs w:val="14"/>
              </w:rPr>
              <w:br/>
              <w:t>(69,0)</w:t>
            </w:r>
          </w:p>
        </w:tc>
      </w:tr>
      <w:tr w:rsidR="00E2476B" w:rsidRPr="004C7E05" w14:paraId="04FCD448" w14:textId="77777777" w:rsidTr="0018419C">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0714A1EB"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3D947556"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54,7%</w:t>
            </w:r>
            <w:r w:rsidRPr="004C7E05">
              <w:rPr>
                <w:rFonts w:ascii="Times New Roman" w:eastAsia="Arial" w:hAnsi="Times New Roman" w:cs="Times New Roman"/>
                <w:color w:val="000000"/>
                <w:sz w:val="14"/>
                <w:szCs w:val="14"/>
              </w:rPr>
              <w:br/>
              <w:t>(949,0)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03662A3B"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60,7%</w:t>
            </w:r>
            <w:r w:rsidRPr="004C7E05">
              <w:rPr>
                <w:rFonts w:ascii="Times New Roman" w:eastAsia="Arial" w:hAnsi="Times New Roman" w:cs="Times New Roman"/>
                <w:color w:val="000000"/>
                <w:sz w:val="14"/>
                <w:szCs w:val="14"/>
              </w:rPr>
              <w:br/>
              <w:t>(263,0)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016EBF94"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55,5%</w:t>
            </w:r>
            <w:r w:rsidRPr="004C7E05">
              <w:rPr>
                <w:rFonts w:ascii="Times New Roman" w:eastAsia="Arial" w:hAnsi="Times New Roman" w:cs="Times New Roman"/>
                <w:color w:val="000000"/>
                <w:sz w:val="14"/>
                <w:szCs w:val="14"/>
              </w:rPr>
              <w:br/>
              <w:t>(975,0)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10B82F57"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59,2%</w:t>
            </w:r>
            <w:r w:rsidRPr="004C7E05">
              <w:rPr>
                <w:rFonts w:ascii="Times New Roman" w:eastAsia="Arial" w:hAnsi="Times New Roman" w:cs="Times New Roman"/>
                <w:color w:val="000000"/>
                <w:sz w:val="14"/>
                <w:szCs w:val="14"/>
              </w:rPr>
              <w:br/>
              <w:t>(100,0)</w:t>
            </w:r>
          </w:p>
        </w:tc>
      </w:tr>
      <w:tr w:rsidR="00E2476B" w:rsidRPr="004C7E05" w14:paraId="1D082670" w14:textId="77777777" w:rsidTr="0018419C">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72688B8F"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t>P-valeur</w:t>
            </w:r>
          </w:p>
        </w:tc>
        <w:tc>
          <w:tcPr>
            <w:tcW w:w="2126" w:type="pct"/>
            <w:gridSpan w:val="2"/>
            <w:tcBorders>
              <w:left w:val="single" w:sz="4" w:space="0" w:color="auto"/>
              <w:right w:val="single" w:sz="4" w:space="0" w:color="auto"/>
            </w:tcBorders>
            <w:shd w:val="clear" w:color="auto" w:fill="FFFFFF"/>
            <w:tcMar>
              <w:top w:w="0" w:type="dxa"/>
              <w:left w:w="0" w:type="dxa"/>
              <w:bottom w:w="0" w:type="dxa"/>
              <w:right w:w="0" w:type="dxa"/>
            </w:tcMar>
          </w:tcPr>
          <w:p w14:paraId="2FBED464"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0,026</w:t>
            </w:r>
            <w:r w:rsidRPr="00F23351">
              <w:rPr>
                <w:rFonts w:ascii="Times New Roman" w:eastAsia="Arial" w:hAnsi="Times New Roman" w:cs="Times New Roman"/>
                <w:color w:val="000000"/>
                <w:sz w:val="14"/>
                <w:szCs w:val="14"/>
                <w:vertAlign w:val="superscript"/>
              </w:rPr>
              <w:t>2</w:t>
            </w:r>
          </w:p>
        </w:tc>
        <w:tc>
          <w:tcPr>
            <w:tcW w:w="2126" w:type="pct"/>
            <w:gridSpan w:val="2"/>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46E6BDB2"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0,4</w:t>
            </w:r>
            <w:r w:rsidRPr="00F23351">
              <w:rPr>
                <w:rFonts w:ascii="Times New Roman" w:eastAsia="Arial" w:hAnsi="Times New Roman" w:cs="Times New Roman"/>
                <w:color w:val="000000"/>
                <w:sz w:val="14"/>
                <w:szCs w:val="14"/>
                <w:vertAlign w:val="superscript"/>
              </w:rPr>
              <w:t>2</w:t>
            </w:r>
          </w:p>
        </w:tc>
      </w:tr>
      <w:tr w:rsidR="00E2476B" w:rsidRPr="004C7E05" w14:paraId="034B0965" w14:textId="77777777" w:rsidTr="0018419C">
        <w:trPr>
          <w:jc w:val="center"/>
        </w:trPr>
        <w:tc>
          <w:tcPr>
            <w:tcW w:w="5000" w:type="pct"/>
            <w:gridSpan w:val="5"/>
            <w:tcBorders>
              <w:top w:val="none" w:sz="0"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5CB7692F"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F23351">
              <w:rPr>
                <w:rFonts w:ascii="Times New Roman" w:eastAsia="Arial" w:hAnsi="Times New Roman" w:cs="Times New Roman"/>
                <w:bCs/>
                <w:i/>
                <w:iCs/>
                <w:color w:val="000000"/>
                <w:sz w:val="14"/>
                <w:szCs w:val="14"/>
              </w:rPr>
              <w:t>Violence physique dans le couple au cours des 12 derniers mois</w:t>
            </w:r>
          </w:p>
        </w:tc>
      </w:tr>
      <w:tr w:rsidR="00E2476B" w:rsidRPr="004C7E05" w14:paraId="2F065D8B" w14:textId="77777777" w:rsidTr="0018419C">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70B40895"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5BA325E"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94,8%</w:t>
            </w:r>
            <w:r w:rsidRPr="004C7E05">
              <w:rPr>
                <w:rFonts w:ascii="Times New Roman" w:eastAsia="Arial" w:hAnsi="Times New Roman" w:cs="Times New Roman"/>
                <w:color w:val="000000"/>
                <w:sz w:val="14"/>
                <w:szCs w:val="14"/>
              </w:rPr>
              <w:br/>
              <w:t>(1 644,0)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132B22D5"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93,8%</w:t>
            </w:r>
            <w:r w:rsidRPr="004C7E05">
              <w:rPr>
                <w:rFonts w:ascii="Times New Roman" w:eastAsia="Arial" w:hAnsi="Times New Roman" w:cs="Times New Roman"/>
                <w:color w:val="000000"/>
                <w:sz w:val="14"/>
                <w:szCs w:val="14"/>
              </w:rPr>
              <w:br/>
              <w:t>(406,0)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8E40152"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95,5%</w:t>
            </w:r>
            <w:r w:rsidRPr="004C7E05">
              <w:rPr>
                <w:rFonts w:ascii="Times New Roman" w:eastAsia="Arial" w:hAnsi="Times New Roman" w:cs="Times New Roman"/>
                <w:color w:val="000000"/>
                <w:sz w:val="14"/>
                <w:szCs w:val="14"/>
              </w:rPr>
              <w:br/>
              <w:t>(1 679,0)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5E138C9D"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94,7%</w:t>
            </w:r>
            <w:r w:rsidRPr="004C7E05">
              <w:rPr>
                <w:rFonts w:ascii="Times New Roman" w:eastAsia="Arial" w:hAnsi="Times New Roman" w:cs="Times New Roman"/>
                <w:color w:val="000000"/>
                <w:sz w:val="14"/>
                <w:szCs w:val="14"/>
              </w:rPr>
              <w:br/>
              <w:t>(160,0)</w:t>
            </w:r>
          </w:p>
        </w:tc>
      </w:tr>
      <w:tr w:rsidR="00E2476B" w:rsidRPr="004C7E05" w14:paraId="149F1D56" w14:textId="77777777" w:rsidTr="0018419C">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223F76AA"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7B81113"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5,2%</w:t>
            </w:r>
            <w:r w:rsidRPr="004C7E05">
              <w:rPr>
                <w:rFonts w:ascii="Times New Roman" w:eastAsia="Arial" w:hAnsi="Times New Roman" w:cs="Times New Roman"/>
                <w:color w:val="000000"/>
                <w:sz w:val="14"/>
                <w:szCs w:val="14"/>
              </w:rPr>
              <w:br/>
              <w:t>(90,0)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6B740461"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6,2%</w:t>
            </w:r>
            <w:r w:rsidRPr="004C7E05">
              <w:rPr>
                <w:rFonts w:ascii="Times New Roman" w:eastAsia="Arial" w:hAnsi="Times New Roman" w:cs="Times New Roman"/>
                <w:color w:val="000000"/>
                <w:sz w:val="14"/>
                <w:szCs w:val="14"/>
              </w:rPr>
              <w:br/>
              <w:t>(27,0)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5CD8EE74"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4,5%</w:t>
            </w:r>
            <w:r w:rsidRPr="004C7E05">
              <w:rPr>
                <w:rFonts w:ascii="Times New Roman" w:eastAsia="Arial" w:hAnsi="Times New Roman" w:cs="Times New Roman"/>
                <w:color w:val="000000"/>
                <w:sz w:val="14"/>
                <w:szCs w:val="14"/>
              </w:rPr>
              <w:br/>
              <w:t>(79,0)</w:t>
            </w:r>
          </w:p>
        </w:tc>
        <w:tc>
          <w:tcPr>
            <w:tcW w:w="1063" w:type="pct"/>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0940C3AB"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5,3%</w:t>
            </w:r>
            <w:r w:rsidRPr="004C7E05">
              <w:rPr>
                <w:rFonts w:ascii="Times New Roman" w:eastAsia="Arial" w:hAnsi="Times New Roman" w:cs="Times New Roman"/>
                <w:color w:val="000000"/>
                <w:sz w:val="14"/>
                <w:szCs w:val="14"/>
              </w:rPr>
              <w:br/>
              <w:t>(9,0)</w:t>
            </w:r>
          </w:p>
        </w:tc>
      </w:tr>
      <w:tr w:rsidR="00E2476B" w:rsidRPr="004C7E05" w14:paraId="62D4BC4B" w14:textId="77777777" w:rsidTr="0018419C">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37353825"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t>P-valeur</w:t>
            </w:r>
          </w:p>
        </w:tc>
        <w:tc>
          <w:tcPr>
            <w:tcW w:w="2126" w:type="pct"/>
            <w:gridSpan w:val="2"/>
            <w:tcBorders>
              <w:left w:val="single" w:sz="4" w:space="0" w:color="auto"/>
              <w:right w:val="single" w:sz="4" w:space="0" w:color="auto"/>
            </w:tcBorders>
            <w:shd w:val="clear" w:color="auto" w:fill="FFFFFF"/>
            <w:tcMar>
              <w:top w:w="0" w:type="dxa"/>
              <w:left w:w="0" w:type="dxa"/>
              <w:bottom w:w="0" w:type="dxa"/>
              <w:right w:w="0" w:type="dxa"/>
            </w:tcMar>
          </w:tcPr>
          <w:p w14:paraId="0FB7BD5C"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0,4</w:t>
            </w:r>
          </w:p>
        </w:tc>
        <w:tc>
          <w:tcPr>
            <w:tcW w:w="2126" w:type="pct"/>
            <w:gridSpan w:val="2"/>
            <w:tcBorders>
              <w:top w:val="none" w:sz="0"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16E824B4"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0,6</w:t>
            </w:r>
          </w:p>
        </w:tc>
      </w:tr>
      <w:tr w:rsidR="00E2476B" w:rsidRPr="004C7E05" w14:paraId="761EA5D8" w14:textId="77777777" w:rsidTr="0018419C">
        <w:trPr>
          <w:jc w:val="center"/>
        </w:trPr>
        <w:tc>
          <w:tcPr>
            <w:tcW w:w="5000" w:type="pct"/>
            <w:gridSpan w:val="5"/>
            <w:tcBorders>
              <w:top w:val="none" w:sz="0"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16487E36"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i/>
                <w:iCs/>
                <w:color w:val="000000"/>
                <w:sz w:val="14"/>
                <w:szCs w:val="14"/>
              </w:rPr>
            </w:pPr>
            <w:r w:rsidRPr="00F23351">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sexuelle</w:t>
            </w:r>
            <w:r w:rsidRPr="00F23351">
              <w:rPr>
                <w:rFonts w:ascii="Times New Roman" w:eastAsia="Arial" w:hAnsi="Times New Roman" w:cs="Times New Roman"/>
                <w:bCs/>
                <w:i/>
                <w:iCs/>
                <w:color w:val="000000"/>
                <w:sz w:val="14"/>
                <w:szCs w:val="14"/>
              </w:rPr>
              <w:t xml:space="preserve"> dans le couple au cours des 12 derniers mois</w:t>
            </w:r>
          </w:p>
        </w:tc>
      </w:tr>
      <w:tr w:rsidR="00E2476B" w:rsidRPr="004C7E05" w14:paraId="403F75BE" w14:textId="77777777" w:rsidTr="0018419C">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10CD5392"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Non</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300BC482"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99,1%</w:t>
            </w:r>
            <w:r w:rsidRPr="004C7E05">
              <w:rPr>
                <w:rFonts w:ascii="Times New Roman" w:eastAsia="Arial" w:hAnsi="Times New Roman" w:cs="Times New Roman"/>
                <w:color w:val="000000"/>
                <w:sz w:val="14"/>
                <w:szCs w:val="14"/>
              </w:rPr>
              <w:br/>
              <w:t>(1 719,0)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4E7E791B"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96,1%</w:t>
            </w:r>
            <w:r w:rsidRPr="004C7E05">
              <w:rPr>
                <w:rFonts w:ascii="Times New Roman" w:eastAsia="Arial" w:hAnsi="Times New Roman" w:cs="Times New Roman"/>
                <w:color w:val="000000"/>
                <w:sz w:val="14"/>
                <w:szCs w:val="14"/>
              </w:rPr>
              <w:br/>
              <w:t>(415,0)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64F8DE64"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98,3%</w:t>
            </w:r>
            <w:r w:rsidRPr="004C7E05">
              <w:rPr>
                <w:rFonts w:ascii="Times New Roman" w:eastAsia="Arial" w:hAnsi="Times New Roman" w:cs="Times New Roman"/>
                <w:color w:val="000000"/>
                <w:sz w:val="14"/>
                <w:szCs w:val="14"/>
              </w:rPr>
              <w:br/>
              <w:t>(1 729,0)</w:t>
            </w:r>
          </w:p>
        </w:tc>
        <w:tc>
          <w:tcPr>
            <w:tcW w:w="1063" w:type="pct"/>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3A789D83"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96,4%</w:t>
            </w:r>
            <w:r w:rsidRPr="004C7E05">
              <w:rPr>
                <w:rFonts w:ascii="Times New Roman" w:eastAsia="Arial" w:hAnsi="Times New Roman" w:cs="Times New Roman"/>
                <w:color w:val="000000"/>
                <w:sz w:val="14"/>
                <w:szCs w:val="14"/>
              </w:rPr>
              <w:br/>
              <w:t>(162,0)</w:t>
            </w:r>
          </w:p>
        </w:tc>
      </w:tr>
      <w:tr w:rsidR="00E2476B" w:rsidRPr="004C7E05" w14:paraId="46E61896" w14:textId="77777777" w:rsidTr="0018419C">
        <w:trPr>
          <w:jc w:val="center"/>
        </w:trPr>
        <w:tc>
          <w:tcPr>
            <w:tcW w:w="0" w:type="auto"/>
            <w:tcBorders>
              <w:left w:val="single" w:sz="12" w:space="0" w:color="auto"/>
              <w:right w:val="single" w:sz="4" w:space="0" w:color="auto"/>
            </w:tcBorders>
            <w:shd w:val="clear" w:color="auto" w:fill="FFFFFF"/>
            <w:tcMar>
              <w:top w:w="0" w:type="dxa"/>
              <w:left w:w="0" w:type="dxa"/>
              <w:bottom w:w="0" w:type="dxa"/>
              <w:right w:w="0" w:type="dxa"/>
            </w:tcMar>
          </w:tcPr>
          <w:p w14:paraId="5D94DAFB"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Oui</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32A1AAAC"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0,9%</w:t>
            </w:r>
            <w:r w:rsidRPr="004C7E05">
              <w:rPr>
                <w:rFonts w:ascii="Times New Roman" w:eastAsia="Arial" w:hAnsi="Times New Roman" w:cs="Times New Roman"/>
                <w:color w:val="000000"/>
                <w:sz w:val="14"/>
                <w:szCs w:val="14"/>
              </w:rPr>
              <w:br/>
              <w:t>(15,0)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7F1D5A01"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3,9%</w:t>
            </w:r>
            <w:r w:rsidRPr="004C7E05">
              <w:rPr>
                <w:rFonts w:ascii="Times New Roman" w:eastAsia="Arial" w:hAnsi="Times New Roman" w:cs="Times New Roman"/>
                <w:color w:val="000000"/>
                <w:sz w:val="14"/>
                <w:szCs w:val="14"/>
              </w:rPr>
              <w:br/>
              <w:t>(17,0)</w:t>
            </w:r>
          </w:p>
        </w:tc>
        <w:tc>
          <w:tcPr>
            <w:tcW w:w="1063" w:type="pct"/>
            <w:tcBorders>
              <w:left w:val="single" w:sz="4" w:space="0" w:color="auto"/>
              <w:right w:val="single" w:sz="4" w:space="0" w:color="auto"/>
            </w:tcBorders>
            <w:shd w:val="clear" w:color="auto" w:fill="FFFFFF"/>
            <w:tcMar>
              <w:top w:w="0" w:type="dxa"/>
              <w:left w:w="0" w:type="dxa"/>
              <w:bottom w:w="0" w:type="dxa"/>
              <w:right w:w="0" w:type="dxa"/>
            </w:tcMar>
          </w:tcPr>
          <w:p w14:paraId="2412CA2E"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1,7%</w:t>
            </w:r>
            <w:r w:rsidRPr="004C7E05">
              <w:rPr>
                <w:rFonts w:ascii="Times New Roman" w:eastAsia="Arial" w:hAnsi="Times New Roman" w:cs="Times New Roman"/>
                <w:color w:val="000000"/>
                <w:sz w:val="14"/>
                <w:szCs w:val="14"/>
              </w:rPr>
              <w:br/>
              <w:t>(30,0)</w:t>
            </w:r>
          </w:p>
        </w:tc>
        <w:tc>
          <w:tcPr>
            <w:tcW w:w="1063" w:type="pct"/>
            <w:tcBorders>
              <w:left w:val="single" w:sz="4" w:space="0" w:color="auto"/>
              <w:right w:val="single" w:sz="12" w:space="0" w:color="auto"/>
            </w:tcBorders>
            <w:shd w:val="clear" w:color="auto" w:fill="FFFFFF"/>
            <w:tcMar>
              <w:top w:w="0" w:type="dxa"/>
              <w:left w:w="0" w:type="dxa"/>
              <w:bottom w:w="0" w:type="dxa"/>
              <w:right w:w="0" w:type="dxa"/>
            </w:tcMar>
          </w:tcPr>
          <w:p w14:paraId="7FE31D40"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4C7E05">
              <w:rPr>
                <w:rFonts w:ascii="Times New Roman" w:eastAsia="Arial" w:hAnsi="Times New Roman" w:cs="Times New Roman"/>
                <w:color w:val="000000"/>
                <w:sz w:val="14"/>
                <w:szCs w:val="14"/>
              </w:rPr>
              <w:t>3,6%</w:t>
            </w:r>
            <w:r w:rsidRPr="004C7E05">
              <w:rPr>
                <w:rFonts w:ascii="Times New Roman" w:eastAsia="Arial" w:hAnsi="Times New Roman" w:cs="Times New Roman"/>
                <w:color w:val="000000"/>
                <w:sz w:val="14"/>
                <w:szCs w:val="14"/>
              </w:rPr>
              <w:br/>
              <w:t>(6,0)</w:t>
            </w:r>
          </w:p>
        </w:tc>
      </w:tr>
      <w:tr w:rsidR="00E2476B" w:rsidRPr="004C7E05" w14:paraId="1063C411" w14:textId="77777777" w:rsidTr="0018419C">
        <w:trPr>
          <w:jc w:val="center"/>
        </w:trPr>
        <w:tc>
          <w:tcPr>
            <w:tcW w:w="0" w:type="auto"/>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044A018C"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bCs/>
                <w:i/>
                <w:iCs/>
                <w:color w:val="000000"/>
                <w:sz w:val="14"/>
                <w:szCs w:val="14"/>
              </w:rPr>
            </w:pPr>
            <w:r w:rsidRPr="004C7E05">
              <w:rPr>
                <w:rFonts w:ascii="Times New Roman" w:eastAsia="Arial" w:hAnsi="Times New Roman" w:cs="Times New Roman"/>
                <w:bCs/>
                <w:i/>
                <w:iCs/>
                <w:color w:val="000000"/>
                <w:sz w:val="14"/>
                <w:szCs w:val="14"/>
              </w:rPr>
              <w:lastRenderedPageBreak/>
              <w:t>P-valeur</w:t>
            </w:r>
          </w:p>
        </w:tc>
        <w:tc>
          <w:tcPr>
            <w:tcW w:w="2126" w:type="pct"/>
            <w:gridSpan w:val="2"/>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2629FD2D"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&lt;0,001</w:t>
            </w:r>
          </w:p>
        </w:tc>
        <w:tc>
          <w:tcPr>
            <w:tcW w:w="2126" w:type="pct"/>
            <w:gridSpan w:val="2"/>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33E26C5C" w14:textId="77777777" w:rsidR="00E2476B" w:rsidRPr="004C7E05"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4C7E05">
              <w:rPr>
                <w:rFonts w:ascii="Times New Roman" w:eastAsia="Arial" w:hAnsi="Times New Roman" w:cs="Times New Roman"/>
                <w:i/>
                <w:iCs/>
                <w:color w:val="000000"/>
                <w:sz w:val="14"/>
                <w:szCs w:val="14"/>
              </w:rPr>
              <w:t>0,12</w:t>
            </w:r>
          </w:p>
        </w:tc>
      </w:tr>
      <w:tr w:rsidR="00E2476B" w:rsidRPr="004C7E05" w14:paraId="34A3379D" w14:textId="77777777" w:rsidTr="0018419C">
        <w:trPr>
          <w:jc w:val="center"/>
        </w:trPr>
        <w:tc>
          <w:tcPr>
            <w:tcW w:w="5000" w:type="pct"/>
            <w:gridSpan w:val="5"/>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tcPr>
          <w:p w14:paraId="5E656DF5"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entre parenthèses.</w:t>
            </w:r>
          </w:p>
          <w:p w14:paraId="7438292A"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 xml:space="preserve">Test </w:t>
            </w:r>
            <w:r>
              <w:rPr>
                <w:rFonts w:ascii="Times New Roman" w:eastAsia="Arial" w:hAnsi="Times New Roman" w:cs="Times New Roman"/>
                <w:color w:val="000000"/>
                <w:sz w:val="14"/>
                <w:szCs w:val="14"/>
              </w:rPr>
              <w:t>de Fisher</w:t>
            </w:r>
            <w:r w:rsidRPr="00F23351">
              <w:rPr>
                <w:rFonts w:ascii="Times New Roman" w:eastAsia="Arial" w:hAnsi="Times New Roman" w:cs="Times New Roman"/>
                <w:color w:val="000000"/>
                <w:sz w:val="14"/>
                <w:szCs w:val="14"/>
              </w:rPr>
              <w:t>.</w:t>
            </w:r>
          </w:p>
          <w:p w14:paraId="2990364E"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w:t>
            </w:r>
            <w:r>
              <w:rPr>
                <w:rFonts w:ascii="Times New Roman" w:eastAsia="Arial" w:hAnsi="Times New Roman" w:cs="Times New Roman"/>
                <w:color w:val="000000"/>
                <w:sz w:val="14"/>
                <w:szCs w:val="14"/>
              </w:rPr>
              <w:t>∙</w:t>
            </w:r>
            <w:r w:rsidRPr="00F23351">
              <w:rPr>
                <w:rFonts w:ascii="Times New Roman" w:eastAsia="Arial" w:hAnsi="Times New Roman" w:cs="Times New Roman"/>
                <w:color w:val="000000"/>
                <w:sz w:val="14"/>
                <w:szCs w:val="14"/>
              </w:rPr>
              <w:t>es</w:t>
            </w:r>
            <w:r>
              <w:rPr>
                <w:rFonts w:ascii="Times New Roman" w:eastAsia="Arial" w:hAnsi="Times New Roman" w:cs="Times New Roman"/>
                <w:color w:val="000000"/>
                <w:sz w:val="14"/>
                <w:szCs w:val="14"/>
              </w:rPr>
              <w:t xml:space="preserve"> </w:t>
            </w:r>
            <w:proofErr w:type="spellStart"/>
            <w:r>
              <w:rPr>
                <w:rFonts w:ascii="Times New Roman" w:eastAsia="Arial" w:hAnsi="Times New Roman" w:cs="Times New Roman"/>
                <w:color w:val="000000"/>
                <w:sz w:val="14"/>
                <w:szCs w:val="14"/>
              </w:rPr>
              <w:t>bisexuel∙les</w:t>
            </w:r>
            <w:proofErr w:type="spellEnd"/>
            <w:r>
              <w:rPr>
                <w:rFonts w:ascii="Times New Roman" w:eastAsia="Arial" w:hAnsi="Times New Roman" w:cs="Times New Roman"/>
                <w:color w:val="000000"/>
                <w:sz w:val="14"/>
                <w:szCs w:val="14"/>
              </w:rPr>
              <w:t xml:space="preserve"> et homosexuel∙les</w:t>
            </w:r>
            <w:r w:rsidRPr="00F23351">
              <w:rPr>
                <w:rFonts w:ascii="Times New Roman" w:eastAsia="Arial" w:hAnsi="Times New Roman" w:cs="Times New Roman"/>
                <w:color w:val="000000"/>
                <w:sz w:val="14"/>
                <w:szCs w:val="14"/>
              </w:rPr>
              <w:t xml:space="preserve"> en couple dans les 12 mois </w:t>
            </w:r>
            <w:r>
              <w:rPr>
                <w:rFonts w:ascii="Times New Roman" w:eastAsia="Arial" w:hAnsi="Times New Roman" w:cs="Times New Roman"/>
                <w:color w:val="000000"/>
                <w:sz w:val="14"/>
                <w:szCs w:val="14"/>
              </w:rPr>
              <w:t>précédant</w:t>
            </w:r>
            <w:r w:rsidRPr="00F23351">
              <w:rPr>
                <w:rFonts w:ascii="Times New Roman" w:eastAsia="Arial" w:hAnsi="Times New Roman" w:cs="Times New Roman"/>
                <w:color w:val="000000"/>
                <w:sz w:val="14"/>
                <w:szCs w:val="14"/>
              </w:rPr>
              <w:t xml:space="preserve"> l'enquête Virage</w:t>
            </w:r>
            <w:r>
              <w:rPr>
                <w:rFonts w:ascii="Times New Roman" w:eastAsia="Arial" w:hAnsi="Times New Roman" w:cs="Times New Roman"/>
                <w:color w:val="000000"/>
                <w:sz w:val="14"/>
                <w:szCs w:val="14"/>
              </w:rPr>
              <w:t xml:space="preserv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w:t>
            </w:r>
            <w:r w:rsidRPr="00F23351">
              <w:rPr>
                <w:rFonts w:ascii="Times New Roman" w:eastAsia="Arial" w:hAnsi="Times New Roman" w:cs="Times New Roman"/>
                <w:color w:val="000000"/>
                <w:sz w:val="14"/>
                <w:szCs w:val="14"/>
              </w:rPr>
              <w:t>.</w:t>
            </w:r>
          </w:p>
          <w:p w14:paraId="1C802687"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54,7</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homosexuelles en couple dans </w:t>
            </w:r>
            <w:r w:rsidRPr="00F23351">
              <w:rPr>
                <w:rFonts w:ascii="Times New Roman" w:eastAsia="Arial" w:hAnsi="Times New Roman" w:cs="Times New Roman"/>
                <w:color w:val="000000"/>
                <w:sz w:val="14"/>
                <w:szCs w:val="14"/>
              </w:rPr>
              <w:t xml:space="preserve">l'enquête Virage </w:t>
            </w:r>
            <w:r>
              <w:rPr>
                <w:rFonts w:ascii="Times New Roman" w:eastAsia="Arial" w:hAnsi="Times New Roman" w:cs="Times New Roman"/>
                <w:color w:val="000000"/>
                <w:sz w:val="14"/>
                <w:szCs w:val="14"/>
              </w:rPr>
              <w:t xml:space="preserve">LGBT </w:t>
            </w:r>
            <w:r w:rsidRPr="00F23351">
              <w:rPr>
                <w:rFonts w:ascii="Times New Roman" w:eastAsia="Arial" w:hAnsi="Times New Roman" w:cs="Times New Roman"/>
                <w:color w:val="000000"/>
                <w:sz w:val="14"/>
                <w:szCs w:val="14"/>
              </w:rPr>
              <w:t xml:space="preserve">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dans le couple dans les 12 mois précédent l'enquête</w:t>
            </w:r>
            <w:r>
              <w:rPr>
                <w:rFonts w:ascii="Times New Roman" w:eastAsia="Arial" w:hAnsi="Times New Roman" w:cs="Times New Roman"/>
                <w:color w:val="000000"/>
                <w:sz w:val="14"/>
                <w:szCs w:val="14"/>
              </w:rPr>
              <w:t xml:space="preserve">. </w:t>
            </w:r>
          </w:p>
          <w:p w14:paraId="7B52DADD" w14:textId="77777777" w:rsidR="00E2476B" w:rsidRPr="00241B0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w:t>
            </w:r>
            <w:r>
              <w:rPr>
                <w:rFonts w:ascii="Times New Roman" w:eastAsia="Arial" w:hAnsi="Times New Roman" w:cs="Times New Roman"/>
                <w:color w:val="000000"/>
                <w:sz w:val="14"/>
                <w:szCs w:val="14"/>
              </w:rPr>
              <w:t>LGBT</w:t>
            </w:r>
            <w:r w:rsidRPr="00F23351">
              <w:rPr>
                <w:rFonts w:ascii="Times New Roman" w:eastAsia="Arial" w:hAnsi="Times New Roman" w:cs="Times New Roman"/>
                <w:color w:val="000000"/>
                <w:sz w:val="14"/>
                <w:szCs w:val="14"/>
              </w:rPr>
              <w:t>, Ined, 2015</w:t>
            </w:r>
            <w:r>
              <w:rPr>
                <w:rFonts w:ascii="Times New Roman" w:eastAsia="Arial" w:hAnsi="Times New Roman" w:cs="Times New Roman"/>
                <w:color w:val="000000"/>
                <w:sz w:val="14"/>
                <w:szCs w:val="14"/>
              </w:rPr>
              <w:t>-2016</w:t>
            </w:r>
            <w:r w:rsidRPr="00F23351">
              <w:rPr>
                <w:rFonts w:ascii="Times New Roman" w:eastAsia="Arial" w:hAnsi="Times New Roman" w:cs="Times New Roman"/>
                <w:color w:val="000000"/>
                <w:sz w:val="14"/>
                <w:szCs w:val="14"/>
              </w:rPr>
              <w:t>.</w:t>
            </w:r>
          </w:p>
        </w:tc>
      </w:tr>
    </w:tbl>
    <w:p w14:paraId="74994817" w14:textId="77777777" w:rsidR="00E2476B" w:rsidRDefault="00E2476B" w:rsidP="00E2476B">
      <w:pPr>
        <w:pStyle w:val="NormalWeb"/>
        <w:spacing w:line="360" w:lineRule="auto"/>
        <w:jc w:val="both"/>
      </w:pPr>
      <w:r>
        <w:t xml:space="preserve">Dans l’échantillon LGBT, les femmes bisexuelles déclarent plus de violences psychologiques que les lesbiennes (60,7 % contre 54,7 %, p = 0,026) et, plus nettement encore, plus de violence sexuelle (3,9 % contre 0,9 %, p &lt; 0,001). La violence physique, en revanche, ne présente pas d'écart significatif entre bisexuelles et lesbiennes, ni chez les femmes ni chez les hommes — un résultat cohérent avec les travaux de </w:t>
      </w:r>
      <w:proofErr w:type="spellStart"/>
      <w:r>
        <w:t>Lejbowicz</w:t>
      </w:r>
      <w:proofErr w:type="spellEnd"/>
      <w:r>
        <w:t xml:space="preserve"> selon lesquels les violences déclarées par les lesbiennes et bisexuelles sont moins souvent physiques que celles déclarées par les hétérosexuelles. Ici, les résultats entre bisexuelles et lesbiennes au cours des douze derniers mois sont sûrement le reflet de la proportion de femmes bisexuelles en couple avec un homme. La stigmatisation liée à la bisexualité peut aussi expliquer des taux de victimation plus élevés, nous y reviendrons dans l’étude de quelques cas. Chez les hommes, si les bisexuels déclarent plus de violence des trois types que les hommes gays, aucun résultat n’est significatif. </w:t>
      </w:r>
    </w:p>
    <w:p w14:paraId="376F9431" w14:textId="77777777" w:rsidR="00E2476B" w:rsidRDefault="00E2476B" w:rsidP="00E2476B">
      <w:pPr>
        <w:pStyle w:val="NormalWeb"/>
        <w:spacing w:line="360" w:lineRule="auto"/>
        <w:jc w:val="both"/>
      </w:pPr>
      <w:r>
        <w:t xml:space="preserve">Le résultat obtenu sur l'indicateur agrégé psychologique invite à regarder quels actes précis composent cet écart. Nous avons construit un graphique comparant, item par item, la proportion de femmes bisexuelles et homosexuelles ayant déclaré chaque forme de violence psychologique au cours des douze derniers mois. Onze items composent les violences psychologiques auxquels nous avons ajouté les quatre items de violence économique. </w:t>
      </w:r>
    </w:p>
    <w:p w14:paraId="4E94DCC3" w14:textId="77777777" w:rsidR="00E2476B" w:rsidRPr="00241B01" w:rsidRDefault="00E2476B" w:rsidP="00E2476B">
      <w:r>
        <w:t>Figure 11 : Faits de violence psychologique et économiques déclarés</w:t>
      </w:r>
      <w:r w:rsidRPr="005D5189">
        <w:t xml:space="preserve"> </w:t>
      </w:r>
      <w:r>
        <w:t>au cours</w:t>
      </w:r>
      <w:r w:rsidRPr="005D5189">
        <w:t xml:space="preserve"> </w:t>
      </w:r>
      <w:r>
        <w:t>d</w:t>
      </w:r>
      <w:r w:rsidRPr="005D5189">
        <w:t>es 12 derniers mois</w:t>
      </w:r>
      <w:r>
        <w:t xml:space="preserve"> (Virage LGBT). </w:t>
      </w:r>
    </w:p>
    <w:p w14:paraId="3FE61130" w14:textId="77777777" w:rsidR="00E2476B" w:rsidRDefault="00E2476B" w:rsidP="00E2476B"/>
    <w:p w14:paraId="782E2AF0" w14:textId="77777777" w:rsidR="00E2476B" w:rsidRDefault="00E2476B" w:rsidP="00E2476B">
      <w:r>
        <w:rPr>
          <w:noProof/>
        </w:rPr>
        <w:lastRenderedPageBreak/>
        <w:drawing>
          <wp:inline distT="0" distB="0" distL="0" distR="0" wp14:anchorId="3BB4BAB0" wp14:editId="1F6AD1D9">
            <wp:extent cx="5310401" cy="5310401"/>
            <wp:effectExtent l="19050" t="19050" r="24130" b="2413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18450" cy="5318450"/>
                    </a:xfrm>
                    <a:prstGeom prst="rect">
                      <a:avLst/>
                    </a:prstGeom>
                    <a:ln w="3175">
                      <a:solidFill>
                        <a:schemeClr val="bg2"/>
                      </a:solidFill>
                    </a:ln>
                  </pic:spPr>
                </pic:pic>
              </a:graphicData>
            </a:graphic>
          </wp:inline>
        </w:drawing>
      </w:r>
    </w:p>
    <w:p w14:paraId="1E32247D" w14:textId="77777777" w:rsidR="00E2476B" w:rsidRDefault="00E2476B" w:rsidP="00E2476B">
      <w:pPr>
        <w:pStyle w:val="Standard"/>
        <w:spacing w:before="40" w:after="40"/>
        <w:ind w:left="102" w:right="102"/>
      </w:pPr>
      <w:r>
        <w:rPr>
          <w:rFonts w:ascii="Times New Roman" w:eastAsia="Arial" w:hAnsi="Times New Roman" w:cs="Times New Roman"/>
          <w:color w:val="000000"/>
          <w:sz w:val="16"/>
          <w:szCs w:val="16"/>
        </w:rPr>
        <w:t xml:space="preserve">Test de Fisher : </w:t>
      </w:r>
      <w:r w:rsidRPr="001E010F">
        <w:rPr>
          <w:rFonts w:ascii="Times New Roman" w:eastAsia="Arial" w:hAnsi="Times New Roman" w:cs="Times New Roman"/>
          <w:color w:val="000000"/>
          <w:sz w:val="16"/>
          <w:szCs w:val="16"/>
        </w:rPr>
        <w:t>*p-valeur &lt; .05 ; **p &lt; .01</w:t>
      </w:r>
    </w:p>
    <w:p w14:paraId="04AE8716"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Champ </w:t>
      </w:r>
      <w:r>
        <w:rPr>
          <w:rFonts w:ascii="Times New Roman" w:eastAsia="Arial" w:hAnsi="Times New Roman" w:cs="Times New Roman"/>
          <w:color w:val="000000"/>
          <w:sz w:val="16"/>
          <w:szCs w:val="16"/>
        </w:rPr>
        <w:t>: Répondantes en couple dans les douze mois précédant l’enquête Virage LGBT, âgées de 20 à 69 ans.</w:t>
      </w:r>
    </w:p>
    <w:p w14:paraId="368108E5"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Lecture</w:t>
      </w:r>
      <w:r>
        <w:rPr>
          <w:rFonts w:ascii="Times New Roman" w:eastAsia="Arial" w:hAnsi="Times New Roman" w:cs="Times New Roman"/>
          <w:color w:val="000000"/>
          <w:sz w:val="16"/>
          <w:szCs w:val="16"/>
        </w:rPr>
        <w:t xml:space="preserve"> : Parmi les femmes en couple dans les douze mois précédant l’enquête, les </w:t>
      </w:r>
      <w:proofErr w:type="spellStart"/>
      <w:r>
        <w:rPr>
          <w:rFonts w:ascii="Times New Roman" w:eastAsia="Arial" w:hAnsi="Times New Roman" w:cs="Times New Roman"/>
          <w:color w:val="000000"/>
          <w:sz w:val="16"/>
          <w:szCs w:val="16"/>
        </w:rPr>
        <w:t>bies</w:t>
      </w:r>
      <w:proofErr w:type="spellEnd"/>
      <w:r>
        <w:rPr>
          <w:rFonts w:ascii="Times New Roman" w:eastAsia="Arial" w:hAnsi="Times New Roman" w:cs="Times New Roman"/>
          <w:color w:val="000000"/>
          <w:sz w:val="16"/>
          <w:szCs w:val="16"/>
        </w:rPr>
        <w:t xml:space="preserve"> déclarent plus que leur partenaire a méprisé ou n’a pas pris en compte leur opinion que les lesbiennes. </w:t>
      </w:r>
    </w:p>
    <w:p w14:paraId="0F3F11FC" w14:textId="77777777" w:rsidR="00E2476B" w:rsidRDefault="00E2476B" w:rsidP="00E2476B">
      <w:pPr>
        <w:pStyle w:val="Standard"/>
        <w:spacing w:after="40"/>
        <w:ind w:left="102" w:right="102"/>
      </w:pPr>
      <w:r>
        <w:rPr>
          <w:rFonts w:ascii="Times New Roman" w:eastAsia="Arial" w:hAnsi="Times New Roman" w:cs="Times New Roman"/>
          <w:b/>
          <w:bCs/>
          <w:color w:val="000000"/>
          <w:sz w:val="16"/>
          <w:szCs w:val="16"/>
        </w:rPr>
        <w:t xml:space="preserve">Source : </w:t>
      </w:r>
      <w:r>
        <w:rPr>
          <w:rFonts w:ascii="Times New Roman" w:eastAsia="Arial" w:hAnsi="Times New Roman" w:cs="Times New Roman"/>
          <w:color w:val="000000"/>
          <w:sz w:val="16"/>
          <w:szCs w:val="16"/>
        </w:rPr>
        <w:t>Enquête Virage LGBT, Ined, 2015-2016.</w:t>
      </w:r>
    </w:p>
    <w:p w14:paraId="01A1AD65" w14:textId="77777777" w:rsidR="00E2476B" w:rsidRDefault="00E2476B" w:rsidP="00E2476B">
      <w:pPr>
        <w:pStyle w:val="NormalWeb"/>
        <w:spacing w:line="360" w:lineRule="auto"/>
        <w:jc w:val="both"/>
      </w:pPr>
      <w:r>
        <w:t xml:space="preserve">Sur les seize items observés, deux se distinguent significativement : le mépris des opinions (p &lt; 0,01) et la contrainte à payer l'ensemble des dépenses quotidiennes du couple (p &lt; 0,05), tous deux plus fréquemment déclarés par les bisexuelles que par les homosexuelles. </w:t>
      </w:r>
    </w:p>
    <w:p w14:paraId="32859BB0" w14:textId="77777777" w:rsidR="00E2476B" w:rsidRDefault="00E2476B" w:rsidP="00E2476B">
      <w:pPr>
        <w:pStyle w:val="Titre4"/>
      </w:pPr>
      <w:r>
        <w:lastRenderedPageBreak/>
        <w:t xml:space="preserve">L’effet du genre du partenaire </w:t>
      </w:r>
    </w:p>
    <w:p w14:paraId="4AB277EB" w14:textId="77777777" w:rsidR="00E2476B" w:rsidRDefault="00E2476B" w:rsidP="00E2476B">
      <w:pPr>
        <w:pStyle w:val="NormalWeb"/>
        <w:spacing w:line="360" w:lineRule="auto"/>
        <w:jc w:val="both"/>
      </w:pPr>
      <w:r>
        <w:t xml:space="preserve">Pour comprendre plus finement d'où provient cet écart, nous avons repris la question posée en filigrane tout au long du Chapitre II : cet écart est-il structuré par le fait d’être en couple avec un homme ? </w:t>
      </w:r>
    </w:p>
    <w:p w14:paraId="3BAF5491" w14:textId="77777777" w:rsidR="00E2476B" w:rsidRPr="00241B01" w:rsidRDefault="00E2476B" w:rsidP="00E2476B">
      <w:r>
        <w:t xml:space="preserve">Table 15 : Déclaration de faits de violences psychologiques selon le type de couple.  </w:t>
      </w:r>
    </w:p>
    <w:tbl>
      <w:tblPr>
        <w:tblW w:w="5000" w:type="pct"/>
        <w:jc w:val="center"/>
        <w:tblLook w:val="0420" w:firstRow="1" w:lastRow="0" w:firstColumn="0" w:lastColumn="0" w:noHBand="0" w:noVBand="1"/>
      </w:tblPr>
      <w:tblGrid>
        <w:gridCol w:w="1552"/>
        <w:gridCol w:w="2349"/>
        <w:gridCol w:w="2349"/>
        <w:gridCol w:w="2353"/>
        <w:gridCol w:w="771"/>
      </w:tblGrid>
      <w:tr w:rsidR="00E2476B" w14:paraId="388F3687" w14:textId="77777777" w:rsidTr="0018419C">
        <w:trPr>
          <w:tblHeader/>
          <w:jc w:val="center"/>
        </w:trPr>
        <w:tc>
          <w:tcPr>
            <w:tcW w:w="828" w:type="pct"/>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504C06E8"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p>
        </w:tc>
        <w:tc>
          <w:tcPr>
            <w:tcW w:w="3761" w:type="pct"/>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FB1D005"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
                <w:color w:val="000000"/>
                <w:sz w:val="14"/>
                <w:szCs w:val="14"/>
              </w:rPr>
            </w:pPr>
            <w:r>
              <w:rPr>
                <w:rFonts w:ascii="Arial" w:eastAsia="Arial" w:hAnsi="Arial" w:cs="Arial"/>
                <w:b/>
                <w:color w:val="000000"/>
                <w:sz w:val="14"/>
                <w:szCs w:val="14"/>
              </w:rPr>
              <w:t>Virage LGBT — Femmes</w:t>
            </w:r>
          </w:p>
        </w:tc>
        <w:tc>
          <w:tcPr>
            <w:tcW w:w="411" w:type="pct"/>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33860C36"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
                <w:color w:val="000000"/>
                <w:sz w:val="14"/>
                <w:szCs w:val="14"/>
              </w:rPr>
            </w:pPr>
          </w:p>
        </w:tc>
      </w:tr>
      <w:tr w:rsidR="00E2476B" w14:paraId="7BBBF967" w14:textId="77777777" w:rsidTr="0018419C">
        <w:trPr>
          <w:tblHeader/>
          <w:jc w:val="center"/>
        </w:trPr>
        <w:tc>
          <w:tcPr>
            <w:tcW w:w="828" w:type="pct"/>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692BBABF"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Arial" w:eastAsia="Arial" w:hAnsi="Arial" w:cs="Arial"/>
                <w:color w:val="000000"/>
                <w:sz w:val="14"/>
                <w:szCs w:val="14"/>
              </w:rPr>
            </w:pPr>
          </w:p>
        </w:tc>
        <w:tc>
          <w:tcPr>
            <w:tcW w:w="125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A82C32"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 en couple de même sexe</w:t>
            </w:r>
            <w:r>
              <w:rPr>
                <w:rFonts w:ascii="Arial" w:eastAsia="Arial" w:hAnsi="Arial" w:cs="Arial"/>
                <w:color w:val="000000"/>
                <w:sz w:val="14"/>
                <w:szCs w:val="14"/>
              </w:rPr>
              <w:br/>
              <w:t>(249)</w:t>
            </w:r>
            <w:r>
              <w:rPr>
                <w:rFonts w:ascii="Arial" w:eastAsia="Arial" w:hAnsi="Arial" w:cs="Arial"/>
                <w:color w:val="000000"/>
                <w:sz w:val="14"/>
                <w:szCs w:val="14"/>
                <w:vertAlign w:val="superscript"/>
              </w:rPr>
              <w:t>1</w:t>
            </w:r>
          </w:p>
        </w:tc>
        <w:tc>
          <w:tcPr>
            <w:tcW w:w="1253"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7B448D7"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Bi en couple de sexe différent</w:t>
            </w:r>
            <w:r>
              <w:rPr>
                <w:rFonts w:ascii="Arial" w:eastAsia="Arial" w:hAnsi="Arial" w:cs="Arial"/>
                <w:color w:val="000000"/>
                <w:sz w:val="14"/>
                <w:szCs w:val="14"/>
              </w:rPr>
              <w:br/>
              <w:t>(189)</w:t>
            </w:r>
            <w:r>
              <w:rPr>
                <w:rFonts w:ascii="Arial" w:eastAsia="Arial" w:hAnsi="Arial" w:cs="Arial"/>
                <w:color w:val="000000"/>
                <w:sz w:val="14"/>
                <w:szCs w:val="14"/>
                <w:vertAlign w:val="superscript"/>
              </w:rPr>
              <w:t>1</w:t>
            </w:r>
          </w:p>
        </w:tc>
        <w:tc>
          <w:tcPr>
            <w:tcW w:w="1255" w:type="pct"/>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5B2F4D"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color w:val="000000"/>
                <w:sz w:val="14"/>
                <w:szCs w:val="14"/>
              </w:rPr>
            </w:pPr>
            <w:r>
              <w:rPr>
                <w:rFonts w:ascii="Arial" w:eastAsia="Arial" w:hAnsi="Arial" w:cs="Arial"/>
                <w:b/>
                <w:color w:val="000000"/>
                <w:sz w:val="14"/>
                <w:szCs w:val="14"/>
              </w:rPr>
              <w:t>Homo en couple</w:t>
            </w:r>
            <w:r>
              <w:rPr>
                <w:rFonts w:ascii="Arial" w:eastAsia="Arial" w:hAnsi="Arial" w:cs="Arial"/>
                <w:color w:val="000000"/>
                <w:sz w:val="14"/>
                <w:szCs w:val="14"/>
              </w:rPr>
              <w:br/>
              <w:t>(1 737)</w:t>
            </w:r>
            <w:r>
              <w:rPr>
                <w:rFonts w:ascii="Arial" w:eastAsia="Arial" w:hAnsi="Arial" w:cs="Arial"/>
                <w:color w:val="000000"/>
                <w:sz w:val="14"/>
                <w:szCs w:val="14"/>
                <w:vertAlign w:val="superscript"/>
              </w:rPr>
              <w:t>1</w:t>
            </w:r>
          </w:p>
        </w:tc>
        <w:tc>
          <w:tcPr>
            <w:tcW w:w="411" w:type="pct"/>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47329CF3" w14:textId="77777777" w:rsidR="00E2476B" w:rsidRPr="00081294"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Arial" w:eastAsia="Arial" w:hAnsi="Arial" w:cs="Arial"/>
                <w:bCs/>
                <w:i/>
                <w:iCs/>
                <w:color w:val="000000"/>
                <w:sz w:val="14"/>
                <w:szCs w:val="14"/>
              </w:rPr>
            </w:pPr>
            <w:r w:rsidRPr="00081294">
              <w:rPr>
                <w:rFonts w:ascii="Arial" w:eastAsia="Arial" w:hAnsi="Arial" w:cs="Arial"/>
                <w:bCs/>
                <w:i/>
                <w:iCs/>
                <w:color w:val="000000"/>
                <w:sz w:val="14"/>
                <w:szCs w:val="14"/>
              </w:rPr>
              <w:t>P-valeur</w:t>
            </w:r>
            <w:r w:rsidRPr="00081294">
              <w:rPr>
                <w:rFonts w:ascii="Arial" w:eastAsia="Arial" w:hAnsi="Arial" w:cs="Arial"/>
                <w:bCs/>
                <w:i/>
                <w:iCs/>
                <w:color w:val="000000"/>
                <w:sz w:val="14"/>
                <w:szCs w:val="14"/>
                <w:vertAlign w:val="superscript"/>
              </w:rPr>
              <w:t>2</w:t>
            </w:r>
          </w:p>
        </w:tc>
      </w:tr>
      <w:tr w:rsidR="00E2476B" w14:paraId="4A7CAD02" w14:textId="77777777" w:rsidTr="0018419C">
        <w:trPr>
          <w:jc w:val="center"/>
        </w:trPr>
        <w:tc>
          <w:tcPr>
            <w:tcW w:w="828" w:type="pct"/>
            <w:tcBorders>
              <w:top w:val="single" w:sz="8" w:space="0" w:color="000000"/>
              <w:left w:val="single" w:sz="12" w:space="0" w:color="auto"/>
              <w:right w:val="single" w:sz="4" w:space="0" w:color="auto"/>
            </w:tcBorders>
            <w:shd w:val="clear" w:color="auto" w:fill="FFFFFF"/>
            <w:tcMar>
              <w:top w:w="0" w:type="dxa"/>
              <w:left w:w="0" w:type="dxa"/>
              <w:bottom w:w="0" w:type="dxa"/>
              <w:right w:w="0" w:type="dxa"/>
            </w:tcMar>
          </w:tcPr>
          <w:p w14:paraId="755BF088" w14:textId="77777777" w:rsidR="00E2476B" w:rsidRPr="00081294"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Cs/>
                <w:i/>
                <w:iCs/>
                <w:color w:val="000000"/>
                <w:sz w:val="14"/>
                <w:szCs w:val="14"/>
              </w:rPr>
            </w:pPr>
            <w:r w:rsidRPr="00081294">
              <w:rPr>
                <w:rFonts w:ascii="Arial" w:eastAsia="Arial" w:hAnsi="Arial" w:cs="Arial"/>
                <w:bCs/>
                <w:i/>
                <w:iCs/>
                <w:color w:val="000000"/>
                <w:sz w:val="14"/>
                <w:szCs w:val="14"/>
              </w:rPr>
              <w:t>Mépris des opinions</w:t>
            </w:r>
          </w:p>
        </w:tc>
        <w:tc>
          <w:tcPr>
            <w:tcW w:w="1253"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63278505" w14:textId="77777777" w:rsidR="00E2476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11,5%</w:t>
            </w:r>
            <w:r>
              <w:rPr>
                <w:rFonts w:ascii="Arial" w:eastAsia="Arial" w:hAnsi="Arial" w:cs="Arial"/>
                <w:color w:val="000000"/>
                <w:sz w:val="14"/>
                <w:szCs w:val="14"/>
              </w:rPr>
              <w:br/>
              <w:t>(28,0)</w:t>
            </w:r>
          </w:p>
        </w:tc>
        <w:tc>
          <w:tcPr>
            <w:tcW w:w="1253"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7E26F524" w14:textId="77777777" w:rsidR="00E2476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29,7%</w:t>
            </w:r>
            <w:r>
              <w:rPr>
                <w:rFonts w:ascii="Arial" w:eastAsia="Arial" w:hAnsi="Arial" w:cs="Arial"/>
                <w:color w:val="000000"/>
                <w:sz w:val="14"/>
                <w:szCs w:val="14"/>
              </w:rPr>
              <w:br/>
              <w:t>(54,0)</w:t>
            </w:r>
          </w:p>
        </w:tc>
        <w:tc>
          <w:tcPr>
            <w:tcW w:w="1255" w:type="pct"/>
            <w:tcBorders>
              <w:top w:val="single" w:sz="8" w:space="0" w:color="000000"/>
              <w:left w:val="single" w:sz="4" w:space="0" w:color="auto"/>
              <w:right w:val="single" w:sz="4" w:space="0" w:color="auto"/>
            </w:tcBorders>
            <w:shd w:val="clear" w:color="auto" w:fill="FFFFFF"/>
            <w:tcMar>
              <w:top w:w="0" w:type="dxa"/>
              <w:left w:w="0" w:type="dxa"/>
              <w:bottom w:w="0" w:type="dxa"/>
              <w:right w:w="0" w:type="dxa"/>
            </w:tcMar>
          </w:tcPr>
          <w:p w14:paraId="37976E99" w14:textId="77777777" w:rsidR="00E2476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12,9%</w:t>
            </w:r>
            <w:r>
              <w:rPr>
                <w:rFonts w:ascii="Arial" w:eastAsia="Arial" w:hAnsi="Arial" w:cs="Arial"/>
                <w:color w:val="000000"/>
                <w:sz w:val="14"/>
                <w:szCs w:val="14"/>
              </w:rPr>
              <w:br/>
              <w:t>(222,0)</w:t>
            </w:r>
          </w:p>
        </w:tc>
        <w:tc>
          <w:tcPr>
            <w:tcW w:w="411" w:type="pct"/>
            <w:tcBorders>
              <w:top w:val="single" w:sz="8" w:space="0" w:color="000000"/>
              <w:left w:val="single" w:sz="4" w:space="0" w:color="auto"/>
              <w:bottom w:val="none" w:sz="0" w:space="0" w:color="000000"/>
              <w:right w:val="single" w:sz="12" w:space="0" w:color="auto"/>
            </w:tcBorders>
            <w:shd w:val="clear" w:color="auto" w:fill="FFFFFF"/>
            <w:tcMar>
              <w:top w:w="0" w:type="dxa"/>
              <w:left w:w="0" w:type="dxa"/>
              <w:bottom w:w="0" w:type="dxa"/>
              <w:right w:w="0" w:type="dxa"/>
            </w:tcMar>
          </w:tcPr>
          <w:p w14:paraId="477ABB9F" w14:textId="77777777" w:rsidR="00E2476B" w:rsidRPr="000812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14"/>
                <w:szCs w:val="14"/>
              </w:rPr>
            </w:pPr>
            <w:r w:rsidRPr="00081294">
              <w:rPr>
                <w:rFonts w:ascii="Arial" w:eastAsia="Arial" w:hAnsi="Arial" w:cs="Arial"/>
                <w:i/>
                <w:iCs/>
                <w:color w:val="000000"/>
                <w:sz w:val="14"/>
                <w:szCs w:val="14"/>
              </w:rPr>
              <w:t>&lt;0,001</w:t>
            </w:r>
          </w:p>
        </w:tc>
      </w:tr>
      <w:tr w:rsidR="00E2476B" w14:paraId="11B5A154" w14:textId="77777777" w:rsidTr="0018419C">
        <w:trPr>
          <w:jc w:val="center"/>
        </w:trPr>
        <w:tc>
          <w:tcPr>
            <w:tcW w:w="828" w:type="pct"/>
            <w:tcBorders>
              <w:left w:val="single" w:sz="12" w:space="0" w:color="auto"/>
              <w:bottom w:val="single" w:sz="8" w:space="0" w:color="000000"/>
              <w:right w:val="single" w:sz="4" w:space="0" w:color="auto"/>
            </w:tcBorders>
            <w:shd w:val="clear" w:color="auto" w:fill="FFFFFF"/>
            <w:tcMar>
              <w:top w:w="0" w:type="dxa"/>
              <w:left w:w="0" w:type="dxa"/>
              <w:bottom w:w="0" w:type="dxa"/>
              <w:right w:w="0" w:type="dxa"/>
            </w:tcMar>
          </w:tcPr>
          <w:p w14:paraId="2C06154C" w14:textId="77777777" w:rsidR="00E2476B" w:rsidRPr="00081294"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Cs/>
                <w:i/>
                <w:iCs/>
                <w:color w:val="000000"/>
                <w:sz w:val="14"/>
                <w:szCs w:val="14"/>
              </w:rPr>
            </w:pPr>
            <w:r w:rsidRPr="00081294">
              <w:rPr>
                <w:rFonts w:ascii="Arial" w:eastAsia="Arial" w:hAnsi="Arial" w:cs="Arial"/>
                <w:bCs/>
                <w:i/>
                <w:iCs/>
                <w:color w:val="000000"/>
                <w:sz w:val="14"/>
                <w:szCs w:val="14"/>
              </w:rPr>
              <w:t>Contrainte à payer toutes les dépenses</w:t>
            </w:r>
          </w:p>
        </w:tc>
        <w:tc>
          <w:tcPr>
            <w:tcW w:w="1253"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006BC9D9" w14:textId="77777777" w:rsidR="00E2476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1,8%</w:t>
            </w:r>
            <w:r>
              <w:rPr>
                <w:rFonts w:ascii="Arial" w:eastAsia="Arial" w:hAnsi="Arial" w:cs="Arial"/>
                <w:color w:val="000000"/>
                <w:sz w:val="14"/>
                <w:szCs w:val="14"/>
              </w:rPr>
              <w:br/>
              <w:t>(4,0)</w:t>
            </w:r>
          </w:p>
        </w:tc>
        <w:tc>
          <w:tcPr>
            <w:tcW w:w="1253"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422B3704" w14:textId="77777777" w:rsidR="00E2476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4,3%</w:t>
            </w:r>
            <w:r>
              <w:rPr>
                <w:rFonts w:ascii="Arial" w:eastAsia="Arial" w:hAnsi="Arial" w:cs="Arial"/>
                <w:color w:val="000000"/>
                <w:sz w:val="14"/>
                <w:szCs w:val="14"/>
              </w:rPr>
              <w:br/>
              <w:t>(7,0)</w:t>
            </w:r>
          </w:p>
        </w:tc>
        <w:tc>
          <w:tcPr>
            <w:tcW w:w="1255"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0EEA5C3D" w14:textId="77777777" w:rsidR="00E2476B"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4"/>
                <w:szCs w:val="14"/>
              </w:rPr>
            </w:pPr>
            <w:r>
              <w:rPr>
                <w:rFonts w:ascii="Arial" w:eastAsia="Arial" w:hAnsi="Arial" w:cs="Arial"/>
                <w:color w:val="000000"/>
                <w:sz w:val="14"/>
                <w:szCs w:val="14"/>
              </w:rPr>
              <w:t>1,0%</w:t>
            </w:r>
            <w:r>
              <w:rPr>
                <w:rFonts w:ascii="Arial" w:eastAsia="Arial" w:hAnsi="Arial" w:cs="Arial"/>
                <w:color w:val="000000"/>
                <w:sz w:val="14"/>
                <w:szCs w:val="14"/>
              </w:rPr>
              <w:br/>
              <w:t>(16,0)</w:t>
            </w:r>
          </w:p>
        </w:tc>
        <w:tc>
          <w:tcPr>
            <w:tcW w:w="411" w:type="pct"/>
            <w:tcBorders>
              <w:top w:val="none" w:sz="0" w:space="0" w:color="000000"/>
              <w:left w:val="single" w:sz="4" w:space="0" w:color="auto"/>
              <w:bottom w:val="single" w:sz="8" w:space="0" w:color="000000"/>
              <w:right w:val="single" w:sz="12" w:space="0" w:color="auto"/>
            </w:tcBorders>
            <w:shd w:val="clear" w:color="auto" w:fill="FFFFFF"/>
            <w:tcMar>
              <w:top w:w="0" w:type="dxa"/>
              <w:left w:w="0" w:type="dxa"/>
              <w:bottom w:w="0" w:type="dxa"/>
              <w:right w:w="0" w:type="dxa"/>
            </w:tcMar>
          </w:tcPr>
          <w:p w14:paraId="4FE14F8D" w14:textId="77777777" w:rsidR="00E2476B" w:rsidRPr="000812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i/>
                <w:iCs/>
                <w:color w:val="000000"/>
                <w:sz w:val="14"/>
                <w:szCs w:val="14"/>
              </w:rPr>
            </w:pPr>
            <w:r w:rsidRPr="00081294">
              <w:rPr>
                <w:rFonts w:ascii="Arial" w:eastAsia="Arial" w:hAnsi="Arial" w:cs="Arial"/>
                <w:i/>
                <w:iCs/>
                <w:color w:val="000000"/>
                <w:sz w:val="14"/>
                <w:szCs w:val="14"/>
              </w:rPr>
              <w:t>0,005</w:t>
            </w:r>
          </w:p>
        </w:tc>
      </w:tr>
      <w:tr w:rsidR="00E2476B" w14:paraId="79D2BDC0" w14:textId="77777777" w:rsidTr="0018419C">
        <w:trPr>
          <w:trHeight w:val="1361"/>
          <w:jc w:val="center"/>
        </w:trPr>
        <w:tc>
          <w:tcPr>
            <w:tcW w:w="5000" w:type="pct"/>
            <w:gridSpan w:val="5"/>
            <w:tcBorders>
              <w:top w:val="single" w:sz="8" w:space="0" w:color="000000"/>
              <w:left w:val="single" w:sz="12" w:space="0" w:color="auto"/>
              <w:bottom w:val="single" w:sz="12" w:space="0" w:color="auto"/>
              <w:right w:val="single" w:sz="12" w:space="0" w:color="auto"/>
            </w:tcBorders>
            <w:shd w:val="clear" w:color="auto" w:fill="FFFFFF"/>
            <w:tcMar>
              <w:top w:w="0" w:type="dxa"/>
              <w:left w:w="0" w:type="dxa"/>
              <w:bottom w:w="0" w:type="dxa"/>
              <w:right w:w="0" w:type="dxa"/>
            </w:tcMar>
            <w:vAlign w:val="center"/>
          </w:tcPr>
          <w:p w14:paraId="7FFAC377"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entre parenthèses.</w:t>
            </w:r>
          </w:p>
          <w:p w14:paraId="5229B606"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 xml:space="preserve">Test </w:t>
            </w:r>
            <w:r>
              <w:rPr>
                <w:rFonts w:ascii="Times New Roman" w:eastAsia="Arial" w:hAnsi="Times New Roman" w:cs="Times New Roman"/>
                <w:color w:val="000000"/>
                <w:sz w:val="14"/>
                <w:szCs w:val="14"/>
              </w:rPr>
              <w:t>de Fisher</w:t>
            </w:r>
            <w:r w:rsidRPr="00F23351">
              <w:rPr>
                <w:rFonts w:ascii="Times New Roman" w:eastAsia="Arial" w:hAnsi="Times New Roman" w:cs="Times New Roman"/>
                <w:color w:val="000000"/>
                <w:sz w:val="14"/>
                <w:szCs w:val="14"/>
              </w:rPr>
              <w:t>.</w:t>
            </w:r>
          </w:p>
          <w:p w14:paraId="2538DF85"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homosexuelles</w:t>
            </w:r>
            <w:r w:rsidRPr="00F23351">
              <w:rPr>
                <w:rFonts w:ascii="Times New Roman" w:eastAsia="Arial" w:hAnsi="Times New Roman" w:cs="Times New Roman"/>
                <w:color w:val="000000"/>
                <w:sz w:val="14"/>
                <w:szCs w:val="14"/>
              </w:rPr>
              <w:t xml:space="preserve"> en couple dans les 12 mois </w:t>
            </w:r>
            <w:r>
              <w:rPr>
                <w:rFonts w:ascii="Times New Roman" w:eastAsia="Arial" w:hAnsi="Times New Roman" w:cs="Times New Roman"/>
                <w:color w:val="000000"/>
                <w:sz w:val="14"/>
                <w:szCs w:val="14"/>
              </w:rPr>
              <w:t>précédant</w:t>
            </w:r>
            <w:r w:rsidRPr="00F23351">
              <w:rPr>
                <w:rFonts w:ascii="Times New Roman" w:eastAsia="Arial" w:hAnsi="Times New Roman" w:cs="Times New Roman"/>
                <w:color w:val="000000"/>
                <w:sz w:val="14"/>
                <w:szCs w:val="14"/>
              </w:rPr>
              <w:t xml:space="preserve"> l'enquête Virage</w:t>
            </w:r>
            <w:r>
              <w:rPr>
                <w:rFonts w:ascii="Times New Roman" w:eastAsia="Arial" w:hAnsi="Times New Roman" w:cs="Times New Roman"/>
                <w:color w:val="000000"/>
                <w:sz w:val="14"/>
                <w:szCs w:val="14"/>
              </w:rPr>
              <w:t xml:space="preserve"> LGBT, âgées de 20 à 69 ans</w:t>
            </w:r>
            <w:r w:rsidRPr="00F23351">
              <w:rPr>
                <w:rFonts w:ascii="Times New Roman" w:eastAsia="Arial" w:hAnsi="Times New Roman" w:cs="Times New Roman"/>
                <w:color w:val="000000"/>
                <w:sz w:val="14"/>
                <w:szCs w:val="14"/>
              </w:rPr>
              <w:t>.</w:t>
            </w:r>
          </w:p>
          <w:p w14:paraId="11E3B4E8"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11,5</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bisexuelles en couple de même sexe dans </w:t>
            </w:r>
            <w:r w:rsidRPr="00F23351">
              <w:rPr>
                <w:rFonts w:ascii="Times New Roman" w:eastAsia="Arial" w:hAnsi="Times New Roman" w:cs="Times New Roman"/>
                <w:color w:val="000000"/>
                <w:sz w:val="14"/>
                <w:szCs w:val="14"/>
              </w:rPr>
              <w:t xml:space="preserve">l'enquête Virage </w:t>
            </w:r>
            <w:r>
              <w:rPr>
                <w:rFonts w:ascii="Times New Roman" w:eastAsia="Arial" w:hAnsi="Times New Roman" w:cs="Times New Roman"/>
                <w:color w:val="000000"/>
                <w:sz w:val="14"/>
                <w:szCs w:val="14"/>
              </w:rPr>
              <w:t xml:space="preserve">LGBT </w:t>
            </w:r>
            <w:r w:rsidRPr="00F23351">
              <w:rPr>
                <w:rFonts w:ascii="Times New Roman" w:eastAsia="Arial" w:hAnsi="Times New Roman" w:cs="Times New Roman"/>
                <w:color w:val="000000"/>
                <w:sz w:val="14"/>
                <w:szCs w:val="14"/>
              </w:rPr>
              <w:t xml:space="preserve">déclarent </w:t>
            </w:r>
            <w:r>
              <w:rPr>
                <w:rFonts w:ascii="Times New Roman" w:eastAsia="Arial" w:hAnsi="Times New Roman" w:cs="Times New Roman"/>
                <w:color w:val="000000"/>
                <w:sz w:val="14"/>
                <w:szCs w:val="14"/>
              </w:rPr>
              <w:t xml:space="preserve">au moins un fait de mépris des opinions </w:t>
            </w:r>
            <w:r w:rsidRPr="00F23351">
              <w:rPr>
                <w:rFonts w:ascii="Times New Roman" w:eastAsia="Arial" w:hAnsi="Times New Roman" w:cs="Times New Roman"/>
                <w:color w:val="000000"/>
                <w:sz w:val="14"/>
                <w:szCs w:val="14"/>
              </w:rPr>
              <w:t>dans les 12 mois précédent l'enquête</w:t>
            </w:r>
            <w:r>
              <w:rPr>
                <w:rFonts w:ascii="Times New Roman" w:eastAsia="Arial" w:hAnsi="Times New Roman" w:cs="Times New Roman"/>
                <w:color w:val="000000"/>
                <w:sz w:val="14"/>
                <w:szCs w:val="14"/>
              </w:rPr>
              <w:t xml:space="preserve">. </w:t>
            </w:r>
          </w:p>
          <w:p w14:paraId="679FD59C" w14:textId="77777777" w:rsidR="00E2476B"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w:t>
            </w:r>
            <w:r>
              <w:rPr>
                <w:rFonts w:ascii="Times New Roman" w:eastAsia="Arial" w:hAnsi="Times New Roman" w:cs="Times New Roman"/>
                <w:color w:val="000000"/>
                <w:sz w:val="14"/>
                <w:szCs w:val="14"/>
              </w:rPr>
              <w:t>LGBT</w:t>
            </w:r>
            <w:r w:rsidRPr="00F23351">
              <w:rPr>
                <w:rFonts w:ascii="Times New Roman" w:eastAsia="Arial" w:hAnsi="Times New Roman" w:cs="Times New Roman"/>
                <w:color w:val="000000"/>
                <w:sz w:val="14"/>
                <w:szCs w:val="14"/>
              </w:rPr>
              <w:t>, Ined, 2015</w:t>
            </w:r>
            <w:r>
              <w:rPr>
                <w:rFonts w:ascii="Times New Roman" w:eastAsia="Arial" w:hAnsi="Times New Roman" w:cs="Times New Roman"/>
                <w:color w:val="000000"/>
                <w:sz w:val="14"/>
                <w:szCs w:val="14"/>
              </w:rPr>
              <w:t>-2016</w:t>
            </w:r>
            <w:r w:rsidRPr="00F23351">
              <w:rPr>
                <w:rFonts w:ascii="Times New Roman" w:eastAsia="Arial" w:hAnsi="Times New Roman" w:cs="Times New Roman"/>
                <w:color w:val="000000"/>
                <w:sz w:val="14"/>
                <w:szCs w:val="14"/>
              </w:rPr>
              <w:t>.</w:t>
            </w:r>
          </w:p>
        </w:tc>
      </w:tr>
    </w:tbl>
    <w:p w14:paraId="24C66729" w14:textId="77777777" w:rsidR="00E2476B" w:rsidRPr="004C7E05" w:rsidRDefault="00E2476B" w:rsidP="00E2476B">
      <w:pPr>
        <w:rPr>
          <w:rFonts w:ascii="Times New Roman" w:hAnsi="Times New Roman" w:cs="Times New Roman"/>
          <w:sz w:val="14"/>
          <w:szCs w:val="14"/>
        </w:rPr>
      </w:pPr>
    </w:p>
    <w:p w14:paraId="6A7065D6" w14:textId="77777777" w:rsidR="00E2476B" w:rsidRPr="00FB64D9" w:rsidRDefault="00E2476B" w:rsidP="00E2476B">
      <w:pPr>
        <w:spacing w:line="360" w:lineRule="auto"/>
        <w:jc w:val="both"/>
        <w:rPr>
          <w:rFonts w:ascii="Times New Roman" w:hAnsi="Times New Roman" w:cs="Times New Roman"/>
        </w:rPr>
      </w:pPr>
      <w:r w:rsidRPr="00FB64D9">
        <w:rPr>
          <w:rFonts w:ascii="Times New Roman" w:hAnsi="Times New Roman" w:cs="Times New Roman"/>
        </w:rPr>
        <w:t xml:space="preserve">La réponse est nette. Une fois les femmes bisexuelles distinguées selon le type de couple, l'écart avec les homosexuelles se concentre presque intégralement chez celles en couple de sexe différent : 29,7 % d'entre elles déclarent le mépris de leurs opinions par leur partenaire, contre 12,9 % des homosexuelles en couple et 11,5 % des bisexuelles en couple de même sexe — un taux quasiment identique à celui des homosexuelles. Le même schéma se retrouve, à moindre échelle, sur la contrainte à payer les dépenses (4,3 % contre 1,0 % et 1,8 %). Ce résultat prolonge directement celui du Chapitre II sur la vulnérabilité conjugale spécifique des bisexuelles en couple avec un homme, observée sur la satisfaction conjugale, le sentiment amoureux, l'intention de rupture et la dépression : il montre qu'elle s'étend également à la déclaration de violence psychologique. </w:t>
      </w:r>
    </w:p>
    <w:p w14:paraId="74FFA9B1" w14:textId="77777777" w:rsidR="00E2476B" w:rsidRPr="00FB64D9" w:rsidRDefault="00E2476B" w:rsidP="00E2476B">
      <w:pPr>
        <w:pStyle w:val="NormalWeb"/>
        <w:spacing w:line="360" w:lineRule="auto"/>
        <w:jc w:val="both"/>
      </w:pPr>
      <w:r w:rsidRPr="00FB64D9">
        <w:t xml:space="preserve">Afin de vérifier que ce résultat ne reflète pas simplement un effet plus général de la configuration de genre du couple — les couples hétérosexuels connaîtraient-ils, en population générale, davantage ce type de violence que les couples de femmes, indépendamment de l'orientation sexuelle ? </w:t>
      </w:r>
      <w:r>
        <w:t>N</w:t>
      </w:r>
      <w:r w:rsidRPr="00FB64D9">
        <w:t xml:space="preserve">ous avons reproduit la même comparaison au sein de l'échantillon Virage PG, en isolant les femmes bisexuelles des hétérosexuelles et en les répartissant selon le type de couple. Le résultat écarte cette hypothèse alternative : parmi les hétérosexuelles en couple avec un homme, seules 5,3 % déclarent du mépris de leurs opinions — un taux proche de celui des bisexuelles en couple de </w:t>
      </w:r>
      <w:r w:rsidRPr="00FB64D9">
        <w:lastRenderedPageBreak/>
        <w:t>même sexe (5,6 %) et très inférieur à celui des bisexuelles en couple avec un homme (16,3 %). Autrement dit, ce n'est pas la présence d'un partenaire homme en tant que telle qui élève le risque déclaré de ce type de violence — les hétérosexuelles n'y sont pas plus exposées que la moyenne — mais bien la conjonction spécifique d'une identification bisexuelle et d'une relation avec un homme. Ce résultat, obtenu sur des effectifs faibles des deux côtés et donc à interpréter avec prudence, va dans le sens d'une spécificité propre à la situation conjugale des femmes bisexuelles en couple hétéro-apparent, plutôt que d'un simple artefact de la présence masculine dans le couple.</w:t>
      </w:r>
    </w:p>
    <w:p w14:paraId="0F1DDB2C" w14:textId="77777777" w:rsidR="00E2476B" w:rsidRDefault="00E2476B" w:rsidP="00E2476B">
      <w:pPr>
        <w:pStyle w:val="NormalWeb"/>
        <w:spacing w:line="360" w:lineRule="auto"/>
        <w:jc w:val="both"/>
      </w:pPr>
      <w:r w:rsidRPr="00FB64D9">
        <w:t>Cette convergence entre les deux enquêtes — sur des échantillons, des méthodes de recrutement et des effectifs très différents — renforce la lecture avancée au Chapitre II : le couple hétéro-apparent semble constituer, pour les femmes bisexuelles, un contexte de vulnérabilité spécifique, potentiellement lié à l'invisibilisation de la bisexualité dans ce cadre et à une moindre légitimation de cette identité comme grille de lecture des tensions conjugales, plutôt qu'à un simple effet mécanique du genre du partenaire</w:t>
      </w:r>
      <w:r>
        <w:t xml:space="preserve">. </w:t>
      </w:r>
    </w:p>
    <w:p w14:paraId="076DE1CF" w14:textId="77777777" w:rsidR="00E2476B" w:rsidRDefault="00E2476B" w:rsidP="00E2476B">
      <w:pPr>
        <w:pStyle w:val="NormalWeb"/>
        <w:spacing w:line="360" w:lineRule="auto"/>
        <w:jc w:val="both"/>
      </w:pPr>
      <w:r>
        <w:t xml:space="preserve">Parmi les quatorze bisexuelles déclarant des violences psychologiques en population générale, douze sont en couple ou ont été en couple dans l’année avec un homme et deux sont en couple actuellement avec une femme. Ces deux bisexuelles en couple de même sexe déclarent uniquement des items de violence psychologiques isolés, jamais couplé à de la violence physique ou sexuelle, et sur un seul item à chaque fois : a cessé de parler ou refusé de discuter et non prise en compte des opinions. Aucune conséquence n’est déclarée en termes de dépression, anxiété, peur ou isolement. Une des deux est séparée de sa partenaire et en relation avec un nouveau partenaire depuis un mois au moment de l’enquête. On se rapproche ici plutôt de formes de violences conjugales situationnelles. On va le voir en observant les </w:t>
      </w:r>
      <w:proofErr w:type="spellStart"/>
      <w:r>
        <w:t>bies</w:t>
      </w:r>
      <w:proofErr w:type="spellEnd"/>
      <w:r>
        <w:t xml:space="preserve"> déclarantes de violences psychologiques en couple avec un homme, elles cumulent toutes aux moins deux items et plus d’une occurrence, certaines déclarent également de la violence physique ou sexuelle. </w:t>
      </w:r>
    </w:p>
    <w:p w14:paraId="1D7C65DE" w14:textId="77777777" w:rsidR="00E2476B" w:rsidRDefault="00E2476B" w:rsidP="00E2476B">
      <w:pPr>
        <w:pStyle w:val="NormalWeb"/>
        <w:spacing w:line="360" w:lineRule="auto"/>
        <w:jc w:val="both"/>
      </w:pPr>
      <w:r>
        <w:t xml:space="preserve">Malgré des effectifs plus importants dans la base LGBT, l’analyse statistique de la gravité perçue et des conséquences ne sont pas significatives. Pour prolonger l'analyse, nous nous basons sur les quatorze cas de violence psychologique identifiés en population générale et procédons à une lecture individu par individu, croisant les dimensions socio-démographiques, conjugales, de parcours sexuel, de santé et le détail des faits déclarés. Cette démarche ne vise pas à produire des statistiques </w:t>
      </w:r>
      <w:r>
        <w:lastRenderedPageBreak/>
        <w:t xml:space="preserve">supplémentaires — l'effectif de quatorze personnes reste par construction non généralisable — mais à dépasser le seul constat agrégé pour interroger les mécanismes susceptibles d'expliquer la </w:t>
      </w:r>
      <w:proofErr w:type="spellStart"/>
      <w:r>
        <w:t>surdéclaration</w:t>
      </w:r>
      <w:proofErr w:type="spellEnd"/>
      <w:r>
        <w:t xml:space="preserve"> observée. Cette analyse permet d’observer d’autres indicateurs, comme la gravité déclarée des faits, les conséquences et les contextes de survenue, nécessaires pour comprendre le niveau de contrôle. De plus nous pouvons étudier les liens avec la bisexualité dans chaque profil. </w:t>
      </w:r>
    </w:p>
    <w:p w14:paraId="485CBACF" w14:textId="77777777" w:rsidR="00E2476B" w:rsidRDefault="00E2476B" w:rsidP="00E2476B">
      <w:pPr>
        <w:pStyle w:val="Titre4"/>
      </w:pPr>
      <w:r>
        <w:t xml:space="preserve">Un effet de l’âge dans la gravité et la déclaration des violences </w:t>
      </w:r>
    </w:p>
    <w:p w14:paraId="287763C7" w14:textId="77777777" w:rsidR="00E2476B" w:rsidRDefault="00E2476B" w:rsidP="00E2476B">
      <w:pPr>
        <w:pStyle w:val="NormalWeb"/>
        <w:spacing w:line="360" w:lineRule="auto"/>
        <w:jc w:val="both"/>
      </w:pPr>
      <w:r>
        <w:t>La littérature sur la déclaration des violences souligne classiquement des effets de génération et d’âge dans la propension à nommer et rapporter des faits comme violents (</w:t>
      </w:r>
      <w:proofErr w:type="spellStart"/>
      <w:r>
        <w:t>Bajos</w:t>
      </w:r>
      <w:proofErr w:type="spellEnd"/>
      <w:r>
        <w:t xml:space="preserve">, Bozon 2008). On l’a vu dans le premier chapitre, les bisexuelles de Virage sont plus jeunes que les autres groupes. Ici, la présence dans la tranche 20 – 29 ans est quasi identique à celle de l’échantillon bisexuel complet. On observe toutefois une quasi-absence des femmes de 50 ans et plus et une surreprésentation marquée de la tranche 30 – 39 ans. Cette absence des femmes bisexuelles de 50 ans et plus se retrouve dans la littérature examinée par </w:t>
      </w:r>
      <w:proofErr w:type="spellStart"/>
      <w:r>
        <w:t>Bermea</w:t>
      </w:r>
      <w:proofErr w:type="spellEnd"/>
      <w:r>
        <w:t xml:space="preserve"> et al. Pourtant les recherches en </w:t>
      </w:r>
      <w:r w:rsidRPr="008B142A">
        <w:t>santé indiquent que les personnes âgées queer présentent une vulnérabilité accrue aux facteurs prédictifs de la victimisation et de la perpétration de violences conjugales</w:t>
      </w:r>
      <w:r>
        <w:t xml:space="preserve">. </w:t>
      </w:r>
      <w:r w:rsidRPr="008B142A">
        <w:t>Cette génération a été confrontée à une discrimination institutionnalisée accrue et a par conséquent signalé des taux plus élevés d’homophobie intériorisé</w:t>
      </w:r>
      <w:r>
        <w:t>e</w:t>
      </w:r>
      <w:r w:rsidRPr="008B142A">
        <w:t xml:space="preserve">. Ainsi, </w:t>
      </w:r>
      <w:r>
        <w:t xml:space="preserve">elles </w:t>
      </w:r>
      <w:r w:rsidRPr="008B142A">
        <w:t>peuvent être réticentes à solliciter des soins de santé, ce qui se traduit par des occasions manquées de rechercher, de se faire dépister et de recevoir de l’aide en cas de violence conjugale</w:t>
      </w:r>
      <w:r>
        <w:t xml:space="preserve">. </w:t>
      </w:r>
    </w:p>
    <w:p w14:paraId="073B9533" w14:textId="77777777" w:rsidR="00E2476B" w:rsidRDefault="00E2476B" w:rsidP="00E2476B">
      <w:pPr>
        <w:pStyle w:val="NormalWeb"/>
        <w:spacing w:line="360" w:lineRule="auto"/>
        <w:jc w:val="both"/>
      </w:pPr>
      <w:r>
        <w:t xml:space="preserve">On observe une spécificité chez les enquêtées les plus jeunes, ce sont celles qui déclarent les cas de contrôle conjugal les plus intenses, cohérent avec les recherches qui montrent un surrisque chez les femmes jeunes et avec les résultats sur l’ensemble de l’échantillon en population générale (Brown et al. 2020). Trois femmes, âgées de 21 à 25 ans, sans enfant, présentent l'indice de sévérité de violence psychologique le plus élevé de l'ensemble du groupe (« atteintes très graves »). Le profil de violence qu'elles décrivent n'est pas celui d'un fait isolé mais d'un faisceau d'actes récurrents et cumulés : exigences répétées, parfois quotidiennes, de rendre compte de ses faits et gestes, lecture du courrier ou des messages sans accord, confiscation d'objets personnels, remarques dévalorisantes sur l'apparence. Cette configuration, où plusieurs registres de contrôle coexistent et se répètent dans le temps, s'apparente aux formes de contrôle coercitif documentées dans la littérature sur les violences conjugales (Stark 2007 ; </w:t>
      </w:r>
      <w:proofErr w:type="spellStart"/>
      <w:r>
        <w:t>Myhill</w:t>
      </w:r>
      <w:proofErr w:type="spellEnd"/>
      <w:r>
        <w:t xml:space="preserve"> 2015 ; </w:t>
      </w:r>
      <w:proofErr w:type="spellStart"/>
      <w:r>
        <w:t>Hanmer</w:t>
      </w:r>
      <w:proofErr w:type="spellEnd"/>
      <w:r>
        <w:t xml:space="preserve"> 1977). </w:t>
      </w:r>
    </w:p>
    <w:p w14:paraId="13D77915" w14:textId="77777777" w:rsidR="00E2476B" w:rsidRDefault="00E2476B" w:rsidP="00E2476B">
      <w:pPr>
        <w:pStyle w:val="NormalWeb"/>
        <w:spacing w:line="360" w:lineRule="auto"/>
        <w:jc w:val="both"/>
      </w:pPr>
      <w:r>
        <w:lastRenderedPageBreak/>
        <w:t xml:space="preserve">L'une de ces trois femmes cumule également des violences physiques plusieurs fois par semaine et déclare une dépression ou de l’anxiété ainsi qu'une tentative de suicide. Le fait le plus marquant déclaré est celui du reproche de parler à d’autres personnes. </w:t>
      </w:r>
      <w:r>
        <w:rPr>
          <w:color w:val="000000"/>
        </w:rPr>
        <w:t>Dans les cas de violences conjugales ce n'est pas forcément les violences physiques qui sont considérées comme plus graves, mais parfois les violences psychologiques.</w:t>
      </w:r>
      <w:r>
        <w:t xml:space="preserve"> Elle déclare une altération du contact avec les proches, un sentiment de peur/angoisse donc un profil d’isolement relationnel croissant cohérent avec le contrôle coercitif. Elle déclare 15 partenaires au cours de la vie, hommes et femmes, avec un premier rapport consenti à 19 ans et un rapport non consenti à 10 ans. On a ici un profil de poly-victimation qui s’échelonne dans le temps puisque les violences commencent dans l’enfance. Ces observations font écho à la </w:t>
      </w:r>
      <w:proofErr w:type="spellStart"/>
      <w:r>
        <w:t>surdéclaration</w:t>
      </w:r>
      <w:proofErr w:type="spellEnd"/>
      <w:r>
        <w:t xml:space="preserve"> des violences familiales par les </w:t>
      </w:r>
      <w:proofErr w:type="spellStart"/>
      <w:r>
        <w:t>enquêté∙es</w:t>
      </w:r>
      <w:proofErr w:type="spellEnd"/>
      <w:r>
        <w:t xml:space="preserve"> LGBT dans Virage (Trachman, </w:t>
      </w:r>
      <w:proofErr w:type="spellStart"/>
      <w:r>
        <w:t>Lejbowicz</w:t>
      </w:r>
      <w:proofErr w:type="spellEnd"/>
      <w:r>
        <w:t xml:space="preserve"> 2020). Une autre enquêtée de ce groupe rapporte un conflit sur sa bisexualité. On retrouve certains des facteurs de risques identifiés par la littérature anglophone : détresse psychologique, expériences de discrimination (</w:t>
      </w:r>
      <w:proofErr w:type="spellStart"/>
      <w:r>
        <w:t>Bermea</w:t>
      </w:r>
      <w:proofErr w:type="spellEnd"/>
      <w:r>
        <w:t xml:space="preserve"> et al. 2018) mais aussi l’exposition antérieure aux violences. </w:t>
      </w:r>
    </w:p>
    <w:p w14:paraId="4C4CCCE8" w14:textId="77777777" w:rsidR="00E2476B" w:rsidRDefault="00E2476B" w:rsidP="00E2476B">
      <w:pPr>
        <w:pStyle w:val="Titre4"/>
      </w:pPr>
      <w:r>
        <w:t xml:space="preserve">La place du stigmate bisexuel dans l’exposition aux violences </w:t>
      </w:r>
    </w:p>
    <w:p w14:paraId="395DB58D" w14:textId="77777777" w:rsidR="00E2476B" w:rsidRDefault="00E2476B" w:rsidP="00E2476B">
      <w:pPr>
        <w:pStyle w:val="NormalWeb"/>
        <w:spacing w:line="360" w:lineRule="auto"/>
        <w:jc w:val="both"/>
      </w:pPr>
      <w:r>
        <w:t xml:space="preserve">Parmi les douze femmes actuellement en couple, onze déclarent que leur </w:t>
      </w:r>
      <w:proofErr w:type="spellStart"/>
      <w:r>
        <w:t>conjoint·e</w:t>
      </w:r>
      <w:proofErr w:type="spellEnd"/>
      <w:r>
        <w:t xml:space="preserve"> connaît leur bisexualité et l'accepte « totalement » ou « plutôt », tant au moment de l'annonce qu'au moment de l'enquête. Deux d'entre elles rapportent un conflit occasionnel avec leur </w:t>
      </w:r>
      <w:proofErr w:type="spellStart"/>
      <w:r>
        <w:t>conjoint·e</w:t>
      </w:r>
      <w:proofErr w:type="spellEnd"/>
      <w:r>
        <w:t xml:space="preserve"> à ce sujet au cours des douze derniers mois, et aucune un conflit régulier. Ce résultat invite à nuancer une importation trop directe du cadre de la bi-négativité conjugale. </w:t>
      </w:r>
      <w:proofErr w:type="spellStart"/>
      <w:r>
        <w:t>Turell</w:t>
      </w:r>
      <w:proofErr w:type="spellEnd"/>
      <w:r>
        <w:t xml:space="preserve">, Brown et Herrmann (2018) identifient la bi-négativité du partenaire comme une des variables les plus significativement associées à la victimation dans leur échantillon de personnes bisexuelles étatsuniennes tandis que </w:t>
      </w:r>
      <w:proofErr w:type="spellStart"/>
      <w:r>
        <w:t>Flanders</w:t>
      </w:r>
      <w:proofErr w:type="spellEnd"/>
      <w:r>
        <w:t xml:space="preserve"> et al. (2019) montrent que le stigmate bisexuel explique en partie la sur déclaration de violence sexuelle et la coercition verbale chez les femmes </w:t>
      </w:r>
      <w:proofErr w:type="spellStart"/>
      <w:r>
        <w:t>plurisexuelles</w:t>
      </w:r>
      <w:proofErr w:type="spellEnd"/>
      <w:r>
        <w:t xml:space="preserve">. Dans nos cas, la violence subie ne semble pas prendre la forme d'attaques frontales sur l'identité bisexuelle des enquêtées. </w:t>
      </w:r>
    </w:p>
    <w:p w14:paraId="5B0AB0D2" w14:textId="77777777" w:rsidR="00E2476B" w:rsidRDefault="00E2476B" w:rsidP="00E2476B">
      <w:pPr>
        <w:pStyle w:val="NormalWeb"/>
        <w:spacing w:line="360" w:lineRule="auto"/>
        <w:jc w:val="both"/>
      </w:pPr>
      <w:r>
        <w:t xml:space="preserve">Cette déclaration d’acceptation de la bisexualité de la plupart des partenaires ne doit pas nous amener à conclure à une absence de l’identification sexuelle comme facteur de compréhension des expériences de violences. En effet, un instrument d'enquête qui interroge un conflit explicitement nommé comme portant sur l'orientation sexuelle peut sous-capter des formes de violence plus diffuses, où le contrôle et la dévalorisation ne se rattachent pas verbalement à la bisexualité de la </w:t>
      </w:r>
      <w:r>
        <w:lastRenderedPageBreak/>
        <w:t>victime mais plutôt à des stéréotypes associés à celle-ci. Encore faut-il que la victime puisse lire cette forme de violence comme possiblement liée à son identification. Par exemple, le stéréotype de l’hypersexualité et de l’infidélité des personnes bisexuelles (</w:t>
      </w:r>
      <w:proofErr w:type="spellStart"/>
      <w:r>
        <w:t>Klesse</w:t>
      </w:r>
      <w:proofErr w:type="spellEnd"/>
      <w:r>
        <w:t xml:space="preserve"> 2018) peut mener à des conflits et des violences comme le contrôle des sorties, le reproche de voir des </w:t>
      </w:r>
      <w:proofErr w:type="spellStart"/>
      <w:r>
        <w:t>ami∙es</w:t>
      </w:r>
      <w:proofErr w:type="spellEnd"/>
      <w:r>
        <w:t xml:space="preserve"> sans que cette violence puisse être directement liée à la bisexualité. </w:t>
      </w:r>
    </w:p>
    <w:p w14:paraId="442E56E2" w14:textId="77777777" w:rsidR="00E2476B" w:rsidRDefault="00E2476B" w:rsidP="00E2476B">
      <w:pPr>
        <w:pStyle w:val="NormalWeb"/>
        <w:spacing w:line="360" w:lineRule="auto"/>
        <w:jc w:val="both"/>
      </w:pPr>
      <w:r>
        <w:t xml:space="preserve">De plus, les deux enquêtées rapportant un conflit lié à la bisexualité sont celles de l’échantillon n’étant plus en couple au moment de l’enquête. La fin de la relation pouvant faciliter la reconnaissance et la déclaration à la fois de violences et de conflits spécifiquement liés à l’identification sexuelle. </w:t>
      </w:r>
    </w:p>
    <w:p w14:paraId="40C7F9D6" w14:textId="77777777" w:rsidR="00E2476B" w:rsidRDefault="00E2476B" w:rsidP="00E2476B">
      <w:pPr>
        <w:pStyle w:val="NormalWeb"/>
        <w:spacing w:line="360" w:lineRule="auto"/>
        <w:jc w:val="both"/>
      </w:pPr>
      <w:r>
        <w:t xml:space="preserve">Dans Virage LGBT, il est intéressant de noter que parmi celles déclarant des violences psychologiques se trouvent également l’intégralité des huit bisexuelles de l’échantillon qui déclarent que leur </w:t>
      </w:r>
      <w:proofErr w:type="spellStart"/>
      <w:r>
        <w:t>conjoint∙e</w:t>
      </w:r>
      <w:proofErr w:type="spellEnd"/>
      <w:r>
        <w:t xml:space="preserve"> n’est pas au courant de leur bisexualité. Le fait de cacher sa bisexualité à son partenaire semble être corrélé à de la violence psychologique dans le couple. </w:t>
      </w:r>
    </w:p>
    <w:p w14:paraId="52C8697F" w14:textId="77777777" w:rsidR="00E2476B" w:rsidRDefault="00E2476B" w:rsidP="00E2476B">
      <w:pPr>
        <w:pStyle w:val="Titre3"/>
      </w:pPr>
      <w:bookmarkStart w:id="90" w:name="_Toc238741954"/>
      <w:r>
        <w:t>Les facteurs de risques associés à la bisexualité</w:t>
      </w:r>
      <w:bookmarkEnd w:id="90"/>
      <w:r>
        <w:t xml:space="preserve"> </w:t>
      </w:r>
    </w:p>
    <w:p w14:paraId="6D841669" w14:textId="77777777" w:rsidR="00E2476B" w:rsidRDefault="00E2476B" w:rsidP="00E2476B">
      <w:pPr>
        <w:pStyle w:val="Titre4"/>
      </w:pPr>
      <w:r>
        <w:t xml:space="preserve">Des parcours sexuels précoces et la présence des violences dès l’enfance </w:t>
      </w:r>
    </w:p>
    <w:p w14:paraId="7F5C9BD9" w14:textId="77777777" w:rsidR="00E2476B" w:rsidRDefault="00E2476B" w:rsidP="00E2476B">
      <w:pPr>
        <w:pStyle w:val="NormalWeb"/>
        <w:spacing w:line="360" w:lineRule="auto"/>
        <w:jc w:val="both"/>
      </w:pPr>
      <w:r>
        <w:t xml:space="preserve">Deux femmes déclarent avoir subi des violences sévères au sein de leur famille avant l'âge de 18 ans, et ont des parcours sexuels atypiques. Une enquêtée coche plusieurs items du module sur les violences familiales : climat tendu ; hurlements, insultes ; coups, brutalités physiques ; enfermement, séquestration, mise à la porte et attouchements du sexe ou tentative de rapport sexuel forcé. Depuis elle déclare cent partenaires sexuels, hommes et femmes. Elle est en couple non cohabitant depuis six ans et avec des enfants d’une précédente union. Le seul fait de violence déclaré, répété, est celui de mépris ou non prise en compte des opinions ayant des répercussions sur un sentiment de colère, une sexualité durablement perturbée et une envie de changer les choses. Ici rien ne nous indique que les violences déclarées sont liées à la bisexualité. Elle déclare que sa mère l’a incitée à cacher sa bisexualité mais son conjoint actuel est au courant et l’accepte « plutôt ». Elle ne déclare pas de conflit lié à la bisexualité dans les 12 derniers mois. La déclaration d’une non prise en compte des opinions couplée à des conséquences déclarées sur la sexualité indiquent un lien à minima avec les pratiques sexuelles. </w:t>
      </w:r>
    </w:p>
    <w:p w14:paraId="1ED3CEA4" w14:textId="77777777" w:rsidR="00E2476B" w:rsidRDefault="00E2476B" w:rsidP="00E2476B">
      <w:pPr>
        <w:pStyle w:val="NormalWeb"/>
        <w:spacing w:line="360" w:lineRule="auto"/>
        <w:jc w:val="both"/>
      </w:pPr>
      <w:r>
        <w:lastRenderedPageBreak/>
        <w:t xml:space="preserve">L’autre enquêtée est en couple depuis seulement un an, non cohabitant, avec un homme de 27 ans son aîné (84 ans contre 57 ans). Elle a des enfants d’une précédente union et déclare douze partenaires au cours de la vie, hommes et femmes. Elle déclare des faits de dévalorisation, des remarques désagréables sur l’apparence, la non prise en compte des opinions, deux à cinq fois dans les douze derniers mois. Ces faits n’ont pas débouché sur une altération de la satisfaction conjugale, ni sur un partage à l’entourage. Elle déclare une consommation d’alcool du conjoint au moment des faits et de manière générale. Elle déclare aussi des pratiques sexuelles forcées dans l’enfance, des insultes, coups et brutalités physiques. </w:t>
      </w:r>
    </w:p>
    <w:p w14:paraId="3EAB3854" w14:textId="77777777" w:rsidR="00E2476B" w:rsidRDefault="00E2476B" w:rsidP="00E2476B">
      <w:pPr>
        <w:pStyle w:val="NormalWeb"/>
        <w:spacing w:line="360" w:lineRule="auto"/>
        <w:jc w:val="both"/>
      </w:pPr>
      <w:r>
        <w:t xml:space="preserve">En ce qui concerne les parcours sexuels et conjugaux, les femmes qui déclarent des violences sexuelles entrent plus précocement dans la sexualité, ont plus de partenaires </w:t>
      </w:r>
      <w:proofErr w:type="spellStart"/>
      <w:r>
        <w:t>sexuel∙le∙s</w:t>
      </w:r>
      <w:proofErr w:type="spellEnd"/>
      <w:r>
        <w:t xml:space="preserve"> et sont moins souvent en couple (</w:t>
      </w:r>
      <w:proofErr w:type="spellStart"/>
      <w:r>
        <w:t>Lejbowicz</w:t>
      </w:r>
      <w:proofErr w:type="spellEnd"/>
      <w:r>
        <w:t xml:space="preserve"> 2022). Si ces trois caractéristiques peuvent être à l’origine d’une plus forte exposition aux violences sexuelles, l’inverse est possible également : l’exposition à ces violences infléchirait des aspects des parcours sexuels et conjugaux. Les bisexuelles semblent se trouver à l’intersection de ces dynamiques de parcours sexuels et conjugaux : elles déclarent plus de partenaires </w:t>
      </w:r>
      <w:proofErr w:type="spellStart"/>
      <w:r>
        <w:t>sexuel∙les</w:t>
      </w:r>
      <w:proofErr w:type="spellEnd"/>
      <w:r>
        <w:t xml:space="preserve"> (Trachman, </w:t>
      </w:r>
      <w:proofErr w:type="spellStart"/>
      <w:r>
        <w:t>Lejbowicz</w:t>
      </w:r>
      <w:proofErr w:type="spellEnd"/>
      <w:r>
        <w:t xml:space="preserve"> 2020 ; </w:t>
      </w:r>
      <w:proofErr w:type="spellStart"/>
      <w:r>
        <w:t>Maillochon</w:t>
      </w:r>
      <w:proofErr w:type="spellEnd"/>
      <w:r>
        <w:t xml:space="preserve"> 2023), une entrée plus précoce dans la sexualité et sont moins souvent en couple que les hétérosexuelles. Ici, les violences observées et fortement déclarées par les bisexuelles sont les violences psychologiques, rendant moins effectif le lien avec les parcours sexuels et conjugaux. Toutefois ces parcours à distance de la norme hétérosexuel disent quelque chose de la capacité à reconnaître et déclarer les violences. </w:t>
      </w:r>
    </w:p>
    <w:p w14:paraId="499CC4AF" w14:textId="77777777" w:rsidR="00E2476B" w:rsidRDefault="00E2476B" w:rsidP="00E2476B">
      <w:pPr>
        <w:pStyle w:val="Titre4"/>
      </w:pPr>
      <w:r>
        <w:t xml:space="preserve">Vulnérabilité économique et contrôle coercitif </w:t>
      </w:r>
    </w:p>
    <w:p w14:paraId="1E324312" w14:textId="77777777" w:rsidR="00E2476B" w:rsidRPr="00FD43A6" w:rsidRDefault="00E2476B" w:rsidP="00E2476B">
      <w:pPr>
        <w:pStyle w:val="Textbody"/>
      </w:pPr>
      <w:r>
        <w:t xml:space="preserve">Nous avons mis en avant en chapitre I le fait que les bisexuelles sont 58,1% à déclarer un revenu inférieur à celui de leur conjoint et qu’elles sont 23,2% à déclarer un patrimoine inférieur contre 9,4% des hétérosexuelles. </w:t>
      </w:r>
      <w:r>
        <w:rPr>
          <w:color w:val="000000"/>
        </w:rPr>
        <w:t>Le</w:t>
      </w:r>
      <w:r w:rsidRPr="00636B40">
        <w:rPr>
          <w:color w:val="000000"/>
        </w:rPr>
        <w:t xml:space="preserve"> contrôle coercitif </w:t>
      </w:r>
      <w:r>
        <w:rPr>
          <w:color w:val="000000"/>
        </w:rPr>
        <w:t>peut</w:t>
      </w:r>
      <w:r w:rsidRPr="00636B40">
        <w:rPr>
          <w:color w:val="000000"/>
        </w:rPr>
        <w:t xml:space="preserve"> se mettre en place </w:t>
      </w:r>
      <w:r>
        <w:rPr>
          <w:color w:val="000000"/>
        </w:rPr>
        <w:t xml:space="preserve">du fait d’un </w:t>
      </w:r>
      <w:r w:rsidRPr="00636B40">
        <w:rPr>
          <w:color w:val="000000"/>
        </w:rPr>
        <w:t>ensemble d'inégalités préexist</w:t>
      </w:r>
      <w:r>
        <w:rPr>
          <w:color w:val="000000"/>
        </w:rPr>
        <w:t xml:space="preserve">antes : inégalités hommes-femmes, accès aux ressources, inégalités économiques, possibilités symboliques de recours à la force, double standard sexuel. Les violences ne se comprennent pas sans leur inscription dans les rapports de genre. Ainsi, les bisexuelles, moins souvent mariées, partageant moins le patrimoine du conjoint et avec des salaires inférieurs sont de fait dans une situation inégale vis-à-vis de leur conjoint. Si les violences ne s'expliquent pas par les appartenances de classe il y a des phénomènes de surexposition aux violences comme la vulnérabilité économique.  </w:t>
      </w:r>
    </w:p>
    <w:p w14:paraId="0943C6AF" w14:textId="77777777" w:rsidR="00E2476B" w:rsidRDefault="00E2476B" w:rsidP="00E2476B">
      <w:pPr>
        <w:pStyle w:val="Titre4"/>
      </w:pPr>
      <w:r>
        <w:lastRenderedPageBreak/>
        <w:t xml:space="preserve">La bisexualité comme facteur caché dans des cas de violences sans emprise </w:t>
      </w:r>
    </w:p>
    <w:p w14:paraId="0829E372" w14:textId="77777777" w:rsidR="00E2476B" w:rsidRDefault="00E2476B" w:rsidP="00E2476B">
      <w:pPr>
        <w:pStyle w:val="NormalWeb"/>
        <w:spacing w:line="360" w:lineRule="auto"/>
        <w:jc w:val="both"/>
      </w:pPr>
      <w:r>
        <w:t>Un groupe de femmes, en couple depuis une durée relativement longue (six à trente ans de vie commune), avec enfants, et dont le conjoint accepte « totalement » la bisexualité, déclare également des violences psychologiques, mais de fréquence nettement plus faible que le groupe des plus jeunes : les actes rapportés, bien que parfois multiples (dévalorisation, hurlements, contrôle du courrier, menace de suicide du conjoint), se limitent systématiquement à une occurrence isolée ou à quelques occurrences au cours de l'année, sans jamais atteindre la récurrence hebdomadaire ou quotidienne observée dans le premier groupe. Trois femmes sur quatre présentent par ailleurs un profil de consommation d'alcool de quatre fois par semaine ou plus, contrastant avec l'absence de ce facteur chez les plus jeunes. Deux d’entre elles déclarent également que le fait le plus marquant (dévalorisation/insultes aux enfants dans un cas et non prise en compte ou mépris des opinions dans l’autre) s’est produit lorsque le conjoint était lui-même sous alcool. On retrouve ici un des facteurs de risque de violence conjugale, c’est-à-dire qui rendent les individus plus vulnérables à la violence conjugale dans les relations (</w:t>
      </w:r>
      <w:proofErr w:type="spellStart"/>
      <w:r>
        <w:t>Bermea</w:t>
      </w:r>
      <w:proofErr w:type="spellEnd"/>
      <w:r>
        <w:t xml:space="preserve"> et al. 2018). Trois d'entre elles jugent néanmoins leur relation actuelle satisfaisante ou très satisfaisante, confirmant le point évoqué en chapitre II d’une non concordance entre satisfaction conjugale et présence de violence (Widmer et al. 2004). Elles en ont toutes parlé à leur entourage, la seule ne l’ayant pas fait ne déclare pas de répercussions, ni de peur/angoisse, ni de tristesse/déprime, ni d’envie de changer les choses suite au fait le plus grave déclaré. Si les autres déclarent parfois de la colère, une envie de changer les choses ou une séparation momentanée dans le cas de celle avec les enfants, les violences observées ici relèvent moins du contrôle coercitif que dans le premier groupe. </w:t>
      </w:r>
    </w:p>
    <w:p w14:paraId="4A0744E9" w14:textId="77777777" w:rsidR="00E2476B" w:rsidRDefault="00E2476B" w:rsidP="00E2476B">
      <w:pPr>
        <w:pStyle w:val="NormalWeb"/>
        <w:spacing w:line="360" w:lineRule="auto"/>
        <w:jc w:val="both"/>
      </w:pPr>
      <w:r>
        <w:t xml:space="preserve">Deux femmes présentent des parcours sexuels atypiques : leur compagnon actuel est leur premier et unique partenaire mais elles déclarent chacune une vingtaine de partenaires sexuels, hommes et femmes. Ces éléments indiquent des formes de relations ouvertes ou alors des pratiques d’infidélité. Ce facteur étant mis en avant comme un des deux facteurs de risque de violence conjugale chez les </w:t>
      </w:r>
      <w:proofErr w:type="spellStart"/>
      <w:r>
        <w:t>biexuel∙les</w:t>
      </w:r>
      <w:proofErr w:type="spellEnd"/>
      <w:r>
        <w:t>, avec l’expérience de bi-négativité (</w:t>
      </w:r>
      <w:proofErr w:type="spellStart"/>
      <w:r>
        <w:t>Turell</w:t>
      </w:r>
      <w:proofErr w:type="spellEnd"/>
      <w:r>
        <w:t xml:space="preserve"> et al. 2018). </w:t>
      </w:r>
      <w:r w:rsidRPr="00E335CE">
        <w:t>Il convient de noter que</w:t>
      </w:r>
      <w:r>
        <w:t xml:space="preserve"> c’est</w:t>
      </w:r>
      <w:r w:rsidRPr="00E335CE">
        <w:t xml:space="preserve"> l’infidélité en tant que pratique, et non pas seulement en tant que stéréotype, </w:t>
      </w:r>
      <w:r>
        <w:t>qui est</w:t>
      </w:r>
      <w:r w:rsidRPr="00E335CE">
        <w:t xml:space="preserve"> associée à la violence conjugale. </w:t>
      </w:r>
      <w:r>
        <w:t>D’autres études</w:t>
      </w:r>
      <w:r w:rsidRPr="00E335CE">
        <w:t xml:space="preserve"> ont mis en évidence une relation similaire entre l’infidélité et des scores plus élevés de biphobie au sein d’un échantillon de femmes s’identifiant comme bisexuelles. </w:t>
      </w:r>
      <w:proofErr w:type="spellStart"/>
      <w:r w:rsidRPr="00E335CE">
        <w:t>Klesse</w:t>
      </w:r>
      <w:proofErr w:type="spellEnd"/>
      <w:r w:rsidRPr="00E335CE">
        <w:t xml:space="preserve"> (2011) analyse l’impact des dynamiques de pouvoir spécifiques aux relations </w:t>
      </w:r>
      <w:r w:rsidRPr="00E335CE">
        <w:lastRenderedPageBreak/>
        <w:t>bisexuelles, en particulier la tendance à sur</w:t>
      </w:r>
      <w:r>
        <w:t>-</w:t>
      </w:r>
      <w:r w:rsidRPr="00E335CE">
        <w:t xml:space="preserve">sexualiser cette identité. Cette sexualisation excessive tend à créer une double stigmatisation pour les personnes bisexuelles qui sont </w:t>
      </w:r>
      <w:r>
        <w:t>engagées dans des relations multiples</w:t>
      </w:r>
      <w:r w:rsidRPr="00E335CE">
        <w:t xml:space="preserve">. Étant donné que la littérature suggère que les personnes bisexuelles adoptent également </w:t>
      </w:r>
      <w:r>
        <w:t>plus souvent</w:t>
      </w:r>
      <w:r w:rsidRPr="00E335CE">
        <w:t xml:space="preserve"> des relations ouvertes et/ou polyamoureuses, les interactions complexes entre les stéréotypes, l’expérience vécue et les dynamiques de contrôle en lien avec la violence conjugale semblent être au cœur de </w:t>
      </w:r>
      <w:r>
        <w:t>la compréhension de ces cas</w:t>
      </w:r>
      <w:r w:rsidRPr="00E335CE">
        <w:t xml:space="preserve">. </w:t>
      </w:r>
    </w:p>
    <w:p w14:paraId="13EB76D7" w14:textId="77777777" w:rsidR="00E2476B" w:rsidRDefault="00E2476B" w:rsidP="00E2476B">
      <w:pPr>
        <w:pStyle w:val="NormalWeb"/>
        <w:spacing w:line="360" w:lineRule="auto"/>
        <w:jc w:val="both"/>
      </w:pPr>
      <w:r>
        <w:t>L</w:t>
      </w:r>
      <w:r w:rsidRPr="00E335CE">
        <w:t xml:space="preserve">es personnes bisexuelles </w:t>
      </w:r>
      <w:r>
        <w:t xml:space="preserve">sont </w:t>
      </w:r>
      <w:r w:rsidRPr="00E335CE">
        <w:t xml:space="preserve">plus souvent </w:t>
      </w:r>
      <w:r>
        <w:t xml:space="preserve">engagées </w:t>
      </w:r>
      <w:r w:rsidRPr="00E335CE">
        <w:t>dans des relations ouvertes ou polyamoureuses</w:t>
      </w:r>
      <w:r>
        <w:t>. Ces formes relationnelles empêchent l’effacement de leur identification, permettent une certaine autonomie et fluidité sexuelle ou encore correspondent à une représentation moins fusionnelle et exclusive du couple. L</w:t>
      </w:r>
      <w:r w:rsidRPr="00E335CE">
        <w:t>a pratique</w:t>
      </w:r>
      <w:r>
        <w:t xml:space="preserve"> de ces relations à l’écart de la norme monogame peut engendrer plus de conflits, voire conduire à des dynamiques de contrôle susceptibles </w:t>
      </w:r>
      <w:r w:rsidRPr="00E335CE">
        <w:t xml:space="preserve">de se manifester sous la forme de violences conjugales. </w:t>
      </w:r>
      <w:r>
        <w:t xml:space="preserve">Il est intéressant de noter que si les personnes déclarant avoir plusieurs relations au moment de l’enquête sont très marginales, le fait de creuser dans les parcours conjugaux et sexuelles des </w:t>
      </w:r>
      <w:proofErr w:type="spellStart"/>
      <w:r>
        <w:t>bisexuel∙les</w:t>
      </w:r>
      <w:proofErr w:type="spellEnd"/>
      <w:r>
        <w:t xml:space="preserve"> fait apparaître des formes supposées de relations ouvertes ou des pratiques d’infidélité. </w:t>
      </w:r>
    </w:p>
    <w:p w14:paraId="4B3AC190" w14:textId="77777777" w:rsidR="00E2476B" w:rsidRPr="00E24AC5" w:rsidRDefault="00E2476B" w:rsidP="00E2476B">
      <w:pPr>
        <w:pStyle w:val="Titre3"/>
      </w:pPr>
      <w:bookmarkStart w:id="91" w:name="_Toc238741955"/>
      <w:r>
        <w:t>La bisexualité dans l’exercice et la perception des violences</w:t>
      </w:r>
      <w:bookmarkEnd w:id="91"/>
    </w:p>
    <w:p w14:paraId="282098A4" w14:textId="77777777" w:rsidR="00E2476B" w:rsidRDefault="00E2476B" w:rsidP="00E2476B">
      <w:pPr>
        <w:pStyle w:val="Titre4"/>
      </w:pPr>
      <w:r>
        <w:t xml:space="preserve">L’exposition et la déclaration des violences </w:t>
      </w:r>
    </w:p>
    <w:p w14:paraId="058C9191" w14:textId="77777777" w:rsidR="00E2476B" w:rsidRDefault="00E2476B" w:rsidP="00E2476B">
      <w:pPr>
        <w:pStyle w:val="Textbody"/>
      </w:pPr>
      <w:r>
        <w:t xml:space="preserve">Questionner l’expérience que font les personnes bisexuelles des violences dans le couple c’est questionner à la fois l’exposition aux violences et les conditions de dicibilité des violences. </w:t>
      </w:r>
      <w:r>
        <w:rPr>
          <w:color w:val="000000"/>
        </w:rPr>
        <w:t>La non-déclaration n'est pas nécessairement un silence sur un fait connu, elle peut correspondre à un stade où la violence n'est pas encore perçue comme telle (</w:t>
      </w:r>
      <w:proofErr w:type="spellStart"/>
      <w:r>
        <w:rPr>
          <w:color w:val="000000"/>
        </w:rPr>
        <w:t>Lejbowicz</w:t>
      </w:r>
      <w:proofErr w:type="spellEnd"/>
      <w:r>
        <w:rPr>
          <w:color w:val="000000"/>
        </w:rPr>
        <w:t>, 2022).</w:t>
      </w:r>
      <w:r>
        <w:t xml:space="preserve"> Elle peut aussi correspondre à une volonté de dissimuler la violence. Notre analyse hybride ne permet pas de trancher entre surexposition des bisexuelles aux violences ou différence de déclaration au sein de la population féminine. Si la violence conjugale est genrée, elles ne sont si de même nature, ni de même fréquence ou gravité selon le sexe de l’</w:t>
      </w:r>
      <w:proofErr w:type="spellStart"/>
      <w:r>
        <w:t>agresseur∙e</w:t>
      </w:r>
      <w:proofErr w:type="spellEnd"/>
      <w:r>
        <w:t xml:space="preserve"> et selon les modalités de la vie conjugale (couple cohabitant, avec ou sans enfant). </w:t>
      </w:r>
    </w:p>
    <w:p w14:paraId="7CB90DD0" w14:textId="77777777" w:rsidR="00E2476B" w:rsidRDefault="00E2476B" w:rsidP="00E2476B">
      <w:pPr>
        <w:pStyle w:val="Textbody"/>
      </w:pPr>
      <w:r>
        <w:t xml:space="preserve">Le cas des bisexuelles est intéressant, leurs configurations conjugales diffèrent des hétérosexuelles même à caractéristiques sociales équivalentes. Elles ont moins souvent des enfants et sont moins souvent mariées. Cette distance à la norme conjugale hétérosexuelle se traduit aussi dans les styles </w:t>
      </w:r>
      <w:r>
        <w:lastRenderedPageBreak/>
        <w:t>de conjugalités où on observe un rapport moins fusionnel, une moins grande satisfaction conjugale et des relations plus conflictuelles. Il s’avère que les styles de conjugalités observés chez les femmes se déclarant bisexuelles sont accompagnés, pour une partie d’entre elles, de violences conjugales, principalement psychologiques. « </w:t>
      </w:r>
      <w:r w:rsidRPr="003132FA">
        <w:t>Les structurations genrées de la conjugalité et de la sexualité font que la perception des violences conjugales dans des couples de sexes différents varient selon l’identification sexuelle de la victime</w:t>
      </w:r>
      <w:r>
        <w:t> » (</w:t>
      </w:r>
      <w:proofErr w:type="spellStart"/>
      <w:r>
        <w:t>Lejbowicz</w:t>
      </w:r>
      <w:proofErr w:type="spellEnd"/>
      <w:r>
        <w:t xml:space="preserve"> 2022). La distance à la norme hétérosexuelle et conjugale s’accompagne d’une plus grande propension à déclarer des actes violents. Il est certain que les violences déclarées et les modes de conjugalité sont reliés au genre du partenaire et au fait de se trouver en relation de même sexe ou de sexe différent. Toutefois, les inégalités de genre ne sont pas les seules sources de déséquilibres et de relations de pouvoir au sein des couples. Ainsi, nous maintenons que la bisexualité, tant comme identité que comme reflet de pratiques sexuelles, expose à des problèmes et des violences conjugales spécifiques. </w:t>
      </w:r>
    </w:p>
    <w:p w14:paraId="6253CFDC" w14:textId="77777777" w:rsidR="00E2476B" w:rsidRDefault="00E2476B" w:rsidP="00E2476B">
      <w:pPr>
        <w:pStyle w:val="Textbody"/>
      </w:pPr>
      <w:r>
        <w:t>Pour commencer, l’effacement de la bisexualité et sa construction comme une identité transitoire (</w:t>
      </w:r>
      <w:proofErr w:type="spellStart"/>
      <w:r>
        <w:t>Klesse</w:t>
      </w:r>
      <w:proofErr w:type="spellEnd"/>
      <w:r>
        <w:t xml:space="preserve"> 2011), entraîne un manque de communauté de support et un certain isolement. Dans ce contexte il est difficile d’échanger sur la construction d’intimités bisexuelles ou de trouver du soutien lors de violences. Le </w:t>
      </w:r>
      <w:r>
        <w:rPr>
          <w:i/>
          <w:iCs/>
        </w:rPr>
        <w:t xml:space="preserve">coming-out </w:t>
      </w:r>
      <w:r>
        <w:t xml:space="preserve">au sein du couple est une première expérience, très spécifiquement bisexuelle, pouvant engendrer du rejet, du déni, de la suspicion, voire de la violence. Ces violences sont très spécifiques aux situations minoritaires. Si le fait de se dire ou d’apparaître comme lesbienne ou gay dans la famille ou l’espace public peut susciter du rejet, c’est également le cas au sein du couple pour </w:t>
      </w:r>
      <w:proofErr w:type="gramStart"/>
      <w:r>
        <w:t xml:space="preserve">les </w:t>
      </w:r>
      <w:proofErr w:type="spellStart"/>
      <w:r>
        <w:t>bisexuel</w:t>
      </w:r>
      <w:proofErr w:type="gramEnd"/>
      <w:r>
        <w:t>∙les</w:t>
      </w:r>
      <w:proofErr w:type="spellEnd"/>
      <w:r>
        <w:t xml:space="preserve">. L’identification engage aussi un ensemble de questionnements concernant le désir, la nécessité de se dire ou d’être considéré à travers une identification sexuelle (Trachman, </w:t>
      </w:r>
      <w:proofErr w:type="spellStart"/>
      <w:r>
        <w:t>Lejbowicz</w:t>
      </w:r>
      <w:proofErr w:type="spellEnd"/>
      <w:r>
        <w:t xml:space="preserve"> 2020). On touche ici à la notion de </w:t>
      </w:r>
      <w:proofErr w:type="spellStart"/>
      <w:r w:rsidRPr="009A0FEF">
        <w:rPr>
          <w:i/>
          <w:iCs/>
        </w:rPr>
        <w:t>minority</w:t>
      </w:r>
      <w:proofErr w:type="spellEnd"/>
      <w:r w:rsidRPr="009A0FEF">
        <w:rPr>
          <w:i/>
          <w:iCs/>
        </w:rPr>
        <w:t xml:space="preserve"> stress</w:t>
      </w:r>
      <w:r>
        <w:t xml:space="preserve">, évoquée dans plusieurs des études mentionnées sur la bisexualité. Une des violences hétéronormatives est celle du privilège pour les personnes cis et hétérosexuelles de mener une vie cohérente avec les catégories de genre et de sexualité dominantes. Certaines représentations associées à la bisexualité peuvent avoir des impacts très concrets sur les relations. L’idée que la bisexualité n’existe pas ou bien serait une identification provisoire peut inciter à cacher son identification à son partenaire. Quand cette représentation est partagée par le ou la partenaire, la sexualité est niée ou rabaissée au sein même du couple. Ce sont des formes de violences qui mettent en cause un élément constitutif de soi. Alors que l’intimité conjugale est parfois un lieu de refuge face aux injonctions hétéronormatives, elle peut devenir un énième lieu de violences pour certaines </w:t>
      </w:r>
      <w:r>
        <w:lastRenderedPageBreak/>
        <w:t xml:space="preserve">minorités. La bisexualité, si elle peut engendrer une asymétrie relationnelle, n’est qu’un facteur parmi d’autres : les rapports sociaux de genre, d’âge, de classe, de race, de capacité structurent les relations conjugales. </w:t>
      </w:r>
    </w:p>
    <w:p w14:paraId="445A08F5" w14:textId="77777777" w:rsidR="00E2476B" w:rsidRDefault="00E2476B" w:rsidP="00E2476B">
      <w:pPr>
        <w:pStyle w:val="NormalWeb"/>
        <w:spacing w:line="360" w:lineRule="auto"/>
        <w:jc w:val="both"/>
      </w:pPr>
      <w:r>
        <w:t>L’image des bis comme des personnes obsédées par le sexe, forcément ouvertes au sexe en groupe ou incapables de monogamie peut aussi engendrer des mécanismes de contrôle, surveillance et méfiance, sans forcément que ces faits soient perçus comme liés à l’identification sexuelle. Des recherches qualitatives ont montré que les jeunes femmes bisexuelles rapportent que ces stéréotypes liés à la bisexualité entravent leur capacité à mener efficacement des conversations sur le consentement sexuel (</w:t>
      </w:r>
      <w:proofErr w:type="spellStart"/>
      <w:r>
        <w:t>Flanders</w:t>
      </w:r>
      <w:proofErr w:type="spellEnd"/>
      <w:r>
        <w:t xml:space="preserve"> et al. 2019). Dans le cas où les personnes bisexuelles pratiqueraient des relations non-monogames ou seraient infidèles, l’identité bisexuelle peut être utilisée pour minimiser certaines expériences de violence. La supposition, répandue dans certains cercles, que les bisexuelles quittent toujours leurs partenaires pour un homme installe une suspicion permanente et un contrôle des relations bisexuelles. </w:t>
      </w:r>
      <w:r w:rsidRPr="00824B13">
        <w:t>Le fait qu’elles soient susceptibles d’avoir un agresseur masculin peut servir de « confirmation » d’une identité hétérosexuelle.</w:t>
      </w:r>
      <w:r>
        <w:t xml:space="preserve"> </w:t>
      </w:r>
      <w:r w:rsidRPr="009E4110">
        <w:t>La bi-négativité affecte les relations bisexuelles de multiples manières : directement, en stigmatisant ces relations et en remettant en question leur profondeur et leur valeur ; indirectement, en accroissant le niveau de stress des personnes bisexuelles et en ébranlant leur confiance en elles-mêmes ainsi qu'en la bisexualité comme moteur d'un parcours de vie épanouissant</w:t>
      </w:r>
      <w:r>
        <w:t xml:space="preserve"> (</w:t>
      </w:r>
      <w:proofErr w:type="spellStart"/>
      <w:r>
        <w:t>Klesse</w:t>
      </w:r>
      <w:proofErr w:type="spellEnd"/>
      <w:r>
        <w:t xml:space="preserve"> 2011). </w:t>
      </w:r>
    </w:p>
    <w:p w14:paraId="4D167745" w14:textId="77777777" w:rsidR="00E2476B" w:rsidRDefault="00E2476B" w:rsidP="00E2476B">
      <w:pPr>
        <w:pStyle w:val="Textbody"/>
      </w:pPr>
    </w:p>
    <w:p w14:paraId="71EA6ADB" w14:textId="77777777" w:rsidR="00E2476B" w:rsidRPr="00AE7D1D" w:rsidRDefault="00E2476B" w:rsidP="00E2476B">
      <w:pPr>
        <w:pStyle w:val="Textbody"/>
      </w:pPr>
      <w:r>
        <w:t xml:space="preserve">Enfin, la conjugalité ne peut être pensée indépendamment de l’environnement proche des partenaires. Faire accepter des partenaires des deux sexes au cours de la vie à son entourage proche demande un travail spécifique aux personnes bisexuelles. L’entourage familial et amical pouvant interpréter un nouveau partenaire comme la fixation d’une identité hétérosexuelle ou homosexuelle. Les partenaires de sexe opposé seront mieux acceptés par l’entourage familial et hétérosexuel mais peuvent également éloigner d’un entourage ou d’espaces </w:t>
      </w:r>
      <w:r w:rsidRPr="006E733F">
        <w:rPr>
          <w:i/>
          <w:iCs/>
        </w:rPr>
        <w:t>queer</w:t>
      </w:r>
      <w:r>
        <w:t xml:space="preserve">. </w:t>
      </w:r>
    </w:p>
    <w:p w14:paraId="491236C3" w14:textId="77777777" w:rsidR="00E2476B" w:rsidRPr="004A215F" w:rsidRDefault="00E2476B" w:rsidP="00E2476B">
      <w:pPr>
        <w:pStyle w:val="Titre4"/>
      </w:pPr>
      <w:r>
        <w:t xml:space="preserve">L’approche par les facteurs de risque </w:t>
      </w:r>
    </w:p>
    <w:p w14:paraId="5ACBC38F" w14:textId="77777777" w:rsidR="00E2476B" w:rsidRDefault="00E2476B" w:rsidP="00E2476B">
      <w:pPr>
        <w:pStyle w:val="NormalWeb"/>
        <w:spacing w:before="180" w:beforeAutospacing="0" w:after="180" w:afterAutospacing="0" w:line="360" w:lineRule="auto"/>
        <w:jc w:val="both"/>
        <w:rPr>
          <w:color w:val="000000"/>
        </w:rPr>
      </w:pPr>
      <w:r>
        <w:rPr>
          <w:color w:val="000000"/>
        </w:rPr>
        <w:t>Une partie des études sur les violences visent à étudier les facteurs de risques, c’est-à-dire trouver</w:t>
      </w:r>
      <w:r>
        <w:t xml:space="preserve"> </w:t>
      </w:r>
      <w:r>
        <w:rPr>
          <w:color w:val="000000"/>
        </w:rPr>
        <w:t xml:space="preserve">des causes </w:t>
      </w:r>
      <w:r>
        <w:t>qui rendent les individus plus vulnérables à la violence conjugale dans les relations (</w:t>
      </w:r>
      <w:proofErr w:type="spellStart"/>
      <w:r>
        <w:t>Bermea</w:t>
      </w:r>
      <w:proofErr w:type="spellEnd"/>
      <w:r>
        <w:t xml:space="preserve"> et al. 2018).</w:t>
      </w:r>
      <w:r>
        <w:rPr>
          <w:color w:val="000000"/>
        </w:rPr>
        <w:t xml:space="preserve"> Ce raisonnement lié à la santé publique vise à identifier ce qui rapproche et </w:t>
      </w:r>
      <w:r>
        <w:rPr>
          <w:color w:val="000000"/>
        </w:rPr>
        <w:lastRenderedPageBreak/>
        <w:t xml:space="preserve">ce qui distingue les victimes, les auteurs, les situations de violence. C’est un raisonnement probabiliste qui se demande quelles populations ou individus sont plus à risque que d’autre et donc quels sont les moyens d’actions judiciaires à engager. On cherche à prévenir les violences et à savoir sur qui on peut intervenir, à la fois chez les victimes et les auteurs. </w:t>
      </w:r>
    </w:p>
    <w:p w14:paraId="561A344B" w14:textId="77777777" w:rsidR="00E2476B" w:rsidRDefault="00E2476B" w:rsidP="00E2476B">
      <w:pPr>
        <w:pStyle w:val="NormalWeb"/>
        <w:spacing w:before="180" w:beforeAutospacing="0" w:after="180" w:afterAutospacing="0" w:line="360" w:lineRule="auto"/>
        <w:jc w:val="both"/>
        <w:rPr>
          <w:color w:val="000000"/>
        </w:rPr>
      </w:pPr>
      <w:r>
        <w:rPr>
          <w:color w:val="000000"/>
        </w:rPr>
        <w:t>L’approche par les facteurs de risque pose donc des questions politiques. En effet, les rapports à la police et la justice créent différentes manières de vivre et de reporter la violence.  Dès lors la violence de genre ne peut pas se penser en dehors d’autres inégalités. L’évidence de la dénonciation des violences a été questionnée dès le début du féminisme noir dans les années 1980 (</w:t>
      </w:r>
      <w:proofErr w:type="spellStart"/>
      <w:r>
        <w:rPr>
          <w:color w:val="000000"/>
        </w:rPr>
        <w:t>Crenshaw</w:t>
      </w:r>
      <w:proofErr w:type="spellEnd"/>
      <w:r>
        <w:rPr>
          <w:color w:val="000000"/>
        </w:rPr>
        <w:t xml:space="preserve"> 2005). Le risque étant parfois de redoubler un discours et des violences racistes. La question se retrouve également dans les minorités queer. Identifier une identification sexuelle comme facteur de risque n’est pas une évidence, le surrisque ne touche pas toutes les personnes bisexuelles de la même manière et peut être expliqué par d’autres facteurs, économiques notamment. Ce que l’on peut mettre en avant en revanche est que certains facteurs de risque, comme la dépendance économique, l’usage d’alcool ou drogue, la distance à la norme conjugale hétérosexuelle se retrouvent plus souvent dans les parcours des minorités sexuelles. Certains facteurs très contextuels et situationnels enfin peuvent concerner spécifiquement les </w:t>
      </w:r>
      <w:proofErr w:type="spellStart"/>
      <w:r>
        <w:rPr>
          <w:color w:val="000000"/>
        </w:rPr>
        <w:t>bisexuel∙les</w:t>
      </w:r>
      <w:proofErr w:type="spellEnd"/>
      <w:r>
        <w:rPr>
          <w:color w:val="000000"/>
        </w:rPr>
        <w:t xml:space="preserve">. </w:t>
      </w:r>
    </w:p>
    <w:p w14:paraId="4654F7F0" w14:textId="77777777" w:rsidR="00E2476B" w:rsidRDefault="00E2476B" w:rsidP="00E2476B">
      <w:pPr>
        <w:pStyle w:val="Titre4"/>
      </w:pPr>
      <w:r>
        <w:t xml:space="preserve">Les difficultés à rattacher les violences à la bisexualité </w:t>
      </w:r>
    </w:p>
    <w:p w14:paraId="44B89219" w14:textId="77777777" w:rsidR="00E2476B" w:rsidRDefault="00E2476B" w:rsidP="00E2476B">
      <w:pPr>
        <w:pStyle w:val="NormalWeb"/>
        <w:spacing w:line="360" w:lineRule="auto"/>
        <w:jc w:val="both"/>
      </w:pPr>
      <w:r>
        <w:t>Les observations de quelques profils dessinent une image plus complexe que celle d'une violence uniformément articulée à la stigmatisation de la bisexualité par le ou la partenaire. Elles suggèrent plutôt une pluralité de configurations — contrôle coercitif intense chez les plus jeunes, persistance diffuse dans la durée conjugale, cumul avec des violences sexuelles, ou héritage de violences antérieures au couple — dans lesquelles la bisexualité des enquêtées pourrait davantage opérer comme facteur de vulnérabilité, moins lisible et moins nommé, que comme motif explicite des violences subies. Deux lectures, non exclusives, peuvent être avancées. D'une part, la bisexualité pourrait constituer un facteur de vulnérabilité structurel — moindre lisibilité sociale des violences vécues, moindre accès à un entourage ou une communauté de soutien identifiée comme telle (</w:t>
      </w:r>
      <w:proofErr w:type="spellStart"/>
      <w:r>
        <w:t>Bermea</w:t>
      </w:r>
      <w:proofErr w:type="spellEnd"/>
      <w:r>
        <w:t xml:space="preserve"> et al. 2018) — sans que ce facteur ne s'exprime nécessairement dans le contenu des scènes de violence elles-mêmes. D'autre part, un instrument d'enquête qui interroge un conflit explicitement nommé comme portant sur l'orientation sexuelle peut structurellement sous-capter des formes de violence plus diffuses, où le contrôle et la dévalorisation ne se rattachent pas verbalement à la </w:t>
      </w:r>
      <w:r>
        <w:lastRenderedPageBreak/>
        <w:t xml:space="preserve">bisexualité de la victime alors même qu'ils s'inscrivent dans un rapport de domination genré plus large. </w:t>
      </w:r>
    </w:p>
    <w:p w14:paraId="77C98FBD" w14:textId="77777777" w:rsidR="00E2476B" w:rsidRDefault="00E2476B" w:rsidP="00E2476B">
      <w:pPr>
        <w:pStyle w:val="Titre2"/>
      </w:pPr>
      <w:bookmarkStart w:id="92" w:name="_Toc238741956"/>
      <w:r>
        <w:t>Conclusion</w:t>
      </w:r>
      <w:bookmarkEnd w:id="92"/>
    </w:p>
    <w:p w14:paraId="0A9C2A84" w14:textId="77777777" w:rsidR="00E2476B" w:rsidRPr="000C6E63" w:rsidRDefault="00E2476B" w:rsidP="00E2476B">
      <w:pPr>
        <w:pStyle w:val="Textbody"/>
      </w:pPr>
      <w:r w:rsidRPr="000C6E63">
        <w:t>Ce chapitre s’est limité à l’étude des faits de violences intervenus au cours des douze derniers mois. Il s’agit ici de faits très récents, relevant parfois du conflit, parfois d’agressions plus graves et parfois de violence conjugale installée. Les situations de couple étudiées sont également très diverses, certains couples sont très jeunes, parfois en voie de séparation. En effet la mesure des faits de violence au cours des douze derniers mois regroupe des situations diverses qui ne prennent pas le même sens selon les réalités qu’elles recouvrent (</w:t>
      </w:r>
      <w:proofErr w:type="spellStart"/>
      <w:r w:rsidRPr="000C6E63">
        <w:t>Cavalin</w:t>
      </w:r>
      <w:proofErr w:type="spellEnd"/>
      <w:r w:rsidRPr="000C6E63">
        <w:t xml:space="preserve"> 2013 ; Brown et al 2020a).  </w:t>
      </w:r>
    </w:p>
    <w:p w14:paraId="2417D050" w14:textId="77777777" w:rsidR="00E2476B" w:rsidRPr="000C6E63" w:rsidRDefault="00E2476B" w:rsidP="00E2476B">
      <w:pPr>
        <w:pStyle w:val="Textbody"/>
      </w:pPr>
      <w:r w:rsidRPr="000C6E63">
        <w:t xml:space="preserve">Le questionnaire ne pose pas de question sur la perpétuation des violences pourtant utile pour questionner les limites du binôme auteur / victime. Le contexte politique, militant et pénal façonne </w:t>
      </w:r>
      <w:r>
        <w:t>les</w:t>
      </w:r>
      <w:r w:rsidRPr="000C6E63">
        <w:t xml:space="preserve"> façons de percevoir les situations de violence et la réponse à la violence. Ce binôme </w:t>
      </w:r>
      <w:r>
        <w:t xml:space="preserve">auteur / victime </w:t>
      </w:r>
      <w:r w:rsidRPr="000C6E63">
        <w:t>installe une perception individuelle des violences et occulte le fait qu</w:t>
      </w:r>
      <w:r>
        <w:t xml:space="preserve">’une </w:t>
      </w:r>
      <w:r w:rsidRPr="000C6E63">
        <w:t xml:space="preserve">victime peut aussi être auteur et inversement. </w:t>
      </w:r>
      <w:r>
        <w:t xml:space="preserve">Pourtant l’étude de </w:t>
      </w:r>
      <w:proofErr w:type="spellStart"/>
      <w:r>
        <w:t>Turell</w:t>
      </w:r>
      <w:proofErr w:type="spellEnd"/>
      <w:r>
        <w:t xml:space="preserve">, Brown &amp; Herrmann (2018) sur </w:t>
      </w:r>
      <w:proofErr w:type="gramStart"/>
      <w:r>
        <w:t xml:space="preserve">les </w:t>
      </w:r>
      <w:proofErr w:type="spellStart"/>
      <w:r>
        <w:t>bisexuel</w:t>
      </w:r>
      <w:proofErr w:type="gramEnd"/>
      <w:r>
        <w:t>∙les</w:t>
      </w:r>
      <w:proofErr w:type="spellEnd"/>
      <w:r>
        <w:t xml:space="preserve"> montre que les personnes qui déclarent le plus de victimation dont aussi celles qui déclarent le plus de perpétration. </w:t>
      </w:r>
    </w:p>
    <w:p w14:paraId="409F560B" w14:textId="77777777" w:rsidR="00E2476B" w:rsidRPr="000244D8" w:rsidRDefault="00E2476B" w:rsidP="00E2476B">
      <w:pPr>
        <w:pStyle w:val="NormalWeb"/>
        <w:spacing w:line="360" w:lineRule="auto"/>
        <w:jc w:val="both"/>
      </w:pPr>
      <w:r>
        <w:t xml:space="preserve">Les deux enquêtes convergent vers un même résultat central : la violence conjugale déclarée par les femmes bisexuelles est principalement psychologique et se concentre de façon marquée dans les configurations de couple de sexe différent. Ce résultat prolonge directement celui du Chapitre II sur les styles de conjugalité et l'évaluation de la qualité des relations : les femmes bisexuelles en couple avec un homme, déjà identifiées comme moins satisfaites, moins souvent amoureuses de leur partenaire, plus enclines à la dépression et à l'intention de rupture, sont également celles qui déclarent le plus de violences conjugales, tous registres confondus. </w:t>
      </w:r>
      <w:r w:rsidRPr="000244D8">
        <w:t xml:space="preserve">Contrairement à ce que suggérait une partie de la littérature anglo-saxonne centrée sur la bi-négativité explicite du ou de la partenaire, cette violence ne semble que rarement s'articuler frontalement au contenu de l'identité bisexuelle des enquêtées. Elle prend plutôt la forme de mécanismes plus diffus — contrôle relationnel et économique, mépris des opinions, minimisation de la gravité perçue par les victimes elles-mêmes — illustrant une bisexualité opérant comme facteur de vulnérabilité plutôt que comme motif explicite de la violence subie. Cette lecture rejoint les travaux sur l'invisibilisation bisexuelle </w:t>
      </w:r>
      <w:r w:rsidRPr="000244D8">
        <w:lastRenderedPageBreak/>
        <w:t>(Yoshino, 2000 ; Rust, 2002 ; Ochs, 1996) : dans un couple où l'orientation sexuelle de l'</w:t>
      </w:r>
      <w:proofErr w:type="spellStart"/>
      <w:r w:rsidRPr="000244D8">
        <w:t>un·e</w:t>
      </w:r>
      <w:proofErr w:type="spellEnd"/>
      <w:r w:rsidRPr="000244D8">
        <w:t xml:space="preserve"> des partenaires reste peu lisible socialement, voire ignorée du ou de la </w:t>
      </w:r>
      <w:proofErr w:type="spellStart"/>
      <w:r w:rsidRPr="000244D8">
        <w:t>conjoint·e</w:t>
      </w:r>
      <w:proofErr w:type="spellEnd"/>
      <w:r w:rsidRPr="000244D8">
        <w:t xml:space="preserve"> dans certains cas, les violences subies pourraient être à la fois moins facilement nommées comme telles et moins facilement rattachées à un cadre interprétatif spécifiquement bisexuel.</w:t>
      </w:r>
    </w:p>
    <w:p w14:paraId="110FAF7B" w14:textId="77777777" w:rsidR="00E2476B" w:rsidRDefault="00E2476B" w:rsidP="00E2476B">
      <w:pPr>
        <w:pStyle w:val="Corpsdetexte"/>
      </w:pPr>
    </w:p>
    <w:p w14:paraId="027A28E3" w14:textId="77777777" w:rsidR="00E2476B" w:rsidRDefault="00E2476B" w:rsidP="00E2476B">
      <w:pPr>
        <w:pStyle w:val="Titre1"/>
      </w:pPr>
      <w:bookmarkStart w:id="93" w:name="_Toc236751585"/>
      <w:r>
        <w:t>Annexes</w:t>
      </w:r>
      <w:bookmarkEnd w:id="93"/>
    </w:p>
    <w:p w14:paraId="237F4ABB" w14:textId="77777777" w:rsidR="00E2476B" w:rsidRDefault="00E2476B" w:rsidP="00E2476B">
      <w:pPr>
        <w:pStyle w:val="Titre2"/>
      </w:pPr>
      <w:bookmarkStart w:id="94" w:name="X5198df99c2b3275eafb31f7659437e50b3aee21"/>
      <w:bookmarkStart w:id="95" w:name="_Toc236751587"/>
      <w:bookmarkEnd w:id="94"/>
      <w:r>
        <w:t xml:space="preserve">Annexe 1 : </w:t>
      </w:r>
      <w:bookmarkEnd w:id="95"/>
      <w:r w:rsidRPr="008F47E0">
        <w:t>Institutionnalisation du couple chez les femmes bisexuelles en couple dans l’année (régression logistique).</w:t>
      </w:r>
    </w:p>
    <w:tbl>
      <w:tblPr>
        <w:tblStyle w:val="Table"/>
        <w:tblW w:w="5133" w:type="pct"/>
        <w:jc w:val="center"/>
        <w:tblInd w:w="0" w:type="dxa"/>
        <w:tblLayout w:type="fixed"/>
        <w:tblCellMar>
          <w:left w:w="0" w:type="dxa"/>
          <w:right w:w="0" w:type="dxa"/>
        </w:tblCellMar>
        <w:tblLook w:val="0420" w:firstRow="1" w:lastRow="0" w:firstColumn="0" w:lastColumn="0" w:noHBand="0" w:noVBand="1"/>
      </w:tblPr>
      <w:tblGrid>
        <w:gridCol w:w="1318"/>
        <w:gridCol w:w="919"/>
        <w:gridCol w:w="924"/>
        <w:gridCol w:w="726"/>
        <w:gridCol w:w="197"/>
        <w:gridCol w:w="920"/>
        <w:gridCol w:w="923"/>
        <w:gridCol w:w="826"/>
        <w:gridCol w:w="100"/>
        <w:gridCol w:w="923"/>
        <w:gridCol w:w="920"/>
        <w:gridCol w:w="927"/>
      </w:tblGrid>
      <w:tr w:rsidR="00E2476B" w14:paraId="01F6F3E6" w14:textId="77777777" w:rsidTr="00E2476B">
        <w:trPr>
          <w:cnfStyle w:val="100000000000" w:firstRow="1" w:lastRow="0" w:firstColumn="0" w:lastColumn="0" w:oddVBand="0" w:evenVBand="0" w:oddHBand="0" w:evenHBand="0" w:firstRowFirstColumn="0" w:firstRowLastColumn="0" w:lastRowFirstColumn="0" w:lastRowLastColumn="0"/>
          <w:tblHeader/>
          <w:jc w:val="center"/>
        </w:trPr>
        <w:tc>
          <w:tcPr>
            <w:tcW w:w="1318" w:type="dxa"/>
            <w:tcBorders>
              <w:top w:val="single" w:sz="12" w:space="0" w:color="auto"/>
              <w:left w:val="single" w:sz="12" w:space="0" w:color="auto"/>
              <w:bottom w:val="single" w:sz="8" w:space="0" w:color="000000"/>
            </w:tcBorders>
            <w:shd w:val="clear" w:color="auto" w:fill="FFFFFF"/>
            <w:vAlign w:val="center"/>
          </w:tcPr>
          <w:p w14:paraId="6562BF9A" w14:textId="77777777" w:rsidR="00E2476B" w:rsidRDefault="00E2476B" w:rsidP="0018419C">
            <w:pPr>
              <w:spacing w:before="40" w:after="40"/>
              <w:ind w:left="100" w:right="100"/>
              <w:rPr>
                <w:rFonts w:ascii="Times New Roman" w:eastAsia="Arial" w:hAnsi="Times New Roman" w:cs="Times New Roman"/>
                <w:color w:val="000000"/>
                <w:sz w:val="14"/>
                <w:szCs w:val="14"/>
              </w:rPr>
            </w:pPr>
          </w:p>
        </w:tc>
        <w:tc>
          <w:tcPr>
            <w:tcW w:w="2569" w:type="dxa"/>
            <w:gridSpan w:val="3"/>
            <w:tcBorders>
              <w:top w:val="single" w:sz="12" w:space="0" w:color="auto"/>
              <w:bottom w:val="single" w:sz="8" w:space="0" w:color="000000"/>
            </w:tcBorders>
            <w:shd w:val="clear" w:color="auto" w:fill="FFFFFF"/>
            <w:vAlign w:val="center"/>
          </w:tcPr>
          <w:p w14:paraId="185D555C"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Mariage</w:t>
            </w:r>
          </w:p>
        </w:tc>
        <w:tc>
          <w:tcPr>
            <w:tcW w:w="2866" w:type="dxa"/>
            <w:gridSpan w:val="4"/>
            <w:tcBorders>
              <w:top w:val="single" w:sz="12" w:space="0" w:color="auto"/>
              <w:bottom w:val="single" w:sz="8" w:space="0" w:color="000000"/>
            </w:tcBorders>
            <w:shd w:val="clear" w:color="auto" w:fill="FFFFFF"/>
            <w:vAlign w:val="center"/>
          </w:tcPr>
          <w:p w14:paraId="4FA058CD"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Cohabitation</w:t>
            </w:r>
          </w:p>
        </w:tc>
        <w:tc>
          <w:tcPr>
            <w:tcW w:w="2870" w:type="dxa"/>
            <w:gridSpan w:val="4"/>
            <w:tcBorders>
              <w:top w:val="single" w:sz="12" w:space="0" w:color="auto"/>
              <w:bottom w:val="single" w:sz="8" w:space="0" w:color="000000"/>
              <w:right w:val="single" w:sz="12" w:space="0" w:color="auto"/>
            </w:tcBorders>
            <w:shd w:val="clear" w:color="auto" w:fill="FFFFFF"/>
            <w:vAlign w:val="center"/>
          </w:tcPr>
          <w:p w14:paraId="557B9B05"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Durée &gt;5 ans</w:t>
            </w:r>
          </w:p>
        </w:tc>
      </w:tr>
      <w:tr w:rsidR="00E2476B" w14:paraId="1030D3E6" w14:textId="77777777" w:rsidTr="00E2476B">
        <w:trPr>
          <w:cnfStyle w:val="100000000000" w:firstRow="1" w:lastRow="0" w:firstColumn="0" w:lastColumn="0" w:oddVBand="0" w:evenVBand="0" w:oddHBand="0" w:evenHBand="0" w:firstRowFirstColumn="0" w:firstRowLastColumn="0" w:lastRowFirstColumn="0" w:lastRowLastColumn="0"/>
          <w:tblHeader/>
          <w:jc w:val="center"/>
        </w:trPr>
        <w:tc>
          <w:tcPr>
            <w:tcW w:w="1318" w:type="dxa"/>
            <w:tcBorders>
              <w:top w:val="single" w:sz="8" w:space="0" w:color="000000"/>
              <w:left w:val="single" w:sz="12" w:space="0" w:color="auto"/>
              <w:bottom w:val="single" w:sz="8" w:space="0" w:color="000000"/>
            </w:tcBorders>
            <w:shd w:val="clear" w:color="auto" w:fill="FFFFFF"/>
            <w:vAlign w:val="center"/>
          </w:tcPr>
          <w:p w14:paraId="79F7734D" w14:textId="77777777" w:rsidR="00E2476B" w:rsidRDefault="00E2476B" w:rsidP="0018419C">
            <w:pPr>
              <w:spacing w:before="40" w:after="40"/>
              <w:ind w:right="100"/>
              <w:rPr>
                <w:rFonts w:ascii="Times New Roman" w:eastAsia="Arial" w:hAnsi="Times New Roman" w:cs="Times New Roman"/>
                <w:color w:val="000000"/>
                <w:sz w:val="14"/>
                <w:szCs w:val="14"/>
              </w:rPr>
            </w:pPr>
          </w:p>
        </w:tc>
        <w:tc>
          <w:tcPr>
            <w:tcW w:w="919" w:type="dxa"/>
            <w:tcBorders>
              <w:top w:val="single" w:sz="8" w:space="0" w:color="000000"/>
              <w:bottom w:val="single" w:sz="8" w:space="0" w:color="000000"/>
            </w:tcBorders>
            <w:shd w:val="clear" w:color="auto" w:fill="FFFFFF"/>
            <w:vAlign w:val="center"/>
          </w:tcPr>
          <w:p w14:paraId="250F4C62"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4" w:type="dxa"/>
            <w:tcBorders>
              <w:top w:val="single" w:sz="8" w:space="0" w:color="000000"/>
              <w:bottom w:val="single" w:sz="8" w:space="0" w:color="000000"/>
            </w:tcBorders>
            <w:shd w:val="clear" w:color="auto" w:fill="FFFFFF"/>
            <w:vAlign w:val="center"/>
          </w:tcPr>
          <w:p w14:paraId="56F21C4C"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3" w:type="dxa"/>
            <w:gridSpan w:val="2"/>
            <w:tcBorders>
              <w:top w:val="single" w:sz="8" w:space="0" w:color="000000"/>
              <w:bottom w:val="single" w:sz="8" w:space="0" w:color="000000"/>
            </w:tcBorders>
            <w:shd w:val="clear" w:color="auto" w:fill="FFFFFF"/>
            <w:vAlign w:val="center"/>
          </w:tcPr>
          <w:p w14:paraId="21348181"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c>
          <w:tcPr>
            <w:tcW w:w="920" w:type="dxa"/>
            <w:tcBorders>
              <w:top w:val="single" w:sz="8" w:space="0" w:color="000000"/>
              <w:bottom w:val="single" w:sz="8" w:space="0" w:color="000000"/>
            </w:tcBorders>
            <w:shd w:val="clear" w:color="auto" w:fill="FFFFFF"/>
            <w:vAlign w:val="center"/>
          </w:tcPr>
          <w:p w14:paraId="7658E8EF"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3" w:type="dxa"/>
            <w:tcBorders>
              <w:top w:val="single" w:sz="8" w:space="0" w:color="000000"/>
              <w:bottom w:val="single" w:sz="8" w:space="0" w:color="000000"/>
            </w:tcBorders>
            <w:shd w:val="clear" w:color="auto" w:fill="FFFFFF"/>
            <w:vAlign w:val="center"/>
          </w:tcPr>
          <w:p w14:paraId="4BED0612"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6" w:type="dxa"/>
            <w:gridSpan w:val="2"/>
            <w:tcBorders>
              <w:top w:val="single" w:sz="8" w:space="0" w:color="000000"/>
              <w:bottom w:val="single" w:sz="8" w:space="0" w:color="000000"/>
            </w:tcBorders>
            <w:shd w:val="clear" w:color="auto" w:fill="FFFFFF"/>
            <w:vAlign w:val="center"/>
          </w:tcPr>
          <w:p w14:paraId="5F0EB415"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c>
          <w:tcPr>
            <w:tcW w:w="923" w:type="dxa"/>
            <w:tcBorders>
              <w:top w:val="single" w:sz="8" w:space="0" w:color="000000"/>
              <w:bottom w:val="single" w:sz="8" w:space="0" w:color="000000"/>
            </w:tcBorders>
            <w:shd w:val="clear" w:color="auto" w:fill="FFFFFF"/>
            <w:vAlign w:val="center"/>
          </w:tcPr>
          <w:p w14:paraId="521F77C6"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0" w:type="dxa"/>
            <w:tcBorders>
              <w:top w:val="single" w:sz="8" w:space="0" w:color="000000"/>
              <w:bottom w:val="single" w:sz="8" w:space="0" w:color="000000"/>
            </w:tcBorders>
            <w:shd w:val="clear" w:color="auto" w:fill="FFFFFF"/>
            <w:vAlign w:val="center"/>
          </w:tcPr>
          <w:p w14:paraId="1C42C139"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7" w:type="dxa"/>
            <w:tcBorders>
              <w:top w:val="single" w:sz="8" w:space="0" w:color="000000"/>
              <w:bottom w:val="single" w:sz="8" w:space="0" w:color="000000"/>
              <w:right w:val="single" w:sz="12" w:space="0" w:color="auto"/>
            </w:tcBorders>
            <w:shd w:val="clear" w:color="auto" w:fill="FFFFFF"/>
            <w:vAlign w:val="center"/>
          </w:tcPr>
          <w:p w14:paraId="47FB5676" w14:textId="77777777" w:rsidR="00E2476B" w:rsidRDefault="00E2476B" w:rsidP="0018419C">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r>
      <w:tr w:rsidR="00E2476B" w14:paraId="2947FEBF" w14:textId="77777777" w:rsidTr="00E2476B">
        <w:trPr>
          <w:jc w:val="center"/>
        </w:trPr>
        <w:tc>
          <w:tcPr>
            <w:tcW w:w="9623" w:type="dxa"/>
            <w:gridSpan w:val="12"/>
            <w:tcBorders>
              <w:top w:val="single" w:sz="8" w:space="0" w:color="000000"/>
              <w:left w:val="single" w:sz="12" w:space="0" w:color="auto"/>
              <w:right w:val="single" w:sz="12" w:space="0" w:color="auto"/>
            </w:tcBorders>
            <w:shd w:val="clear" w:color="auto" w:fill="FFFFFF"/>
          </w:tcPr>
          <w:p w14:paraId="3C3DC8AA" w14:textId="77777777" w:rsidR="00E2476B" w:rsidRDefault="00E2476B" w:rsidP="0018419C">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Identification sexuelle</w:t>
            </w:r>
          </w:p>
        </w:tc>
      </w:tr>
      <w:tr w:rsidR="00E2476B" w14:paraId="23523FBE" w14:textId="77777777" w:rsidTr="00E2476B">
        <w:trPr>
          <w:trHeight w:val="361"/>
          <w:jc w:val="center"/>
        </w:trPr>
        <w:tc>
          <w:tcPr>
            <w:tcW w:w="1318" w:type="dxa"/>
            <w:tcBorders>
              <w:left w:val="single" w:sz="12" w:space="0" w:color="auto"/>
              <w:right w:val="single" w:sz="4" w:space="0" w:color="auto"/>
            </w:tcBorders>
            <w:shd w:val="clear" w:color="auto" w:fill="FFFFFF"/>
          </w:tcPr>
          <w:p w14:paraId="4A04A8D2"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Hétéro</w:t>
            </w:r>
          </w:p>
        </w:tc>
        <w:tc>
          <w:tcPr>
            <w:tcW w:w="919" w:type="dxa"/>
            <w:tcBorders>
              <w:left w:val="single" w:sz="4" w:space="0" w:color="auto"/>
              <w:right w:val="single" w:sz="4" w:space="0" w:color="auto"/>
            </w:tcBorders>
            <w:shd w:val="clear" w:color="auto" w:fill="FFFFFF"/>
          </w:tcPr>
          <w:p w14:paraId="2FCD6C6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76C4D61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tcBorders>
              <w:left w:val="single" w:sz="4" w:space="0" w:color="auto"/>
              <w:right w:val="single" w:sz="12" w:space="0" w:color="auto"/>
            </w:tcBorders>
            <w:shd w:val="clear" w:color="auto" w:fill="FFFFFF"/>
          </w:tcPr>
          <w:p w14:paraId="78569B1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2D8937C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tcBorders>
              <w:left w:val="single" w:sz="4" w:space="0" w:color="auto"/>
              <w:right w:val="single" w:sz="4" w:space="0" w:color="auto"/>
            </w:tcBorders>
            <w:shd w:val="clear" w:color="auto" w:fill="FFFFFF"/>
          </w:tcPr>
          <w:p w14:paraId="042E50A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gridSpan w:val="2"/>
            <w:tcBorders>
              <w:left w:val="single" w:sz="4" w:space="0" w:color="auto"/>
              <w:right w:val="single" w:sz="12" w:space="0" w:color="auto"/>
            </w:tcBorders>
            <w:shd w:val="clear" w:color="auto" w:fill="FFFFFF"/>
          </w:tcPr>
          <w:p w14:paraId="7FD7B07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tcBorders>
              <w:left w:val="single" w:sz="12" w:space="0" w:color="auto"/>
              <w:right w:val="single" w:sz="4" w:space="0" w:color="auto"/>
            </w:tcBorders>
            <w:shd w:val="clear" w:color="auto" w:fill="FFFFFF"/>
          </w:tcPr>
          <w:p w14:paraId="109A854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0" w:type="dxa"/>
            <w:tcBorders>
              <w:left w:val="single" w:sz="4" w:space="0" w:color="auto"/>
              <w:right w:val="single" w:sz="4" w:space="0" w:color="auto"/>
            </w:tcBorders>
            <w:shd w:val="clear" w:color="auto" w:fill="FFFFFF"/>
          </w:tcPr>
          <w:p w14:paraId="12F6BA0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tcBorders>
              <w:left w:val="single" w:sz="4" w:space="0" w:color="auto"/>
              <w:right w:val="single" w:sz="12" w:space="0" w:color="auto"/>
            </w:tcBorders>
            <w:shd w:val="clear" w:color="auto" w:fill="FFFFFF"/>
          </w:tcPr>
          <w:p w14:paraId="1E4A4BF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r>
      <w:tr w:rsidR="00E2476B" w14:paraId="4261A05C" w14:textId="77777777" w:rsidTr="00E2476B">
        <w:trPr>
          <w:trHeight w:val="361"/>
          <w:jc w:val="center"/>
        </w:trPr>
        <w:tc>
          <w:tcPr>
            <w:tcW w:w="1318" w:type="dxa"/>
            <w:tcBorders>
              <w:left w:val="single" w:sz="12" w:space="0" w:color="auto"/>
              <w:right w:val="single" w:sz="4" w:space="0" w:color="auto"/>
            </w:tcBorders>
            <w:shd w:val="clear" w:color="auto" w:fill="FFFFFF"/>
          </w:tcPr>
          <w:p w14:paraId="25642827"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Bi</w:t>
            </w:r>
          </w:p>
        </w:tc>
        <w:tc>
          <w:tcPr>
            <w:tcW w:w="919" w:type="dxa"/>
            <w:tcBorders>
              <w:left w:val="single" w:sz="4" w:space="0" w:color="auto"/>
              <w:right w:val="single" w:sz="4" w:space="0" w:color="auto"/>
            </w:tcBorders>
            <w:shd w:val="clear" w:color="auto" w:fill="FFFFFF"/>
          </w:tcPr>
          <w:p w14:paraId="0E6528A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-0.87</w:t>
            </w:r>
          </w:p>
        </w:tc>
        <w:tc>
          <w:tcPr>
            <w:tcW w:w="924" w:type="dxa"/>
            <w:tcBorders>
              <w:left w:val="single" w:sz="4" w:space="0" w:color="auto"/>
              <w:right w:val="single" w:sz="4" w:space="0" w:color="auto"/>
            </w:tcBorders>
            <w:shd w:val="clear" w:color="auto" w:fill="FFFFFF"/>
          </w:tcPr>
          <w:p w14:paraId="59D44E67"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 -0.13</w:t>
            </w:r>
          </w:p>
        </w:tc>
        <w:tc>
          <w:tcPr>
            <w:tcW w:w="923" w:type="dxa"/>
            <w:gridSpan w:val="2"/>
            <w:tcBorders>
              <w:left w:val="single" w:sz="4" w:space="0" w:color="auto"/>
              <w:right w:val="single" w:sz="12" w:space="0" w:color="auto"/>
            </w:tcBorders>
            <w:shd w:val="clear" w:color="auto" w:fill="FFFFFF"/>
          </w:tcPr>
          <w:p w14:paraId="40D09BD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0.022</w:t>
            </w:r>
          </w:p>
        </w:tc>
        <w:tc>
          <w:tcPr>
            <w:tcW w:w="920" w:type="dxa"/>
            <w:tcBorders>
              <w:left w:val="single" w:sz="12" w:space="0" w:color="auto"/>
              <w:right w:val="single" w:sz="4" w:space="0" w:color="auto"/>
            </w:tcBorders>
            <w:shd w:val="clear" w:color="auto" w:fill="FFFFFF"/>
          </w:tcPr>
          <w:p w14:paraId="1DF63E9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w:t>
            </w:r>
          </w:p>
        </w:tc>
        <w:tc>
          <w:tcPr>
            <w:tcW w:w="923" w:type="dxa"/>
            <w:tcBorders>
              <w:left w:val="single" w:sz="4" w:space="0" w:color="auto"/>
              <w:right w:val="single" w:sz="4" w:space="0" w:color="auto"/>
            </w:tcBorders>
            <w:shd w:val="clear" w:color="auto" w:fill="FFFFFF"/>
          </w:tcPr>
          <w:p w14:paraId="0ACC4AB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-1.3, 0.62</w:t>
            </w:r>
          </w:p>
        </w:tc>
        <w:tc>
          <w:tcPr>
            <w:tcW w:w="926" w:type="dxa"/>
            <w:gridSpan w:val="2"/>
            <w:tcBorders>
              <w:left w:val="single" w:sz="4" w:space="0" w:color="auto"/>
              <w:right w:val="single" w:sz="12" w:space="0" w:color="auto"/>
            </w:tcBorders>
            <w:shd w:val="clear" w:color="auto" w:fill="FFFFFF"/>
          </w:tcPr>
          <w:p w14:paraId="5A5B7E9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p>
        </w:tc>
        <w:tc>
          <w:tcPr>
            <w:tcW w:w="923" w:type="dxa"/>
            <w:tcBorders>
              <w:left w:val="single" w:sz="12" w:space="0" w:color="auto"/>
              <w:right w:val="single" w:sz="4" w:space="0" w:color="auto"/>
            </w:tcBorders>
            <w:shd w:val="clear" w:color="auto" w:fill="FFFFFF"/>
          </w:tcPr>
          <w:p w14:paraId="03132E9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w:t>
            </w:r>
          </w:p>
        </w:tc>
        <w:tc>
          <w:tcPr>
            <w:tcW w:w="920" w:type="dxa"/>
            <w:tcBorders>
              <w:left w:val="single" w:sz="4" w:space="0" w:color="auto"/>
              <w:right w:val="single" w:sz="4" w:space="0" w:color="auto"/>
            </w:tcBorders>
            <w:shd w:val="clear" w:color="auto" w:fill="FFFFFF"/>
          </w:tcPr>
          <w:p w14:paraId="11EFD76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 -0.51</w:t>
            </w:r>
          </w:p>
        </w:tc>
        <w:tc>
          <w:tcPr>
            <w:tcW w:w="927" w:type="dxa"/>
            <w:tcBorders>
              <w:left w:val="single" w:sz="4" w:space="0" w:color="auto"/>
              <w:right w:val="single" w:sz="12" w:space="0" w:color="auto"/>
            </w:tcBorders>
            <w:shd w:val="clear" w:color="auto" w:fill="FFFFFF"/>
          </w:tcPr>
          <w:p w14:paraId="3927AE97"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05E10DC3" w14:textId="77777777" w:rsidTr="00E2476B">
        <w:trPr>
          <w:trHeight w:val="361"/>
          <w:jc w:val="center"/>
        </w:trPr>
        <w:tc>
          <w:tcPr>
            <w:tcW w:w="1318" w:type="dxa"/>
            <w:tcBorders>
              <w:left w:val="single" w:sz="12" w:space="0" w:color="auto"/>
              <w:right w:val="single" w:sz="4" w:space="0" w:color="auto"/>
            </w:tcBorders>
            <w:shd w:val="clear" w:color="auto" w:fill="FFFFFF"/>
          </w:tcPr>
          <w:p w14:paraId="3651CA88"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Homo</w:t>
            </w:r>
          </w:p>
        </w:tc>
        <w:tc>
          <w:tcPr>
            <w:tcW w:w="919" w:type="dxa"/>
            <w:tcBorders>
              <w:left w:val="single" w:sz="4" w:space="0" w:color="auto"/>
              <w:right w:val="single" w:sz="4" w:space="0" w:color="auto"/>
            </w:tcBorders>
            <w:shd w:val="clear" w:color="auto" w:fill="FFFFFF"/>
          </w:tcPr>
          <w:p w14:paraId="7AD38677"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-0.69</w:t>
            </w:r>
          </w:p>
        </w:tc>
        <w:tc>
          <w:tcPr>
            <w:tcW w:w="924" w:type="dxa"/>
            <w:tcBorders>
              <w:left w:val="single" w:sz="4" w:space="0" w:color="auto"/>
              <w:right w:val="single" w:sz="4" w:space="0" w:color="auto"/>
            </w:tcBorders>
            <w:shd w:val="clear" w:color="auto" w:fill="FFFFFF"/>
          </w:tcPr>
          <w:p w14:paraId="1FDA72E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-1.7, 0.35</w:t>
            </w:r>
          </w:p>
        </w:tc>
        <w:tc>
          <w:tcPr>
            <w:tcW w:w="923" w:type="dxa"/>
            <w:gridSpan w:val="2"/>
            <w:tcBorders>
              <w:left w:val="single" w:sz="4" w:space="0" w:color="auto"/>
              <w:right w:val="single" w:sz="12" w:space="0" w:color="auto"/>
            </w:tcBorders>
            <w:shd w:val="clear" w:color="auto" w:fill="FFFFFF"/>
          </w:tcPr>
          <w:p w14:paraId="1A75C7B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c>
          <w:tcPr>
            <w:tcW w:w="920" w:type="dxa"/>
            <w:tcBorders>
              <w:left w:val="single" w:sz="12" w:space="0" w:color="auto"/>
              <w:right w:val="single" w:sz="4" w:space="0" w:color="auto"/>
            </w:tcBorders>
            <w:shd w:val="clear" w:color="auto" w:fill="FFFFFF"/>
          </w:tcPr>
          <w:p w14:paraId="337C07E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-0.81</w:t>
            </w:r>
          </w:p>
        </w:tc>
        <w:tc>
          <w:tcPr>
            <w:tcW w:w="923" w:type="dxa"/>
            <w:tcBorders>
              <w:left w:val="single" w:sz="4" w:space="0" w:color="auto"/>
              <w:right w:val="single" w:sz="4" w:space="0" w:color="auto"/>
            </w:tcBorders>
            <w:shd w:val="clear" w:color="auto" w:fill="FFFFFF"/>
          </w:tcPr>
          <w:p w14:paraId="38491BB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-2.3, 0.66</w:t>
            </w:r>
          </w:p>
        </w:tc>
        <w:tc>
          <w:tcPr>
            <w:tcW w:w="926" w:type="dxa"/>
            <w:gridSpan w:val="2"/>
            <w:tcBorders>
              <w:left w:val="single" w:sz="4" w:space="0" w:color="auto"/>
              <w:right w:val="single" w:sz="12" w:space="0" w:color="auto"/>
            </w:tcBorders>
            <w:shd w:val="clear" w:color="auto" w:fill="FFFFFF"/>
          </w:tcPr>
          <w:p w14:paraId="67B9F92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c>
          <w:tcPr>
            <w:tcW w:w="923" w:type="dxa"/>
            <w:tcBorders>
              <w:left w:val="single" w:sz="12" w:space="0" w:color="auto"/>
              <w:right w:val="single" w:sz="4" w:space="0" w:color="auto"/>
            </w:tcBorders>
            <w:shd w:val="clear" w:color="auto" w:fill="FFFFFF"/>
          </w:tcPr>
          <w:p w14:paraId="6499132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-0.67</w:t>
            </w:r>
          </w:p>
        </w:tc>
        <w:tc>
          <w:tcPr>
            <w:tcW w:w="920" w:type="dxa"/>
            <w:tcBorders>
              <w:left w:val="single" w:sz="4" w:space="0" w:color="auto"/>
              <w:right w:val="single" w:sz="4" w:space="0" w:color="auto"/>
            </w:tcBorders>
            <w:shd w:val="clear" w:color="auto" w:fill="FFFFFF"/>
          </w:tcPr>
          <w:p w14:paraId="5F81B1C3"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-1.9, 0.61</w:t>
            </w:r>
          </w:p>
        </w:tc>
        <w:tc>
          <w:tcPr>
            <w:tcW w:w="927" w:type="dxa"/>
            <w:tcBorders>
              <w:left w:val="single" w:sz="4" w:space="0" w:color="auto"/>
              <w:right w:val="single" w:sz="12" w:space="0" w:color="auto"/>
            </w:tcBorders>
            <w:shd w:val="clear" w:color="auto" w:fill="FFFFFF"/>
          </w:tcPr>
          <w:p w14:paraId="0D8D6ED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r>
      <w:tr w:rsidR="00E2476B" w14:paraId="2B5152F5" w14:textId="77777777" w:rsidTr="00E2476B">
        <w:trPr>
          <w:jc w:val="center"/>
        </w:trPr>
        <w:tc>
          <w:tcPr>
            <w:tcW w:w="9623" w:type="dxa"/>
            <w:gridSpan w:val="12"/>
            <w:tcBorders>
              <w:left w:val="single" w:sz="12" w:space="0" w:color="auto"/>
              <w:right w:val="single" w:sz="12" w:space="0" w:color="auto"/>
            </w:tcBorders>
            <w:shd w:val="clear" w:color="auto" w:fill="FFFFFF"/>
          </w:tcPr>
          <w:p w14:paraId="25D9B068" w14:textId="77777777" w:rsidR="00E2476B" w:rsidRDefault="00E2476B" w:rsidP="0018419C">
            <w:pPr>
              <w:spacing w:before="96" w:after="96"/>
              <w:ind w:left="100" w:right="100"/>
              <w:rPr>
                <w:rFonts w:ascii="Times New Roman" w:eastAsia="Arial" w:hAnsi="Times New Roman" w:cs="Times New Roman"/>
                <w:color w:val="000000"/>
                <w:sz w:val="14"/>
                <w:szCs w:val="14"/>
              </w:rPr>
            </w:pPr>
            <w:r>
              <w:rPr>
                <w:rFonts w:ascii="Times New Roman" w:eastAsia="Arial" w:hAnsi="Times New Roman" w:cs="Times New Roman"/>
                <w:i/>
                <w:iCs/>
                <w:color w:val="000000"/>
                <w:sz w:val="14"/>
                <w:szCs w:val="14"/>
              </w:rPr>
              <w:t>Groupe d'âge</w:t>
            </w:r>
          </w:p>
        </w:tc>
      </w:tr>
      <w:tr w:rsidR="00E2476B" w14:paraId="3EA593B7" w14:textId="77777777" w:rsidTr="00E2476B">
        <w:trPr>
          <w:trHeight w:val="363"/>
          <w:jc w:val="center"/>
        </w:trPr>
        <w:tc>
          <w:tcPr>
            <w:tcW w:w="1318" w:type="dxa"/>
            <w:tcBorders>
              <w:left w:val="single" w:sz="12" w:space="0" w:color="auto"/>
              <w:right w:val="single" w:sz="4" w:space="0" w:color="auto"/>
            </w:tcBorders>
            <w:shd w:val="clear" w:color="auto" w:fill="FFFFFF"/>
          </w:tcPr>
          <w:p w14:paraId="69E85E4A"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30-39</w:t>
            </w:r>
          </w:p>
        </w:tc>
        <w:tc>
          <w:tcPr>
            <w:tcW w:w="919" w:type="dxa"/>
            <w:tcBorders>
              <w:left w:val="single" w:sz="4" w:space="0" w:color="auto"/>
              <w:right w:val="single" w:sz="4" w:space="0" w:color="auto"/>
            </w:tcBorders>
            <w:shd w:val="clear" w:color="auto" w:fill="FFFFFF"/>
          </w:tcPr>
          <w:p w14:paraId="12761C3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58245F7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tcBorders>
              <w:left w:val="single" w:sz="4" w:space="0" w:color="auto"/>
              <w:right w:val="single" w:sz="12" w:space="0" w:color="auto"/>
            </w:tcBorders>
            <w:shd w:val="clear" w:color="auto" w:fill="FFFFFF"/>
          </w:tcPr>
          <w:p w14:paraId="066E2B2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4B7A140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tcBorders>
              <w:left w:val="single" w:sz="4" w:space="0" w:color="auto"/>
              <w:right w:val="single" w:sz="4" w:space="0" w:color="auto"/>
            </w:tcBorders>
            <w:shd w:val="clear" w:color="auto" w:fill="FFFFFF"/>
          </w:tcPr>
          <w:p w14:paraId="255EB4A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gridSpan w:val="2"/>
            <w:tcBorders>
              <w:left w:val="single" w:sz="4" w:space="0" w:color="auto"/>
              <w:right w:val="single" w:sz="12" w:space="0" w:color="auto"/>
            </w:tcBorders>
            <w:shd w:val="clear" w:color="auto" w:fill="FFFFFF"/>
          </w:tcPr>
          <w:p w14:paraId="3D45EE7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tcBorders>
              <w:left w:val="single" w:sz="12" w:space="0" w:color="auto"/>
              <w:right w:val="single" w:sz="4" w:space="0" w:color="auto"/>
            </w:tcBorders>
            <w:shd w:val="clear" w:color="auto" w:fill="FFFFFF"/>
          </w:tcPr>
          <w:p w14:paraId="3ED95B9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0" w:type="dxa"/>
            <w:tcBorders>
              <w:left w:val="single" w:sz="4" w:space="0" w:color="auto"/>
              <w:right w:val="single" w:sz="4" w:space="0" w:color="auto"/>
            </w:tcBorders>
            <w:shd w:val="clear" w:color="auto" w:fill="FFFFFF"/>
          </w:tcPr>
          <w:p w14:paraId="339B70F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tcBorders>
              <w:left w:val="single" w:sz="4" w:space="0" w:color="auto"/>
              <w:right w:val="single" w:sz="12" w:space="0" w:color="auto"/>
            </w:tcBorders>
            <w:shd w:val="clear" w:color="auto" w:fill="FFFFFF"/>
          </w:tcPr>
          <w:p w14:paraId="6D49AE03"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r>
      <w:tr w:rsidR="00E2476B" w14:paraId="7889E55C" w14:textId="77777777" w:rsidTr="00E2476B">
        <w:trPr>
          <w:trHeight w:val="363"/>
          <w:jc w:val="center"/>
        </w:trPr>
        <w:tc>
          <w:tcPr>
            <w:tcW w:w="1318" w:type="dxa"/>
            <w:tcBorders>
              <w:left w:val="single" w:sz="12" w:space="0" w:color="auto"/>
              <w:right w:val="single" w:sz="4" w:space="0" w:color="auto"/>
            </w:tcBorders>
            <w:shd w:val="clear" w:color="auto" w:fill="FFFFFF"/>
          </w:tcPr>
          <w:p w14:paraId="7120993C"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20-29</w:t>
            </w:r>
          </w:p>
        </w:tc>
        <w:tc>
          <w:tcPr>
            <w:tcW w:w="919" w:type="dxa"/>
            <w:tcBorders>
              <w:left w:val="single" w:sz="4" w:space="0" w:color="auto"/>
              <w:right w:val="single" w:sz="4" w:space="0" w:color="auto"/>
            </w:tcBorders>
            <w:shd w:val="clear" w:color="auto" w:fill="FFFFFF"/>
          </w:tcPr>
          <w:p w14:paraId="0AA3972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-0.90</w:t>
            </w:r>
          </w:p>
        </w:tc>
        <w:tc>
          <w:tcPr>
            <w:tcW w:w="924" w:type="dxa"/>
            <w:tcBorders>
              <w:left w:val="single" w:sz="4" w:space="0" w:color="auto"/>
              <w:right w:val="single" w:sz="4" w:space="0" w:color="auto"/>
            </w:tcBorders>
            <w:shd w:val="clear" w:color="auto" w:fill="FFFFFF"/>
          </w:tcPr>
          <w:p w14:paraId="40E951B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 -0.70</w:t>
            </w:r>
          </w:p>
        </w:tc>
        <w:tc>
          <w:tcPr>
            <w:tcW w:w="923" w:type="dxa"/>
            <w:gridSpan w:val="2"/>
            <w:tcBorders>
              <w:left w:val="single" w:sz="4" w:space="0" w:color="auto"/>
              <w:right w:val="single" w:sz="12" w:space="0" w:color="auto"/>
            </w:tcBorders>
            <w:shd w:val="clear" w:color="auto" w:fill="FFFFFF"/>
          </w:tcPr>
          <w:p w14:paraId="51F0779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0" w:type="dxa"/>
            <w:tcBorders>
              <w:left w:val="single" w:sz="12" w:space="0" w:color="auto"/>
              <w:right w:val="single" w:sz="4" w:space="0" w:color="auto"/>
            </w:tcBorders>
            <w:shd w:val="clear" w:color="auto" w:fill="FFFFFF"/>
          </w:tcPr>
          <w:p w14:paraId="1129298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-0.75</w:t>
            </w:r>
          </w:p>
        </w:tc>
        <w:tc>
          <w:tcPr>
            <w:tcW w:w="923" w:type="dxa"/>
            <w:tcBorders>
              <w:left w:val="single" w:sz="4" w:space="0" w:color="auto"/>
              <w:right w:val="single" w:sz="4" w:space="0" w:color="auto"/>
            </w:tcBorders>
            <w:shd w:val="clear" w:color="auto" w:fill="FFFFFF"/>
          </w:tcPr>
          <w:p w14:paraId="732B376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-0.48</w:t>
            </w:r>
          </w:p>
        </w:tc>
        <w:tc>
          <w:tcPr>
            <w:tcW w:w="926" w:type="dxa"/>
            <w:gridSpan w:val="2"/>
            <w:tcBorders>
              <w:left w:val="single" w:sz="4" w:space="0" w:color="auto"/>
              <w:right w:val="single" w:sz="12" w:space="0" w:color="auto"/>
            </w:tcBorders>
            <w:shd w:val="clear" w:color="auto" w:fill="FFFFFF"/>
          </w:tcPr>
          <w:p w14:paraId="5BF91A9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tcBorders>
              <w:left w:val="single" w:sz="12" w:space="0" w:color="auto"/>
              <w:right w:val="single" w:sz="4" w:space="0" w:color="auto"/>
            </w:tcBorders>
            <w:shd w:val="clear" w:color="auto" w:fill="FFFFFF"/>
          </w:tcPr>
          <w:p w14:paraId="7E7E31A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w:t>
            </w:r>
          </w:p>
        </w:tc>
        <w:tc>
          <w:tcPr>
            <w:tcW w:w="920" w:type="dxa"/>
            <w:tcBorders>
              <w:left w:val="single" w:sz="4" w:space="0" w:color="auto"/>
              <w:right w:val="single" w:sz="4" w:space="0" w:color="auto"/>
            </w:tcBorders>
            <w:shd w:val="clear" w:color="auto" w:fill="FFFFFF"/>
          </w:tcPr>
          <w:p w14:paraId="4A42C35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-0.78</w:t>
            </w:r>
          </w:p>
        </w:tc>
        <w:tc>
          <w:tcPr>
            <w:tcW w:w="927" w:type="dxa"/>
            <w:tcBorders>
              <w:left w:val="single" w:sz="4" w:space="0" w:color="auto"/>
              <w:right w:val="single" w:sz="12" w:space="0" w:color="auto"/>
            </w:tcBorders>
            <w:shd w:val="clear" w:color="auto" w:fill="FFFFFF"/>
          </w:tcPr>
          <w:p w14:paraId="7E4D5A3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734632D6" w14:textId="77777777" w:rsidTr="00E2476B">
        <w:trPr>
          <w:trHeight w:val="363"/>
          <w:jc w:val="center"/>
        </w:trPr>
        <w:tc>
          <w:tcPr>
            <w:tcW w:w="1318" w:type="dxa"/>
            <w:tcBorders>
              <w:left w:val="single" w:sz="12" w:space="0" w:color="auto"/>
              <w:right w:val="single" w:sz="4" w:space="0" w:color="auto"/>
            </w:tcBorders>
            <w:shd w:val="clear" w:color="auto" w:fill="FFFFFF"/>
          </w:tcPr>
          <w:p w14:paraId="5D30F96D"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40-49</w:t>
            </w:r>
          </w:p>
        </w:tc>
        <w:tc>
          <w:tcPr>
            <w:tcW w:w="919" w:type="dxa"/>
            <w:tcBorders>
              <w:left w:val="single" w:sz="4" w:space="0" w:color="auto"/>
              <w:right w:val="single" w:sz="4" w:space="0" w:color="auto"/>
            </w:tcBorders>
            <w:shd w:val="clear" w:color="auto" w:fill="FFFFFF"/>
          </w:tcPr>
          <w:p w14:paraId="3ADD9FF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0.37</w:t>
            </w:r>
          </w:p>
        </w:tc>
        <w:tc>
          <w:tcPr>
            <w:tcW w:w="924" w:type="dxa"/>
            <w:tcBorders>
              <w:left w:val="single" w:sz="4" w:space="0" w:color="auto"/>
              <w:right w:val="single" w:sz="4" w:space="0" w:color="auto"/>
            </w:tcBorders>
            <w:shd w:val="clear" w:color="auto" w:fill="FFFFFF"/>
          </w:tcPr>
          <w:p w14:paraId="634DB61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0.21, 0.52</w:t>
            </w:r>
          </w:p>
        </w:tc>
        <w:tc>
          <w:tcPr>
            <w:tcW w:w="923" w:type="dxa"/>
            <w:gridSpan w:val="2"/>
            <w:tcBorders>
              <w:left w:val="single" w:sz="4" w:space="0" w:color="auto"/>
              <w:right w:val="single" w:sz="12" w:space="0" w:color="auto"/>
            </w:tcBorders>
            <w:shd w:val="clear" w:color="auto" w:fill="FFFFFF"/>
          </w:tcPr>
          <w:p w14:paraId="3750875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0" w:type="dxa"/>
            <w:tcBorders>
              <w:left w:val="single" w:sz="12" w:space="0" w:color="auto"/>
              <w:right w:val="single" w:sz="4" w:space="0" w:color="auto"/>
            </w:tcBorders>
            <w:shd w:val="clear" w:color="auto" w:fill="FFFFFF"/>
          </w:tcPr>
          <w:p w14:paraId="276625A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-0.45</w:t>
            </w:r>
          </w:p>
        </w:tc>
        <w:tc>
          <w:tcPr>
            <w:tcW w:w="923" w:type="dxa"/>
            <w:tcBorders>
              <w:left w:val="single" w:sz="4" w:space="0" w:color="auto"/>
              <w:right w:val="single" w:sz="4" w:space="0" w:color="auto"/>
            </w:tcBorders>
            <w:shd w:val="clear" w:color="auto" w:fill="FFFFFF"/>
          </w:tcPr>
          <w:p w14:paraId="14BE240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-0.76, -0.14</w:t>
            </w:r>
          </w:p>
        </w:tc>
        <w:tc>
          <w:tcPr>
            <w:tcW w:w="926" w:type="dxa"/>
            <w:gridSpan w:val="2"/>
            <w:tcBorders>
              <w:left w:val="single" w:sz="4" w:space="0" w:color="auto"/>
              <w:right w:val="single" w:sz="12" w:space="0" w:color="auto"/>
            </w:tcBorders>
            <w:shd w:val="clear" w:color="auto" w:fill="FFFFFF"/>
          </w:tcPr>
          <w:p w14:paraId="5D77C24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923" w:type="dxa"/>
            <w:tcBorders>
              <w:left w:val="single" w:sz="12" w:space="0" w:color="auto"/>
              <w:right w:val="single" w:sz="4" w:space="0" w:color="auto"/>
            </w:tcBorders>
            <w:shd w:val="clear" w:color="auto" w:fill="FFFFFF"/>
          </w:tcPr>
          <w:p w14:paraId="56660DE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0.39</w:t>
            </w:r>
          </w:p>
        </w:tc>
        <w:tc>
          <w:tcPr>
            <w:tcW w:w="920" w:type="dxa"/>
            <w:tcBorders>
              <w:left w:val="single" w:sz="4" w:space="0" w:color="auto"/>
              <w:right w:val="single" w:sz="4" w:space="0" w:color="auto"/>
            </w:tcBorders>
            <w:shd w:val="clear" w:color="auto" w:fill="FFFFFF"/>
          </w:tcPr>
          <w:p w14:paraId="2430B33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0.11, 0.66</w:t>
            </w:r>
          </w:p>
        </w:tc>
        <w:tc>
          <w:tcPr>
            <w:tcW w:w="927" w:type="dxa"/>
            <w:tcBorders>
              <w:left w:val="single" w:sz="4" w:space="0" w:color="auto"/>
              <w:right w:val="single" w:sz="12" w:space="0" w:color="auto"/>
            </w:tcBorders>
            <w:shd w:val="clear" w:color="auto" w:fill="FFFFFF"/>
          </w:tcPr>
          <w:p w14:paraId="7B57D2F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0.006</w:t>
            </w:r>
          </w:p>
        </w:tc>
      </w:tr>
      <w:tr w:rsidR="00E2476B" w14:paraId="7B38F486" w14:textId="77777777" w:rsidTr="00E2476B">
        <w:trPr>
          <w:trHeight w:val="363"/>
          <w:jc w:val="center"/>
        </w:trPr>
        <w:tc>
          <w:tcPr>
            <w:tcW w:w="1318" w:type="dxa"/>
            <w:tcBorders>
              <w:left w:val="single" w:sz="12" w:space="0" w:color="auto"/>
              <w:right w:val="single" w:sz="4" w:space="0" w:color="auto"/>
            </w:tcBorders>
            <w:shd w:val="clear" w:color="auto" w:fill="FFFFFF"/>
          </w:tcPr>
          <w:p w14:paraId="6719308E"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50-69</w:t>
            </w:r>
          </w:p>
        </w:tc>
        <w:tc>
          <w:tcPr>
            <w:tcW w:w="919" w:type="dxa"/>
            <w:tcBorders>
              <w:left w:val="single" w:sz="4" w:space="0" w:color="auto"/>
              <w:right w:val="single" w:sz="4" w:space="0" w:color="auto"/>
            </w:tcBorders>
            <w:shd w:val="clear" w:color="auto" w:fill="FFFFFF"/>
          </w:tcPr>
          <w:p w14:paraId="4C68985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w:t>
            </w:r>
          </w:p>
        </w:tc>
        <w:tc>
          <w:tcPr>
            <w:tcW w:w="924" w:type="dxa"/>
            <w:tcBorders>
              <w:left w:val="single" w:sz="4" w:space="0" w:color="auto"/>
              <w:right w:val="single" w:sz="4" w:space="0" w:color="auto"/>
            </w:tcBorders>
            <w:shd w:val="clear" w:color="auto" w:fill="FFFFFF"/>
          </w:tcPr>
          <w:p w14:paraId="63A8485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1.0, 1.3</w:t>
            </w:r>
          </w:p>
        </w:tc>
        <w:tc>
          <w:tcPr>
            <w:tcW w:w="923" w:type="dxa"/>
            <w:gridSpan w:val="2"/>
            <w:tcBorders>
              <w:left w:val="single" w:sz="4" w:space="0" w:color="auto"/>
              <w:right w:val="single" w:sz="12" w:space="0" w:color="auto"/>
            </w:tcBorders>
            <w:shd w:val="clear" w:color="auto" w:fill="FFFFFF"/>
          </w:tcPr>
          <w:p w14:paraId="49ED426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0" w:type="dxa"/>
            <w:tcBorders>
              <w:left w:val="single" w:sz="12" w:space="0" w:color="auto"/>
              <w:right w:val="single" w:sz="4" w:space="0" w:color="auto"/>
            </w:tcBorders>
            <w:shd w:val="clear" w:color="auto" w:fill="FFFFFF"/>
          </w:tcPr>
          <w:p w14:paraId="2E190D63"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-0.90</w:t>
            </w:r>
          </w:p>
        </w:tc>
        <w:tc>
          <w:tcPr>
            <w:tcW w:w="923" w:type="dxa"/>
            <w:tcBorders>
              <w:left w:val="single" w:sz="4" w:space="0" w:color="auto"/>
              <w:right w:val="single" w:sz="4" w:space="0" w:color="auto"/>
            </w:tcBorders>
            <w:shd w:val="clear" w:color="auto" w:fill="FFFFFF"/>
          </w:tcPr>
          <w:p w14:paraId="122349A3"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 -0.60</w:t>
            </w:r>
          </w:p>
        </w:tc>
        <w:tc>
          <w:tcPr>
            <w:tcW w:w="926" w:type="dxa"/>
            <w:gridSpan w:val="2"/>
            <w:tcBorders>
              <w:left w:val="single" w:sz="4" w:space="0" w:color="auto"/>
              <w:right w:val="single" w:sz="12" w:space="0" w:color="auto"/>
            </w:tcBorders>
            <w:shd w:val="clear" w:color="auto" w:fill="FFFFFF"/>
          </w:tcPr>
          <w:p w14:paraId="6ECCAE4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tcBorders>
              <w:left w:val="single" w:sz="12" w:space="0" w:color="auto"/>
              <w:right w:val="single" w:sz="4" w:space="0" w:color="auto"/>
            </w:tcBorders>
            <w:shd w:val="clear" w:color="auto" w:fill="FFFFFF"/>
          </w:tcPr>
          <w:p w14:paraId="3D47DA1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0.91</w:t>
            </w:r>
          </w:p>
        </w:tc>
        <w:tc>
          <w:tcPr>
            <w:tcW w:w="920" w:type="dxa"/>
            <w:tcBorders>
              <w:left w:val="single" w:sz="4" w:space="0" w:color="auto"/>
              <w:right w:val="single" w:sz="4" w:space="0" w:color="auto"/>
            </w:tcBorders>
            <w:shd w:val="clear" w:color="auto" w:fill="FFFFFF"/>
          </w:tcPr>
          <w:p w14:paraId="0886E35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0.62, 1.2</w:t>
            </w:r>
          </w:p>
        </w:tc>
        <w:tc>
          <w:tcPr>
            <w:tcW w:w="927" w:type="dxa"/>
            <w:tcBorders>
              <w:left w:val="single" w:sz="4" w:space="0" w:color="auto"/>
              <w:right w:val="single" w:sz="12" w:space="0" w:color="auto"/>
            </w:tcBorders>
            <w:shd w:val="clear" w:color="auto" w:fill="FFFFFF"/>
          </w:tcPr>
          <w:p w14:paraId="39CCA73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36572FD0" w14:textId="77777777" w:rsidTr="00E2476B">
        <w:trPr>
          <w:jc w:val="center"/>
        </w:trPr>
        <w:tc>
          <w:tcPr>
            <w:tcW w:w="9623" w:type="dxa"/>
            <w:gridSpan w:val="12"/>
            <w:tcBorders>
              <w:left w:val="single" w:sz="12" w:space="0" w:color="auto"/>
              <w:right w:val="single" w:sz="12" w:space="0" w:color="auto"/>
            </w:tcBorders>
            <w:shd w:val="clear" w:color="auto" w:fill="FFFFFF"/>
          </w:tcPr>
          <w:p w14:paraId="5309B44F" w14:textId="77777777" w:rsidR="00E2476B" w:rsidRDefault="00E2476B" w:rsidP="0018419C">
            <w:pPr>
              <w:spacing w:before="96" w:after="96"/>
              <w:ind w:left="100" w:right="100"/>
              <w:rPr>
                <w:rFonts w:ascii="Times New Roman" w:eastAsia="Arial" w:hAnsi="Times New Roman" w:cs="Times New Roman"/>
                <w:color w:val="000000"/>
                <w:sz w:val="14"/>
                <w:szCs w:val="14"/>
              </w:rPr>
            </w:pPr>
            <w:r>
              <w:rPr>
                <w:rFonts w:ascii="Times New Roman" w:eastAsia="Arial" w:hAnsi="Times New Roman" w:cs="Times New Roman"/>
                <w:i/>
                <w:iCs/>
                <w:color w:val="000000"/>
                <w:sz w:val="14"/>
                <w:szCs w:val="14"/>
              </w:rPr>
              <w:t>Type de couple</w:t>
            </w:r>
          </w:p>
        </w:tc>
      </w:tr>
      <w:tr w:rsidR="00E2476B" w14:paraId="2E4D08DC" w14:textId="77777777" w:rsidTr="00E2476B">
        <w:trPr>
          <w:trHeight w:val="363"/>
          <w:jc w:val="center"/>
        </w:trPr>
        <w:tc>
          <w:tcPr>
            <w:tcW w:w="1318" w:type="dxa"/>
            <w:tcBorders>
              <w:left w:val="single" w:sz="12" w:space="0" w:color="auto"/>
              <w:right w:val="single" w:sz="4" w:space="0" w:color="auto"/>
            </w:tcBorders>
            <w:shd w:val="clear" w:color="auto" w:fill="FFFFFF"/>
          </w:tcPr>
          <w:p w14:paraId="49D214BB"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même sexe</w:t>
            </w:r>
          </w:p>
        </w:tc>
        <w:tc>
          <w:tcPr>
            <w:tcW w:w="919" w:type="dxa"/>
            <w:tcBorders>
              <w:left w:val="single" w:sz="4" w:space="0" w:color="auto"/>
              <w:right w:val="single" w:sz="4" w:space="0" w:color="auto"/>
            </w:tcBorders>
            <w:shd w:val="clear" w:color="auto" w:fill="FFFFFF"/>
          </w:tcPr>
          <w:p w14:paraId="1B721F6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042C7C1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tcBorders>
              <w:left w:val="single" w:sz="4" w:space="0" w:color="auto"/>
              <w:right w:val="single" w:sz="12" w:space="0" w:color="auto"/>
            </w:tcBorders>
            <w:shd w:val="clear" w:color="auto" w:fill="FFFFFF"/>
          </w:tcPr>
          <w:p w14:paraId="39A1D3A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104272B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tcBorders>
              <w:left w:val="single" w:sz="4" w:space="0" w:color="auto"/>
              <w:right w:val="single" w:sz="4" w:space="0" w:color="auto"/>
            </w:tcBorders>
            <w:shd w:val="clear" w:color="auto" w:fill="FFFFFF"/>
          </w:tcPr>
          <w:p w14:paraId="603761F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gridSpan w:val="2"/>
            <w:tcBorders>
              <w:left w:val="single" w:sz="4" w:space="0" w:color="auto"/>
              <w:right w:val="single" w:sz="12" w:space="0" w:color="auto"/>
            </w:tcBorders>
            <w:shd w:val="clear" w:color="auto" w:fill="FFFFFF"/>
          </w:tcPr>
          <w:p w14:paraId="47B552B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tcBorders>
              <w:left w:val="single" w:sz="12" w:space="0" w:color="auto"/>
              <w:right w:val="single" w:sz="4" w:space="0" w:color="auto"/>
            </w:tcBorders>
            <w:shd w:val="clear" w:color="auto" w:fill="FFFFFF"/>
          </w:tcPr>
          <w:p w14:paraId="1233DDA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0" w:type="dxa"/>
            <w:tcBorders>
              <w:left w:val="single" w:sz="4" w:space="0" w:color="auto"/>
              <w:right w:val="single" w:sz="4" w:space="0" w:color="auto"/>
            </w:tcBorders>
            <w:shd w:val="clear" w:color="auto" w:fill="FFFFFF"/>
          </w:tcPr>
          <w:p w14:paraId="6ACA091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tcBorders>
              <w:left w:val="single" w:sz="4" w:space="0" w:color="auto"/>
              <w:right w:val="single" w:sz="12" w:space="0" w:color="auto"/>
            </w:tcBorders>
            <w:shd w:val="clear" w:color="auto" w:fill="FFFFFF"/>
          </w:tcPr>
          <w:p w14:paraId="63CC43A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r>
      <w:tr w:rsidR="00E2476B" w14:paraId="0823237A" w14:textId="77777777" w:rsidTr="00E2476B">
        <w:trPr>
          <w:trHeight w:val="363"/>
          <w:jc w:val="center"/>
        </w:trPr>
        <w:tc>
          <w:tcPr>
            <w:tcW w:w="1318" w:type="dxa"/>
            <w:tcBorders>
              <w:left w:val="single" w:sz="12" w:space="0" w:color="auto"/>
              <w:right w:val="single" w:sz="4" w:space="0" w:color="auto"/>
            </w:tcBorders>
            <w:shd w:val="clear" w:color="auto" w:fill="FFFFFF"/>
          </w:tcPr>
          <w:p w14:paraId="5C599E8F" w14:textId="77777777" w:rsidR="00E2476B" w:rsidRDefault="00E2476B" w:rsidP="0018419C">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sexe différent</w:t>
            </w:r>
          </w:p>
        </w:tc>
        <w:tc>
          <w:tcPr>
            <w:tcW w:w="919" w:type="dxa"/>
            <w:tcBorders>
              <w:left w:val="single" w:sz="4" w:space="0" w:color="auto"/>
              <w:right w:val="single" w:sz="4" w:space="0" w:color="auto"/>
            </w:tcBorders>
            <w:shd w:val="clear" w:color="auto" w:fill="FFFFFF"/>
          </w:tcPr>
          <w:p w14:paraId="7524CE7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-0.14</w:t>
            </w:r>
          </w:p>
        </w:tc>
        <w:tc>
          <w:tcPr>
            <w:tcW w:w="924" w:type="dxa"/>
            <w:tcBorders>
              <w:left w:val="single" w:sz="4" w:space="0" w:color="auto"/>
              <w:right w:val="single" w:sz="4" w:space="0" w:color="auto"/>
            </w:tcBorders>
            <w:shd w:val="clear" w:color="auto" w:fill="FFFFFF"/>
          </w:tcPr>
          <w:p w14:paraId="201137A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-0.86, 0.57</w:t>
            </w:r>
          </w:p>
        </w:tc>
        <w:tc>
          <w:tcPr>
            <w:tcW w:w="923" w:type="dxa"/>
            <w:gridSpan w:val="2"/>
            <w:tcBorders>
              <w:left w:val="single" w:sz="4" w:space="0" w:color="auto"/>
              <w:right w:val="single" w:sz="12" w:space="0" w:color="auto"/>
            </w:tcBorders>
            <w:shd w:val="clear" w:color="auto" w:fill="FFFFFF"/>
          </w:tcPr>
          <w:p w14:paraId="4F917AF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w:t>
            </w:r>
          </w:p>
        </w:tc>
        <w:tc>
          <w:tcPr>
            <w:tcW w:w="920" w:type="dxa"/>
            <w:tcBorders>
              <w:left w:val="single" w:sz="12" w:space="0" w:color="auto"/>
              <w:right w:val="single" w:sz="4" w:space="0" w:color="auto"/>
            </w:tcBorders>
            <w:shd w:val="clear" w:color="auto" w:fill="FFFFFF"/>
          </w:tcPr>
          <w:p w14:paraId="1B26C8B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-0.98</w:t>
            </w:r>
          </w:p>
        </w:tc>
        <w:tc>
          <w:tcPr>
            <w:tcW w:w="923" w:type="dxa"/>
            <w:tcBorders>
              <w:left w:val="single" w:sz="4" w:space="0" w:color="auto"/>
              <w:right w:val="single" w:sz="4" w:space="0" w:color="auto"/>
            </w:tcBorders>
            <w:shd w:val="clear" w:color="auto" w:fill="FFFFFF"/>
          </w:tcPr>
          <w:p w14:paraId="39EE1747"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-2.2, 0.21</w:t>
            </w:r>
          </w:p>
        </w:tc>
        <w:tc>
          <w:tcPr>
            <w:tcW w:w="926" w:type="dxa"/>
            <w:gridSpan w:val="2"/>
            <w:tcBorders>
              <w:left w:val="single" w:sz="4" w:space="0" w:color="auto"/>
              <w:right w:val="single" w:sz="12" w:space="0" w:color="auto"/>
            </w:tcBorders>
            <w:shd w:val="clear" w:color="auto" w:fill="FFFFFF"/>
          </w:tcPr>
          <w:p w14:paraId="7DFFC49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w:t>
            </w:r>
          </w:p>
        </w:tc>
        <w:tc>
          <w:tcPr>
            <w:tcW w:w="923" w:type="dxa"/>
            <w:tcBorders>
              <w:left w:val="single" w:sz="12" w:space="0" w:color="auto"/>
              <w:right w:val="single" w:sz="4" w:space="0" w:color="auto"/>
            </w:tcBorders>
            <w:shd w:val="clear" w:color="auto" w:fill="FFFFFF"/>
          </w:tcPr>
          <w:p w14:paraId="5827130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-0.49</w:t>
            </w:r>
          </w:p>
        </w:tc>
        <w:tc>
          <w:tcPr>
            <w:tcW w:w="920" w:type="dxa"/>
            <w:tcBorders>
              <w:left w:val="single" w:sz="4" w:space="0" w:color="auto"/>
              <w:right w:val="single" w:sz="4" w:space="0" w:color="auto"/>
            </w:tcBorders>
            <w:shd w:val="clear" w:color="auto" w:fill="FFFFFF"/>
          </w:tcPr>
          <w:p w14:paraId="6E12CD5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-1.4, 0.40</w:t>
            </w:r>
          </w:p>
        </w:tc>
        <w:tc>
          <w:tcPr>
            <w:tcW w:w="927" w:type="dxa"/>
            <w:tcBorders>
              <w:left w:val="single" w:sz="4" w:space="0" w:color="auto"/>
              <w:right w:val="single" w:sz="12" w:space="0" w:color="auto"/>
            </w:tcBorders>
            <w:shd w:val="clear" w:color="auto" w:fill="FFFFFF"/>
          </w:tcPr>
          <w:p w14:paraId="625C407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r>
      <w:tr w:rsidR="00E2476B" w14:paraId="028611FB" w14:textId="77777777" w:rsidTr="00E2476B">
        <w:trPr>
          <w:jc w:val="center"/>
        </w:trPr>
        <w:tc>
          <w:tcPr>
            <w:tcW w:w="9623" w:type="dxa"/>
            <w:gridSpan w:val="12"/>
            <w:tcBorders>
              <w:left w:val="single" w:sz="12" w:space="0" w:color="auto"/>
              <w:right w:val="single" w:sz="12" w:space="0" w:color="auto"/>
            </w:tcBorders>
            <w:shd w:val="clear" w:color="auto" w:fill="FFFFFF"/>
          </w:tcPr>
          <w:p w14:paraId="4714C2E8" w14:textId="77777777" w:rsidR="00E2476B" w:rsidRDefault="00E2476B" w:rsidP="0018419C">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Situation financière</w:t>
            </w:r>
          </w:p>
        </w:tc>
      </w:tr>
      <w:tr w:rsidR="00E2476B" w14:paraId="00A4D267" w14:textId="77777777" w:rsidTr="00E2476B">
        <w:trPr>
          <w:trHeight w:val="363"/>
          <w:jc w:val="center"/>
        </w:trPr>
        <w:tc>
          <w:tcPr>
            <w:tcW w:w="1318" w:type="dxa"/>
            <w:tcBorders>
              <w:left w:val="single" w:sz="12" w:space="0" w:color="auto"/>
              <w:right w:val="single" w:sz="4" w:space="0" w:color="auto"/>
            </w:tcBorders>
            <w:shd w:val="clear" w:color="auto" w:fill="FFFFFF"/>
          </w:tcPr>
          <w:p w14:paraId="6C6C7989"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A l'aise/Ca va</w:t>
            </w:r>
          </w:p>
        </w:tc>
        <w:tc>
          <w:tcPr>
            <w:tcW w:w="919" w:type="dxa"/>
            <w:tcBorders>
              <w:left w:val="single" w:sz="4" w:space="0" w:color="auto"/>
              <w:right w:val="single" w:sz="4" w:space="0" w:color="auto"/>
            </w:tcBorders>
            <w:shd w:val="clear" w:color="auto" w:fill="FFFFFF"/>
          </w:tcPr>
          <w:p w14:paraId="187F752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6CBF529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tcBorders>
              <w:left w:val="single" w:sz="4" w:space="0" w:color="auto"/>
              <w:right w:val="single" w:sz="12" w:space="0" w:color="auto"/>
            </w:tcBorders>
            <w:shd w:val="clear" w:color="auto" w:fill="FFFFFF"/>
          </w:tcPr>
          <w:p w14:paraId="02CFF50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7EF89BC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tcBorders>
              <w:left w:val="single" w:sz="4" w:space="0" w:color="auto"/>
              <w:right w:val="single" w:sz="4" w:space="0" w:color="auto"/>
            </w:tcBorders>
            <w:shd w:val="clear" w:color="auto" w:fill="FFFFFF"/>
          </w:tcPr>
          <w:p w14:paraId="227E34D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gridSpan w:val="2"/>
            <w:tcBorders>
              <w:left w:val="single" w:sz="4" w:space="0" w:color="auto"/>
              <w:right w:val="single" w:sz="12" w:space="0" w:color="auto"/>
            </w:tcBorders>
            <w:shd w:val="clear" w:color="auto" w:fill="FFFFFF"/>
          </w:tcPr>
          <w:p w14:paraId="5EBEB29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tcBorders>
              <w:left w:val="single" w:sz="12" w:space="0" w:color="auto"/>
              <w:right w:val="single" w:sz="4" w:space="0" w:color="auto"/>
            </w:tcBorders>
            <w:shd w:val="clear" w:color="auto" w:fill="FFFFFF"/>
          </w:tcPr>
          <w:p w14:paraId="54D710F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0" w:type="dxa"/>
            <w:tcBorders>
              <w:left w:val="single" w:sz="4" w:space="0" w:color="auto"/>
              <w:right w:val="single" w:sz="4" w:space="0" w:color="auto"/>
            </w:tcBorders>
            <w:shd w:val="clear" w:color="auto" w:fill="FFFFFF"/>
          </w:tcPr>
          <w:p w14:paraId="59B1DA9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tcBorders>
              <w:left w:val="single" w:sz="4" w:space="0" w:color="auto"/>
              <w:right w:val="single" w:sz="12" w:space="0" w:color="auto"/>
            </w:tcBorders>
            <w:shd w:val="clear" w:color="auto" w:fill="FFFFFF"/>
          </w:tcPr>
          <w:p w14:paraId="171AF7E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r>
      <w:tr w:rsidR="00E2476B" w14:paraId="3BBBA015" w14:textId="77777777" w:rsidTr="00E2476B">
        <w:trPr>
          <w:trHeight w:val="363"/>
          <w:jc w:val="center"/>
        </w:trPr>
        <w:tc>
          <w:tcPr>
            <w:tcW w:w="1318" w:type="dxa"/>
            <w:tcBorders>
              <w:left w:val="single" w:sz="12" w:space="0" w:color="auto"/>
              <w:right w:val="single" w:sz="4" w:space="0" w:color="auto"/>
            </w:tcBorders>
            <w:shd w:val="clear" w:color="auto" w:fill="FFFFFF"/>
          </w:tcPr>
          <w:p w14:paraId="4E287476"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C'est juste</w:t>
            </w:r>
          </w:p>
        </w:tc>
        <w:tc>
          <w:tcPr>
            <w:tcW w:w="919" w:type="dxa"/>
            <w:tcBorders>
              <w:left w:val="single" w:sz="4" w:space="0" w:color="auto"/>
              <w:right w:val="single" w:sz="4" w:space="0" w:color="auto"/>
            </w:tcBorders>
            <w:shd w:val="clear" w:color="auto" w:fill="FFFFFF"/>
          </w:tcPr>
          <w:p w14:paraId="0108B1C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-0.20</w:t>
            </w:r>
          </w:p>
        </w:tc>
        <w:tc>
          <w:tcPr>
            <w:tcW w:w="924" w:type="dxa"/>
            <w:tcBorders>
              <w:left w:val="single" w:sz="4" w:space="0" w:color="auto"/>
              <w:right w:val="single" w:sz="4" w:space="0" w:color="auto"/>
            </w:tcBorders>
            <w:shd w:val="clear" w:color="auto" w:fill="FFFFFF"/>
          </w:tcPr>
          <w:p w14:paraId="4599F01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 -0.07</w:t>
            </w:r>
          </w:p>
        </w:tc>
        <w:tc>
          <w:tcPr>
            <w:tcW w:w="923" w:type="dxa"/>
            <w:gridSpan w:val="2"/>
            <w:tcBorders>
              <w:left w:val="single" w:sz="4" w:space="0" w:color="auto"/>
              <w:right w:val="single" w:sz="12" w:space="0" w:color="auto"/>
            </w:tcBorders>
            <w:shd w:val="clear" w:color="auto" w:fill="FFFFFF"/>
          </w:tcPr>
          <w:p w14:paraId="3D9CB4C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920" w:type="dxa"/>
            <w:tcBorders>
              <w:left w:val="single" w:sz="12" w:space="0" w:color="auto"/>
              <w:right w:val="single" w:sz="4" w:space="0" w:color="auto"/>
            </w:tcBorders>
            <w:shd w:val="clear" w:color="auto" w:fill="FFFFFF"/>
          </w:tcPr>
          <w:p w14:paraId="3FCFA5A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w:t>
            </w:r>
          </w:p>
        </w:tc>
        <w:tc>
          <w:tcPr>
            <w:tcW w:w="923" w:type="dxa"/>
            <w:tcBorders>
              <w:left w:val="single" w:sz="4" w:space="0" w:color="auto"/>
              <w:right w:val="single" w:sz="4" w:space="0" w:color="auto"/>
            </w:tcBorders>
            <w:shd w:val="clear" w:color="auto" w:fill="FFFFFF"/>
          </w:tcPr>
          <w:p w14:paraId="1C1311C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-0.21, 0.24</w:t>
            </w:r>
          </w:p>
        </w:tc>
        <w:tc>
          <w:tcPr>
            <w:tcW w:w="926" w:type="dxa"/>
            <w:gridSpan w:val="2"/>
            <w:tcBorders>
              <w:left w:val="single" w:sz="4" w:space="0" w:color="auto"/>
              <w:right w:val="single" w:sz="12" w:space="0" w:color="auto"/>
            </w:tcBorders>
            <w:shd w:val="clear" w:color="auto" w:fill="FFFFFF"/>
          </w:tcPr>
          <w:p w14:paraId="229E8AF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&gt;0.9</w:t>
            </w:r>
          </w:p>
        </w:tc>
        <w:tc>
          <w:tcPr>
            <w:tcW w:w="923" w:type="dxa"/>
            <w:tcBorders>
              <w:left w:val="single" w:sz="12" w:space="0" w:color="auto"/>
              <w:right w:val="single" w:sz="4" w:space="0" w:color="auto"/>
            </w:tcBorders>
            <w:shd w:val="clear" w:color="auto" w:fill="FFFFFF"/>
          </w:tcPr>
          <w:p w14:paraId="3744EC2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0.06</w:t>
            </w:r>
          </w:p>
        </w:tc>
        <w:tc>
          <w:tcPr>
            <w:tcW w:w="920" w:type="dxa"/>
            <w:tcBorders>
              <w:left w:val="single" w:sz="4" w:space="0" w:color="auto"/>
              <w:right w:val="single" w:sz="4" w:space="0" w:color="auto"/>
            </w:tcBorders>
            <w:shd w:val="clear" w:color="auto" w:fill="FFFFFF"/>
          </w:tcPr>
          <w:p w14:paraId="6A23B11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-0.16, 0.28</w:t>
            </w:r>
          </w:p>
        </w:tc>
        <w:tc>
          <w:tcPr>
            <w:tcW w:w="927" w:type="dxa"/>
            <w:tcBorders>
              <w:left w:val="single" w:sz="4" w:space="0" w:color="auto"/>
              <w:right w:val="single" w:sz="12" w:space="0" w:color="auto"/>
            </w:tcBorders>
            <w:shd w:val="clear" w:color="auto" w:fill="FFFFFF"/>
          </w:tcPr>
          <w:p w14:paraId="764E7A6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p>
        </w:tc>
      </w:tr>
      <w:tr w:rsidR="00E2476B" w14:paraId="7D56D990" w14:textId="77777777" w:rsidTr="00E2476B">
        <w:trPr>
          <w:trHeight w:val="363"/>
          <w:jc w:val="center"/>
        </w:trPr>
        <w:tc>
          <w:tcPr>
            <w:tcW w:w="1318" w:type="dxa"/>
            <w:tcBorders>
              <w:left w:val="single" w:sz="12" w:space="0" w:color="auto"/>
              <w:right w:val="single" w:sz="4" w:space="0" w:color="auto"/>
            </w:tcBorders>
            <w:shd w:val="clear" w:color="auto" w:fill="FFFFFF"/>
          </w:tcPr>
          <w:p w14:paraId="27F92278" w14:textId="77777777" w:rsidR="00E2476B" w:rsidRDefault="00E2476B" w:rsidP="0018419C">
            <w:pPr>
              <w:spacing w:after="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Difficile/</w:t>
            </w:r>
          </w:p>
          <w:p w14:paraId="1BAC0B18" w14:textId="77777777" w:rsidR="00E2476B" w:rsidRDefault="00E2476B" w:rsidP="0018419C">
            <w:pPr>
              <w:spacing w:after="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Dettes</w:t>
            </w:r>
          </w:p>
        </w:tc>
        <w:tc>
          <w:tcPr>
            <w:tcW w:w="919" w:type="dxa"/>
            <w:tcBorders>
              <w:left w:val="single" w:sz="4" w:space="0" w:color="auto"/>
              <w:right w:val="single" w:sz="4" w:space="0" w:color="auto"/>
            </w:tcBorders>
            <w:shd w:val="clear" w:color="auto" w:fill="FFFFFF"/>
          </w:tcPr>
          <w:p w14:paraId="323265B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-0.44</w:t>
            </w:r>
          </w:p>
        </w:tc>
        <w:tc>
          <w:tcPr>
            <w:tcW w:w="924" w:type="dxa"/>
            <w:tcBorders>
              <w:left w:val="single" w:sz="4" w:space="0" w:color="auto"/>
              <w:right w:val="single" w:sz="4" w:space="0" w:color="auto"/>
            </w:tcBorders>
            <w:shd w:val="clear" w:color="auto" w:fill="FFFFFF"/>
          </w:tcPr>
          <w:p w14:paraId="5275210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-0.62, -0.27</w:t>
            </w:r>
          </w:p>
        </w:tc>
        <w:tc>
          <w:tcPr>
            <w:tcW w:w="923" w:type="dxa"/>
            <w:gridSpan w:val="2"/>
            <w:tcBorders>
              <w:left w:val="single" w:sz="4" w:space="0" w:color="auto"/>
              <w:right w:val="single" w:sz="12" w:space="0" w:color="auto"/>
            </w:tcBorders>
            <w:shd w:val="clear" w:color="auto" w:fill="FFFFFF"/>
          </w:tcPr>
          <w:p w14:paraId="7281EE6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0" w:type="dxa"/>
            <w:tcBorders>
              <w:left w:val="single" w:sz="12" w:space="0" w:color="auto"/>
              <w:right w:val="single" w:sz="4" w:space="0" w:color="auto"/>
            </w:tcBorders>
            <w:shd w:val="clear" w:color="auto" w:fill="FFFFFF"/>
          </w:tcPr>
          <w:p w14:paraId="7DA4AB5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-0.17</w:t>
            </w:r>
          </w:p>
        </w:tc>
        <w:tc>
          <w:tcPr>
            <w:tcW w:w="923" w:type="dxa"/>
            <w:tcBorders>
              <w:left w:val="single" w:sz="4" w:space="0" w:color="auto"/>
              <w:right w:val="single" w:sz="4" w:space="0" w:color="auto"/>
            </w:tcBorders>
            <w:shd w:val="clear" w:color="auto" w:fill="FFFFFF"/>
          </w:tcPr>
          <w:p w14:paraId="314EA14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-0.44, 0.09</w:t>
            </w:r>
          </w:p>
        </w:tc>
        <w:tc>
          <w:tcPr>
            <w:tcW w:w="926" w:type="dxa"/>
            <w:gridSpan w:val="2"/>
            <w:tcBorders>
              <w:left w:val="single" w:sz="4" w:space="0" w:color="auto"/>
              <w:right w:val="single" w:sz="12" w:space="0" w:color="auto"/>
            </w:tcBorders>
            <w:shd w:val="clear" w:color="auto" w:fill="FFFFFF"/>
          </w:tcPr>
          <w:p w14:paraId="308E8EF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c>
          <w:tcPr>
            <w:tcW w:w="923" w:type="dxa"/>
            <w:tcBorders>
              <w:left w:val="single" w:sz="12" w:space="0" w:color="auto"/>
              <w:right w:val="single" w:sz="4" w:space="0" w:color="auto"/>
            </w:tcBorders>
            <w:shd w:val="clear" w:color="auto" w:fill="FFFFFF"/>
          </w:tcPr>
          <w:p w14:paraId="68106A7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w:t>
            </w:r>
          </w:p>
        </w:tc>
        <w:tc>
          <w:tcPr>
            <w:tcW w:w="920" w:type="dxa"/>
            <w:tcBorders>
              <w:left w:val="single" w:sz="4" w:space="0" w:color="auto"/>
              <w:right w:val="single" w:sz="4" w:space="0" w:color="auto"/>
            </w:tcBorders>
            <w:shd w:val="clear" w:color="auto" w:fill="FFFFFF"/>
          </w:tcPr>
          <w:p w14:paraId="58D0EF9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-0.60, -0.06</w:t>
            </w:r>
          </w:p>
        </w:tc>
        <w:tc>
          <w:tcPr>
            <w:tcW w:w="927" w:type="dxa"/>
            <w:tcBorders>
              <w:left w:val="single" w:sz="4" w:space="0" w:color="auto"/>
              <w:right w:val="single" w:sz="12" w:space="0" w:color="auto"/>
            </w:tcBorders>
            <w:shd w:val="clear" w:color="auto" w:fill="FFFFFF"/>
          </w:tcPr>
          <w:p w14:paraId="6284023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0.016</w:t>
            </w:r>
          </w:p>
        </w:tc>
      </w:tr>
      <w:tr w:rsidR="00E2476B" w14:paraId="57B61E18" w14:textId="77777777" w:rsidTr="00E2476B">
        <w:trPr>
          <w:trHeight w:val="363"/>
          <w:jc w:val="center"/>
        </w:trPr>
        <w:tc>
          <w:tcPr>
            <w:tcW w:w="1318" w:type="dxa"/>
            <w:tcBorders>
              <w:left w:val="single" w:sz="12" w:space="0" w:color="auto"/>
              <w:right w:val="single" w:sz="4" w:space="0" w:color="auto"/>
            </w:tcBorders>
            <w:shd w:val="clear" w:color="auto" w:fill="FFFFFF"/>
          </w:tcPr>
          <w:p w14:paraId="07E56FBD"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19" w:type="dxa"/>
            <w:tcBorders>
              <w:left w:val="single" w:sz="4" w:space="0" w:color="auto"/>
              <w:right w:val="single" w:sz="4" w:space="0" w:color="auto"/>
            </w:tcBorders>
            <w:shd w:val="clear" w:color="auto" w:fill="FFFFFF"/>
          </w:tcPr>
          <w:p w14:paraId="07FC540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-0.37</w:t>
            </w:r>
          </w:p>
        </w:tc>
        <w:tc>
          <w:tcPr>
            <w:tcW w:w="924" w:type="dxa"/>
            <w:tcBorders>
              <w:left w:val="single" w:sz="4" w:space="0" w:color="auto"/>
              <w:right w:val="single" w:sz="4" w:space="0" w:color="auto"/>
            </w:tcBorders>
            <w:shd w:val="clear" w:color="auto" w:fill="FFFFFF"/>
          </w:tcPr>
          <w:p w14:paraId="7630EE2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-1.0, 0.28</w:t>
            </w:r>
          </w:p>
        </w:tc>
        <w:tc>
          <w:tcPr>
            <w:tcW w:w="923" w:type="dxa"/>
            <w:gridSpan w:val="2"/>
            <w:tcBorders>
              <w:left w:val="single" w:sz="4" w:space="0" w:color="auto"/>
              <w:right w:val="single" w:sz="12" w:space="0" w:color="auto"/>
            </w:tcBorders>
            <w:shd w:val="clear" w:color="auto" w:fill="FFFFFF"/>
          </w:tcPr>
          <w:p w14:paraId="4E2E3FC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c>
          <w:tcPr>
            <w:tcW w:w="920" w:type="dxa"/>
            <w:tcBorders>
              <w:left w:val="single" w:sz="12" w:space="0" w:color="auto"/>
              <w:right w:val="single" w:sz="4" w:space="0" w:color="auto"/>
            </w:tcBorders>
            <w:shd w:val="clear" w:color="auto" w:fill="FFFFFF"/>
          </w:tcPr>
          <w:p w14:paraId="5F52039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0.19</w:t>
            </w:r>
          </w:p>
        </w:tc>
        <w:tc>
          <w:tcPr>
            <w:tcW w:w="923" w:type="dxa"/>
            <w:tcBorders>
              <w:left w:val="single" w:sz="4" w:space="0" w:color="auto"/>
              <w:right w:val="single" w:sz="4" w:space="0" w:color="auto"/>
            </w:tcBorders>
            <w:shd w:val="clear" w:color="auto" w:fill="FFFFFF"/>
          </w:tcPr>
          <w:p w14:paraId="685FD40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-1.5, 1.8</w:t>
            </w:r>
          </w:p>
        </w:tc>
        <w:tc>
          <w:tcPr>
            <w:tcW w:w="926" w:type="dxa"/>
            <w:gridSpan w:val="2"/>
            <w:tcBorders>
              <w:left w:val="single" w:sz="4" w:space="0" w:color="auto"/>
              <w:right w:val="single" w:sz="12" w:space="0" w:color="auto"/>
            </w:tcBorders>
            <w:shd w:val="clear" w:color="auto" w:fill="FFFFFF"/>
          </w:tcPr>
          <w:p w14:paraId="3F56D2A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923" w:type="dxa"/>
            <w:tcBorders>
              <w:left w:val="single" w:sz="12" w:space="0" w:color="auto"/>
              <w:right w:val="single" w:sz="4" w:space="0" w:color="auto"/>
            </w:tcBorders>
            <w:shd w:val="clear" w:color="auto" w:fill="FFFFFF"/>
          </w:tcPr>
          <w:p w14:paraId="00DC725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-0.31</w:t>
            </w:r>
          </w:p>
        </w:tc>
        <w:tc>
          <w:tcPr>
            <w:tcW w:w="920" w:type="dxa"/>
            <w:tcBorders>
              <w:left w:val="single" w:sz="4" w:space="0" w:color="auto"/>
              <w:right w:val="single" w:sz="4" w:space="0" w:color="auto"/>
            </w:tcBorders>
            <w:shd w:val="clear" w:color="auto" w:fill="FFFFFF"/>
          </w:tcPr>
          <w:p w14:paraId="241C32E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-1.3, 0.72</w:t>
            </w:r>
          </w:p>
        </w:tc>
        <w:tc>
          <w:tcPr>
            <w:tcW w:w="927" w:type="dxa"/>
            <w:tcBorders>
              <w:left w:val="single" w:sz="4" w:space="0" w:color="auto"/>
              <w:right w:val="single" w:sz="12" w:space="0" w:color="auto"/>
            </w:tcBorders>
            <w:shd w:val="clear" w:color="auto" w:fill="FFFFFF"/>
          </w:tcPr>
          <w:p w14:paraId="68D89417"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p>
        </w:tc>
      </w:tr>
      <w:tr w:rsidR="00E2476B" w14:paraId="151158CA" w14:textId="77777777" w:rsidTr="00E2476B">
        <w:trPr>
          <w:jc w:val="center"/>
        </w:trPr>
        <w:tc>
          <w:tcPr>
            <w:tcW w:w="9623" w:type="dxa"/>
            <w:gridSpan w:val="12"/>
            <w:tcBorders>
              <w:left w:val="single" w:sz="12" w:space="0" w:color="auto"/>
              <w:right w:val="single" w:sz="12" w:space="0" w:color="auto"/>
            </w:tcBorders>
            <w:shd w:val="clear" w:color="auto" w:fill="FFFFFF"/>
          </w:tcPr>
          <w:p w14:paraId="00AD57E3" w14:textId="77777777" w:rsidR="00E2476B" w:rsidRDefault="00E2476B" w:rsidP="0018419C">
            <w:pPr>
              <w:spacing w:before="96" w:after="96"/>
              <w:ind w:left="100" w:right="100"/>
              <w:rPr>
                <w:rFonts w:ascii="Times New Roman" w:eastAsia="Arial" w:hAnsi="Times New Roman" w:cs="Times New Roman"/>
                <w:color w:val="000000"/>
                <w:sz w:val="14"/>
                <w:szCs w:val="14"/>
              </w:rPr>
            </w:pPr>
            <w:r>
              <w:rPr>
                <w:rFonts w:ascii="Times New Roman" w:eastAsia="Arial" w:hAnsi="Times New Roman" w:cs="Times New Roman"/>
                <w:i/>
                <w:iCs/>
                <w:color w:val="000000"/>
                <w:sz w:val="14"/>
                <w:szCs w:val="14"/>
              </w:rPr>
              <w:t>A des enfants</w:t>
            </w:r>
          </w:p>
        </w:tc>
      </w:tr>
      <w:tr w:rsidR="00E2476B" w14:paraId="039737F6" w14:textId="77777777" w:rsidTr="00E2476B">
        <w:trPr>
          <w:trHeight w:val="363"/>
          <w:jc w:val="center"/>
        </w:trPr>
        <w:tc>
          <w:tcPr>
            <w:tcW w:w="1318" w:type="dxa"/>
            <w:tcBorders>
              <w:left w:val="single" w:sz="12" w:space="0" w:color="auto"/>
              <w:right w:val="single" w:sz="4" w:space="0" w:color="auto"/>
            </w:tcBorders>
            <w:shd w:val="clear" w:color="auto" w:fill="FFFFFF"/>
          </w:tcPr>
          <w:p w14:paraId="5587EF23"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19" w:type="dxa"/>
            <w:tcBorders>
              <w:left w:val="single" w:sz="4" w:space="0" w:color="auto"/>
              <w:right w:val="single" w:sz="4" w:space="0" w:color="auto"/>
            </w:tcBorders>
            <w:shd w:val="clear" w:color="auto" w:fill="FFFFFF"/>
          </w:tcPr>
          <w:p w14:paraId="5AEDE81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tcBorders>
              <w:left w:val="single" w:sz="4" w:space="0" w:color="auto"/>
              <w:right w:val="single" w:sz="4" w:space="0" w:color="auto"/>
            </w:tcBorders>
            <w:shd w:val="clear" w:color="auto" w:fill="FFFFFF"/>
          </w:tcPr>
          <w:p w14:paraId="73ECCE4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tcBorders>
              <w:left w:val="single" w:sz="4" w:space="0" w:color="auto"/>
              <w:right w:val="single" w:sz="12" w:space="0" w:color="auto"/>
            </w:tcBorders>
            <w:shd w:val="clear" w:color="auto" w:fill="FFFFFF"/>
          </w:tcPr>
          <w:p w14:paraId="5EB3896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28AA68F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tcBorders>
              <w:left w:val="single" w:sz="4" w:space="0" w:color="auto"/>
              <w:right w:val="single" w:sz="4" w:space="0" w:color="auto"/>
            </w:tcBorders>
            <w:shd w:val="clear" w:color="auto" w:fill="FFFFFF"/>
          </w:tcPr>
          <w:p w14:paraId="2C89A8F1"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gridSpan w:val="2"/>
            <w:tcBorders>
              <w:left w:val="single" w:sz="4" w:space="0" w:color="auto"/>
              <w:right w:val="single" w:sz="12" w:space="0" w:color="auto"/>
            </w:tcBorders>
            <w:shd w:val="clear" w:color="auto" w:fill="FFFFFF"/>
          </w:tcPr>
          <w:p w14:paraId="3822FDE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tcBorders>
              <w:left w:val="single" w:sz="12" w:space="0" w:color="auto"/>
              <w:right w:val="single" w:sz="4" w:space="0" w:color="auto"/>
            </w:tcBorders>
            <w:shd w:val="clear" w:color="auto" w:fill="FFFFFF"/>
          </w:tcPr>
          <w:p w14:paraId="3172F39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0" w:type="dxa"/>
            <w:tcBorders>
              <w:left w:val="single" w:sz="4" w:space="0" w:color="auto"/>
              <w:right w:val="single" w:sz="4" w:space="0" w:color="auto"/>
            </w:tcBorders>
            <w:shd w:val="clear" w:color="auto" w:fill="FFFFFF"/>
          </w:tcPr>
          <w:p w14:paraId="21F7A09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tcBorders>
              <w:left w:val="single" w:sz="4" w:space="0" w:color="auto"/>
              <w:right w:val="single" w:sz="12" w:space="0" w:color="auto"/>
            </w:tcBorders>
            <w:shd w:val="clear" w:color="auto" w:fill="FFFFFF"/>
          </w:tcPr>
          <w:p w14:paraId="33D8148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r>
      <w:tr w:rsidR="00E2476B" w14:paraId="5D517AA0" w14:textId="77777777" w:rsidTr="00E2476B">
        <w:trPr>
          <w:trHeight w:val="363"/>
          <w:jc w:val="center"/>
        </w:trPr>
        <w:tc>
          <w:tcPr>
            <w:tcW w:w="1318" w:type="dxa"/>
            <w:tcBorders>
              <w:left w:val="single" w:sz="12" w:space="0" w:color="auto"/>
              <w:right w:val="single" w:sz="4" w:space="0" w:color="auto"/>
            </w:tcBorders>
            <w:shd w:val="clear" w:color="auto" w:fill="FFFFFF"/>
          </w:tcPr>
          <w:p w14:paraId="5B4A9A74"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19" w:type="dxa"/>
            <w:tcBorders>
              <w:left w:val="single" w:sz="4" w:space="0" w:color="auto"/>
              <w:right w:val="single" w:sz="4" w:space="0" w:color="auto"/>
            </w:tcBorders>
            <w:shd w:val="clear" w:color="auto" w:fill="FFFFFF"/>
          </w:tcPr>
          <w:p w14:paraId="581435E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924" w:type="dxa"/>
            <w:tcBorders>
              <w:left w:val="single" w:sz="4" w:space="0" w:color="auto"/>
              <w:right w:val="single" w:sz="4" w:space="0" w:color="auto"/>
            </w:tcBorders>
            <w:shd w:val="clear" w:color="auto" w:fill="FFFFFF"/>
          </w:tcPr>
          <w:p w14:paraId="1A657A2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0.98, 1.3</w:t>
            </w:r>
          </w:p>
        </w:tc>
        <w:tc>
          <w:tcPr>
            <w:tcW w:w="923" w:type="dxa"/>
            <w:gridSpan w:val="2"/>
            <w:tcBorders>
              <w:left w:val="single" w:sz="4" w:space="0" w:color="auto"/>
              <w:right w:val="single" w:sz="12" w:space="0" w:color="auto"/>
            </w:tcBorders>
            <w:shd w:val="clear" w:color="auto" w:fill="FFFFFF"/>
          </w:tcPr>
          <w:p w14:paraId="420BCE5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0" w:type="dxa"/>
            <w:tcBorders>
              <w:left w:val="single" w:sz="12" w:space="0" w:color="auto"/>
              <w:right w:val="single" w:sz="4" w:space="0" w:color="auto"/>
            </w:tcBorders>
            <w:shd w:val="clear" w:color="auto" w:fill="FFFFFF"/>
          </w:tcPr>
          <w:p w14:paraId="59F86EF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c>
          <w:tcPr>
            <w:tcW w:w="923" w:type="dxa"/>
            <w:tcBorders>
              <w:left w:val="single" w:sz="4" w:space="0" w:color="auto"/>
              <w:right w:val="single" w:sz="4" w:space="0" w:color="auto"/>
            </w:tcBorders>
            <w:shd w:val="clear" w:color="auto" w:fill="FFFFFF"/>
          </w:tcPr>
          <w:p w14:paraId="2AC702B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1.1, 1.6</w:t>
            </w:r>
          </w:p>
        </w:tc>
        <w:tc>
          <w:tcPr>
            <w:tcW w:w="926" w:type="dxa"/>
            <w:gridSpan w:val="2"/>
            <w:tcBorders>
              <w:left w:val="single" w:sz="4" w:space="0" w:color="auto"/>
              <w:right w:val="single" w:sz="12" w:space="0" w:color="auto"/>
            </w:tcBorders>
            <w:shd w:val="clear" w:color="auto" w:fill="FFFFFF"/>
          </w:tcPr>
          <w:p w14:paraId="2FC08E7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tcBorders>
              <w:left w:val="single" w:sz="12" w:space="0" w:color="auto"/>
              <w:right w:val="single" w:sz="4" w:space="0" w:color="auto"/>
            </w:tcBorders>
            <w:shd w:val="clear" w:color="auto" w:fill="FFFFFF"/>
          </w:tcPr>
          <w:p w14:paraId="0926062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w:t>
            </w:r>
          </w:p>
        </w:tc>
        <w:tc>
          <w:tcPr>
            <w:tcW w:w="920" w:type="dxa"/>
            <w:tcBorders>
              <w:left w:val="single" w:sz="4" w:space="0" w:color="auto"/>
              <w:right w:val="single" w:sz="4" w:space="0" w:color="auto"/>
            </w:tcBorders>
            <w:shd w:val="clear" w:color="auto" w:fill="FFFFFF"/>
          </w:tcPr>
          <w:p w14:paraId="12C601D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1.2, 1.7</w:t>
            </w:r>
          </w:p>
        </w:tc>
        <w:tc>
          <w:tcPr>
            <w:tcW w:w="927" w:type="dxa"/>
            <w:tcBorders>
              <w:left w:val="single" w:sz="4" w:space="0" w:color="auto"/>
              <w:right w:val="single" w:sz="12" w:space="0" w:color="auto"/>
            </w:tcBorders>
            <w:shd w:val="clear" w:color="auto" w:fill="FFFFFF"/>
          </w:tcPr>
          <w:p w14:paraId="51419DD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65339542" w14:textId="77777777" w:rsidTr="00E2476B">
        <w:trPr>
          <w:jc w:val="center"/>
        </w:trPr>
        <w:tc>
          <w:tcPr>
            <w:tcW w:w="9623" w:type="dxa"/>
            <w:gridSpan w:val="12"/>
            <w:tcBorders>
              <w:left w:val="single" w:sz="12" w:space="0" w:color="auto"/>
              <w:right w:val="single" w:sz="12" w:space="0" w:color="auto"/>
            </w:tcBorders>
            <w:shd w:val="clear" w:color="auto" w:fill="FFFFFF"/>
          </w:tcPr>
          <w:p w14:paraId="19DA4270" w14:textId="77777777" w:rsidR="00E2476B" w:rsidRDefault="00E2476B" w:rsidP="0018419C">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Situation de couple actuelle</w:t>
            </w:r>
          </w:p>
        </w:tc>
      </w:tr>
      <w:tr w:rsidR="00E2476B" w14:paraId="73163AFE" w14:textId="77777777" w:rsidTr="00E2476B">
        <w:trPr>
          <w:trHeight w:val="363"/>
          <w:jc w:val="center"/>
        </w:trPr>
        <w:tc>
          <w:tcPr>
            <w:tcW w:w="1318" w:type="dxa"/>
            <w:tcBorders>
              <w:left w:val="single" w:sz="12" w:space="0" w:color="auto"/>
              <w:right w:val="single" w:sz="4" w:space="0" w:color="auto"/>
            </w:tcBorders>
            <w:shd w:val="clear" w:color="auto" w:fill="FFFFFF"/>
          </w:tcPr>
          <w:p w14:paraId="06F1E543"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Pas en couple</w:t>
            </w:r>
          </w:p>
        </w:tc>
        <w:tc>
          <w:tcPr>
            <w:tcW w:w="919" w:type="dxa"/>
            <w:tcBorders>
              <w:left w:val="single" w:sz="4" w:space="0" w:color="auto"/>
            </w:tcBorders>
            <w:shd w:val="clear" w:color="auto" w:fill="FFFFFF"/>
          </w:tcPr>
          <w:p w14:paraId="08F4FE7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4" w:type="dxa"/>
            <w:shd w:val="clear" w:color="auto" w:fill="FFFFFF"/>
          </w:tcPr>
          <w:p w14:paraId="39D35E9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gridSpan w:val="2"/>
            <w:tcBorders>
              <w:right w:val="single" w:sz="12" w:space="0" w:color="auto"/>
            </w:tcBorders>
            <w:shd w:val="clear" w:color="auto" w:fill="FFFFFF"/>
          </w:tcPr>
          <w:p w14:paraId="7CDFCF1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3119A81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tcBorders>
              <w:left w:val="single" w:sz="4" w:space="0" w:color="auto"/>
              <w:right w:val="single" w:sz="4" w:space="0" w:color="auto"/>
            </w:tcBorders>
            <w:shd w:val="clear" w:color="auto" w:fill="FFFFFF"/>
          </w:tcPr>
          <w:p w14:paraId="4051328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gridSpan w:val="2"/>
            <w:tcBorders>
              <w:left w:val="single" w:sz="4" w:space="0" w:color="auto"/>
              <w:right w:val="single" w:sz="12" w:space="0" w:color="auto"/>
            </w:tcBorders>
            <w:shd w:val="clear" w:color="auto" w:fill="FFFFFF"/>
          </w:tcPr>
          <w:p w14:paraId="060C07D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tcBorders>
              <w:left w:val="single" w:sz="12" w:space="0" w:color="auto"/>
              <w:right w:val="single" w:sz="4" w:space="0" w:color="auto"/>
            </w:tcBorders>
            <w:shd w:val="clear" w:color="auto" w:fill="FFFFFF"/>
          </w:tcPr>
          <w:p w14:paraId="169474D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0" w:type="dxa"/>
            <w:tcBorders>
              <w:left w:val="single" w:sz="4" w:space="0" w:color="auto"/>
              <w:right w:val="single" w:sz="4" w:space="0" w:color="auto"/>
            </w:tcBorders>
            <w:shd w:val="clear" w:color="auto" w:fill="FFFFFF"/>
          </w:tcPr>
          <w:p w14:paraId="5852C0A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7" w:type="dxa"/>
            <w:tcBorders>
              <w:left w:val="single" w:sz="4" w:space="0" w:color="auto"/>
              <w:right w:val="single" w:sz="12" w:space="0" w:color="auto"/>
            </w:tcBorders>
            <w:shd w:val="clear" w:color="auto" w:fill="FFFFFF"/>
          </w:tcPr>
          <w:p w14:paraId="79B6C0F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r>
      <w:tr w:rsidR="00E2476B" w14:paraId="56860545" w14:textId="77777777" w:rsidTr="00E2476B">
        <w:trPr>
          <w:trHeight w:val="363"/>
          <w:jc w:val="center"/>
        </w:trPr>
        <w:tc>
          <w:tcPr>
            <w:tcW w:w="1318" w:type="dxa"/>
            <w:tcBorders>
              <w:left w:val="single" w:sz="12" w:space="0" w:color="auto"/>
              <w:right w:val="single" w:sz="4" w:space="0" w:color="auto"/>
            </w:tcBorders>
            <w:shd w:val="clear" w:color="auto" w:fill="FFFFFF"/>
          </w:tcPr>
          <w:p w14:paraId="36E20C00"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lastRenderedPageBreak/>
              <w:t>Mariée</w:t>
            </w:r>
          </w:p>
        </w:tc>
        <w:tc>
          <w:tcPr>
            <w:tcW w:w="919" w:type="dxa"/>
            <w:tcBorders>
              <w:left w:val="single" w:sz="4" w:space="0" w:color="auto"/>
            </w:tcBorders>
            <w:shd w:val="clear" w:color="auto" w:fill="FFFFFF"/>
          </w:tcPr>
          <w:p w14:paraId="18F31AD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4" w:type="dxa"/>
            <w:shd w:val="clear" w:color="auto" w:fill="FFFFFF"/>
          </w:tcPr>
          <w:p w14:paraId="415A795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gridSpan w:val="2"/>
            <w:tcBorders>
              <w:right w:val="single" w:sz="12" w:space="0" w:color="auto"/>
            </w:tcBorders>
            <w:shd w:val="clear" w:color="auto" w:fill="FFFFFF"/>
          </w:tcPr>
          <w:p w14:paraId="46EDA50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25E177C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w:t>
            </w:r>
          </w:p>
        </w:tc>
        <w:tc>
          <w:tcPr>
            <w:tcW w:w="923" w:type="dxa"/>
            <w:tcBorders>
              <w:left w:val="single" w:sz="4" w:space="0" w:color="auto"/>
              <w:right w:val="single" w:sz="4" w:space="0" w:color="auto"/>
            </w:tcBorders>
            <w:shd w:val="clear" w:color="auto" w:fill="FFFFFF"/>
          </w:tcPr>
          <w:p w14:paraId="55BDE763"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3.8, 4.7</w:t>
            </w:r>
          </w:p>
        </w:tc>
        <w:tc>
          <w:tcPr>
            <w:tcW w:w="926" w:type="dxa"/>
            <w:gridSpan w:val="2"/>
            <w:tcBorders>
              <w:left w:val="single" w:sz="4" w:space="0" w:color="auto"/>
              <w:right w:val="single" w:sz="12" w:space="0" w:color="auto"/>
            </w:tcBorders>
            <w:shd w:val="clear" w:color="auto" w:fill="FFFFFF"/>
          </w:tcPr>
          <w:p w14:paraId="71629AB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tcBorders>
              <w:left w:val="single" w:sz="12" w:space="0" w:color="auto"/>
              <w:right w:val="single" w:sz="4" w:space="0" w:color="auto"/>
            </w:tcBorders>
            <w:shd w:val="clear" w:color="auto" w:fill="FFFFFF"/>
          </w:tcPr>
          <w:p w14:paraId="6ED6C2A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w:t>
            </w:r>
          </w:p>
        </w:tc>
        <w:tc>
          <w:tcPr>
            <w:tcW w:w="920" w:type="dxa"/>
            <w:tcBorders>
              <w:left w:val="single" w:sz="4" w:space="0" w:color="auto"/>
              <w:right w:val="single" w:sz="4" w:space="0" w:color="auto"/>
            </w:tcBorders>
            <w:shd w:val="clear" w:color="auto" w:fill="FFFFFF"/>
          </w:tcPr>
          <w:p w14:paraId="3FF5C4C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2.7, 3.6</w:t>
            </w:r>
          </w:p>
        </w:tc>
        <w:tc>
          <w:tcPr>
            <w:tcW w:w="927" w:type="dxa"/>
            <w:tcBorders>
              <w:left w:val="single" w:sz="4" w:space="0" w:color="auto"/>
              <w:right w:val="single" w:sz="12" w:space="0" w:color="auto"/>
            </w:tcBorders>
            <w:shd w:val="clear" w:color="auto" w:fill="FFFFFF"/>
          </w:tcPr>
          <w:p w14:paraId="528BC15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0FF6EF30" w14:textId="77777777" w:rsidTr="00E2476B">
        <w:trPr>
          <w:trHeight w:val="363"/>
          <w:jc w:val="center"/>
        </w:trPr>
        <w:tc>
          <w:tcPr>
            <w:tcW w:w="1318" w:type="dxa"/>
            <w:tcBorders>
              <w:left w:val="single" w:sz="12" w:space="0" w:color="auto"/>
              <w:right w:val="single" w:sz="4" w:space="0" w:color="auto"/>
            </w:tcBorders>
            <w:shd w:val="clear" w:color="auto" w:fill="FFFFFF"/>
          </w:tcPr>
          <w:p w14:paraId="6E8504E6"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Pacsée</w:t>
            </w:r>
          </w:p>
        </w:tc>
        <w:tc>
          <w:tcPr>
            <w:tcW w:w="919" w:type="dxa"/>
            <w:tcBorders>
              <w:left w:val="single" w:sz="4" w:space="0" w:color="auto"/>
            </w:tcBorders>
            <w:shd w:val="clear" w:color="auto" w:fill="FFFFFF"/>
          </w:tcPr>
          <w:p w14:paraId="0019EDC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4" w:type="dxa"/>
            <w:shd w:val="clear" w:color="auto" w:fill="FFFFFF"/>
          </w:tcPr>
          <w:p w14:paraId="7DC3DFCE"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gridSpan w:val="2"/>
            <w:tcBorders>
              <w:right w:val="single" w:sz="12" w:space="0" w:color="auto"/>
            </w:tcBorders>
            <w:shd w:val="clear" w:color="auto" w:fill="FFFFFF"/>
          </w:tcPr>
          <w:p w14:paraId="5E6DCCF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355DBD6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w:t>
            </w:r>
          </w:p>
        </w:tc>
        <w:tc>
          <w:tcPr>
            <w:tcW w:w="923" w:type="dxa"/>
            <w:tcBorders>
              <w:left w:val="single" w:sz="4" w:space="0" w:color="auto"/>
              <w:right w:val="single" w:sz="4" w:space="0" w:color="auto"/>
            </w:tcBorders>
            <w:shd w:val="clear" w:color="auto" w:fill="FFFFFF"/>
          </w:tcPr>
          <w:p w14:paraId="683915A7"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3.3, 4.7</w:t>
            </w:r>
          </w:p>
        </w:tc>
        <w:tc>
          <w:tcPr>
            <w:tcW w:w="926" w:type="dxa"/>
            <w:gridSpan w:val="2"/>
            <w:tcBorders>
              <w:left w:val="single" w:sz="4" w:space="0" w:color="auto"/>
              <w:right w:val="single" w:sz="12" w:space="0" w:color="auto"/>
            </w:tcBorders>
            <w:shd w:val="clear" w:color="auto" w:fill="FFFFFF"/>
          </w:tcPr>
          <w:p w14:paraId="710088B3"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tcBorders>
              <w:left w:val="single" w:sz="12" w:space="0" w:color="auto"/>
              <w:right w:val="single" w:sz="4" w:space="0" w:color="auto"/>
            </w:tcBorders>
            <w:shd w:val="clear" w:color="auto" w:fill="FFFFFF"/>
          </w:tcPr>
          <w:p w14:paraId="3C891D7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w:t>
            </w:r>
          </w:p>
        </w:tc>
        <w:tc>
          <w:tcPr>
            <w:tcW w:w="920" w:type="dxa"/>
            <w:tcBorders>
              <w:left w:val="single" w:sz="4" w:space="0" w:color="auto"/>
              <w:right w:val="single" w:sz="4" w:space="0" w:color="auto"/>
            </w:tcBorders>
            <w:shd w:val="clear" w:color="auto" w:fill="FFFFFF"/>
          </w:tcPr>
          <w:p w14:paraId="733CEB9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1.8, 2.8</w:t>
            </w:r>
          </w:p>
        </w:tc>
        <w:tc>
          <w:tcPr>
            <w:tcW w:w="927" w:type="dxa"/>
            <w:tcBorders>
              <w:left w:val="single" w:sz="4" w:space="0" w:color="auto"/>
              <w:right w:val="single" w:sz="12" w:space="0" w:color="auto"/>
            </w:tcBorders>
            <w:shd w:val="clear" w:color="auto" w:fill="FFFFFF"/>
          </w:tcPr>
          <w:p w14:paraId="0327265A"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693CC235" w14:textId="77777777" w:rsidTr="00E2476B">
        <w:trPr>
          <w:trHeight w:val="363"/>
          <w:jc w:val="center"/>
        </w:trPr>
        <w:tc>
          <w:tcPr>
            <w:tcW w:w="1318" w:type="dxa"/>
            <w:tcBorders>
              <w:left w:val="single" w:sz="12" w:space="0" w:color="auto"/>
              <w:right w:val="single" w:sz="4" w:space="0" w:color="auto"/>
            </w:tcBorders>
            <w:shd w:val="clear" w:color="auto" w:fill="FFFFFF"/>
          </w:tcPr>
          <w:p w14:paraId="0F42C987"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Union libre</w:t>
            </w:r>
          </w:p>
        </w:tc>
        <w:tc>
          <w:tcPr>
            <w:tcW w:w="919" w:type="dxa"/>
            <w:tcBorders>
              <w:left w:val="single" w:sz="4" w:space="0" w:color="auto"/>
            </w:tcBorders>
            <w:shd w:val="clear" w:color="auto" w:fill="FFFFFF"/>
          </w:tcPr>
          <w:p w14:paraId="1039F64B"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4" w:type="dxa"/>
            <w:shd w:val="clear" w:color="auto" w:fill="FFFFFF"/>
          </w:tcPr>
          <w:p w14:paraId="1AAA623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gridSpan w:val="2"/>
            <w:tcBorders>
              <w:right w:val="single" w:sz="12" w:space="0" w:color="auto"/>
            </w:tcBorders>
            <w:shd w:val="clear" w:color="auto" w:fill="FFFFFF"/>
          </w:tcPr>
          <w:p w14:paraId="15863F4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right w:val="single" w:sz="4" w:space="0" w:color="auto"/>
            </w:tcBorders>
            <w:shd w:val="clear" w:color="auto" w:fill="FFFFFF"/>
          </w:tcPr>
          <w:p w14:paraId="5A357CB3"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923" w:type="dxa"/>
            <w:tcBorders>
              <w:left w:val="single" w:sz="4" w:space="0" w:color="auto"/>
              <w:right w:val="single" w:sz="4" w:space="0" w:color="auto"/>
            </w:tcBorders>
            <w:shd w:val="clear" w:color="auto" w:fill="FFFFFF"/>
          </w:tcPr>
          <w:p w14:paraId="50FDC1EF"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0.71, 1.4</w:t>
            </w:r>
          </w:p>
        </w:tc>
        <w:tc>
          <w:tcPr>
            <w:tcW w:w="926" w:type="dxa"/>
            <w:gridSpan w:val="2"/>
            <w:tcBorders>
              <w:left w:val="single" w:sz="4" w:space="0" w:color="auto"/>
              <w:right w:val="single" w:sz="12" w:space="0" w:color="auto"/>
            </w:tcBorders>
            <w:shd w:val="clear" w:color="auto" w:fill="FFFFFF"/>
          </w:tcPr>
          <w:p w14:paraId="3205BEAC"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tcBorders>
              <w:left w:val="single" w:sz="12" w:space="0" w:color="auto"/>
              <w:right w:val="single" w:sz="4" w:space="0" w:color="auto"/>
            </w:tcBorders>
            <w:shd w:val="clear" w:color="auto" w:fill="FFFFFF"/>
          </w:tcPr>
          <w:p w14:paraId="2170A5F3"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0.85</w:t>
            </w:r>
          </w:p>
        </w:tc>
        <w:tc>
          <w:tcPr>
            <w:tcW w:w="920" w:type="dxa"/>
            <w:tcBorders>
              <w:left w:val="single" w:sz="4" w:space="0" w:color="auto"/>
              <w:right w:val="single" w:sz="4" w:space="0" w:color="auto"/>
            </w:tcBorders>
            <w:shd w:val="clear" w:color="auto" w:fill="FFFFFF"/>
          </w:tcPr>
          <w:p w14:paraId="799B3078"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0.46, 1.2</w:t>
            </w:r>
          </w:p>
        </w:tc>
        <w:tc>
          <w:tcPr>
            <w:tcW w:w="927" w:type="dxa"/>
            <w:tcBorders>
              <w:left w:val="single" w:sz="4" w:space="0" w:color="auto"/>
              <w:right w:val="single" w:sz="12" w:space="0" w:color="auto"/>
            </w:tcBorders>
            <w:shd w:val="clear" w:color="auto" w:fill="FFFFFF"/>
          </w:tcPr>
          <w:p w14:paraId="519F5996"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E2476B" w14:paraId="75ADC0F7" w14:textId="77777777" w:rsidTr="00E2476B">
        <w:trPr>
          <w:trHeight w:val="363"/>
          <w:jc w:val="center"/>
        </w:trPr>
        <w:tc>
          <w:tcPr>
            <w:tcW w:w="1318" w:type="dxa"/>
            <w:tcBorders>
              <w:left w:val="single" w:sz="12" w:space="0" w:color="auto"/>
              <w:bottom w:val="single" w:sz="8" w:space="0" w:color="000000"/>
              <w:right w:val="single" w:sz="4" w:space="0" w:color="auto"/>
            </w:tcBorders>
            <w:shd w:val="clear" w:color="auto" w:fill="FFFFFF"/>
          </w:tcPr>
          <w:p w14:paraId="5AF3489D" w14:textId="77777777" w:rsidR="00E2476B" w:rsidRDefault="00E2476B" w:rsidP="0018419C">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19" w:type="dxa"/>
            <w:tcBorders>
              <w:left w:val="single" w:sz="4" w:space="0" w:color="auto"/>
              <w:bottom w:val="single" w:sz="8" w:space="0" w:color="000000"/>
            </w:tcBorders>
            <w:shd w:val="clear" w:color="auto" w:fill="FFFFFF"/>
          </w:tcPr>
          <w:p w14:paraId="42359550"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4" w:type="dxa"/>
            <w:tcBorders>
              <w:bottom w:val="single" w:sz="8" w:space="0" w:color="000000"/>
            </w:tcBorders>
            <w:shd w:val="clear" w:color="auto" w:fill="FFFFFF"/>
          </w:tcPr>
          <w:p w14:paraId="1CADF595"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3" w:type="dxa"/>
            <w:gridSpan w:val="2"/>
            <w:tcBorders>
              <w:bottom w:val="single" w:sz="8" w:space="0" w:color="000000"/>
              <w:right w:val="single" w:sz="12" w:space="0" w:color="auto"/>
            </w:tcBorders>
            <w:shd w:val="clear" w:color="auto" w:fill="FFFFFF"/>
          </w:tcPr>
          <w:p w14:paraId="58B30E9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p>
        </w:tc>
        <w:tc>
          <w:tcPr>
            <w:tcW w:w="920" w:type="dxa"/>
            <w:tcBorders>
              <w:left w:val="single" w:sz="12" w:space="0" w:color="auto"/>
              <w:bottom w:val="single" w:sz="8" w:space="0" w:color="000000"/>
              <w:right w:val="single" w:sz="4" w:space="0" w:color="auto"/>
            </w:tcBorders>
            <w:shd w:val="clear" w:color="auto" w:fill="FFFFFF"/>
          </w:tcPr>
          <w:p w14:paraId="6843E9A2"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w:t>
            </w:r>
          </w:p>
        </w:tc>
        <w:tc>
          <w:tcPr>
            <w:tcW w:w="923" w:type="dxa"/>
            <w:tcBorders>
              <w:left w:val="single" w:sz="4" w:space="0" w:color="auto"/>
              <w:bottom w:val="single" w:sz="8" w:space="0" w:color="000000"/>
              <w:right w:val="single" w:sz="4" w:space="0" w:color="auto"/>
            </w:tcBorders>
            <w:shd w:val="clear" w:color="auto" w:fill="FFFFFF"/>
          </w:tcPr>
          <w:p w14:paraId="1066D4D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 -0.33</w:t>
            </w:r>
          </w:p>
        </w:tc>
        <w:tc>
          <w:tcPr>
            <w:tcW w:w="926" w:type="dxa"/>
            <w:gridSpan w:val="2"/>
            <w:tcBorders>
              <w:left w:val="single" w:sz="4" w:space="0" w:color="auto"/>
              <w:bottom w:val="single" w:sz="8" w:space="0" w:color="000000"/>
              <w:right w:val="single" w:sz="12" w:space="0" w:color="auto"/>
            </w:tcBorders>
            <w:shd w:val="clear" w:color="auto" w:fill="FFFFFF"/>
          </w:tcPr>
          <w:p w14:paraId="53FF8ED9"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0.024</w:t>
            </w:r>
          </w:p>
        </w:tc>
        <w:tc>
          <w:tcPr>
            <w:tcW w:w="923" w:type="dxa"/>
            <w:tcBorders>
              <w:left w:val="single" w:sz="12" w:space="0" w:color="auto"/>
              <w:bottom w:val="single" w:sz="8" w:space="0" w:color="000000"/>
              <w:right w:val="single" w:sz="4" w:space="0" w:color="auto"/>
            </w:tcBorders>
            <w:shd w:val="clear" w:color="auto" w:fill="FFFFFF"/>
          </w:tcPr>
          <w:p w14:paraId="0E17FFC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-0.93</w:t>
            </w:r>
          </w:p>
        </w:tc>
        <w:tc>
          <w:tcPr>
            <w:tcW w:w="920" w:type="dxa"/>
            <w:tcBorders>
              <w:left w:val="single" w:sz="4" w:space="0" w:color="auto"/>
              <w:bottom w:val="single" w:sz="8" w:space="0" w:color="000000"/>
              <w:right w:val="single" w:sz="4" w:space="0" w:color="auto"/>
            </w:tcBorders>
            <w:shd w:val="clear" w:color="auto" w:fill="FFFFFF"/>
          </w:tcPr>
          <w:p w14:paraId="49BBA904"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-2.1, 0.20</w:t>
            </w:r>
          </w:p>
        </w:tc>
        <w:tc>
          <w:tcPr>
            <w:tcW w:w="927" w:type="dxa"/>
            <w:tcBorders>
              <w:left w:val="single" w:sz="4" w:space="0" w:color="auto"/>
              <w:bottom w:val="single" w:sz="8" w:space="0" w:color="000000"/>
              <w:right w:val="single" w:sz="12" w:space="0" w:color="auto"/>
            </w:tcBorders>
            <w:shd w:val="clear" w:color="auto" w:fill="FFFFFF"/>
          </w:tcPr>
          <w:p w14:paraId="3F4FDBBD" w14:textId="77777777" w:rsidR="00E2476B" w:rsidRDefault="00E2476B" w:rsidP="0018419C">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w:t>
            </w:r>
          </w:p>
        </w:tc>
      </w:tr>
      <w:tr w:rsidR="00E2476B" w14:paraId="1BBEB607" w14:textId="77777777" w:rsidTr="00E2476B">
        <w:trPr>
          <w:trHeight w:val="737"/>
          <w:jc w:val="center"/>
        </w:trPr>
        <w:tc>
          <w:tcPr>
            <w:tcW w:w="9623" w:type="dxa"/>
            <w:gridSpan w:val="12"/>
            <w:tcBorders>
              <w:top w:val="single" w:sz="8" w:space="0" w:color="000000"/>
              <w:left w:val="single" w:sz="12" w:space="0" w:color="auto"/>
              <w:bottom w:val="single" w:sz="12" w:space="0" w:color="auto"/>
              <w:right w:val="single" w:sz="12" w:space="0" w:color="auto"/>
            </w:tcBorders>
            <w:shd w:val="clear" w:color="auto" w:fill="FFFFFF"/>
            <w:vAlign w:val="center"/>
          </w:tcPr>
          <w:p w14:paraId="25D0C5BC" w14:textId="77777777" w:rsidR="00E2476B" w:rsidRDefault="00E2476B" w:rsidP="0018419C">
            <w:pPr>
              <w:spacing w:before="40"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Abréviations : IC = Intervalle de confiance, OR =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w:t>
            </w:r>
          </w:p>
          <w:p w14:paraId="553E7677" w14:textId="77777777" w:rsidR="00E2476B" w:rsidRDefault="00E2476B" w:rsidP="0018419C">
            <w:pPr>
              <w:spacing w:before="40" w:after="40"/>
              <w:ind w:left="102" w:right="102"/>
              <w:rPr>
                <w:rFonts w:ascii="Times New Roman" w:eastAsia="Arial" w:hAnsi="Times New Roman" w:cs="Times New Roman"/>
                <w:color w:val="000000"/>
                <w:sz w:val="14"/>
                <w:szCs w:val="14"/>
              </w:rPr>
            </w:pPr>
            <w:r w:rsidRPr="008F47E0">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femmes de 20-69 ans s'étant déclarées en couple, au moins 4 mois, au cours des 12 derniers mois.</w:t>
            </w:r>
            <w:r>
              <w:rPr>
                <w:rFonts w:ascii="Times New Roman" w:eastAsia="Arial" w:hAnsi="Times New Roman" w:cs="Times New Roman"/>
                <w:color w:val="000000"/>
                <w:sz w:val="14"/>
                <w:szCs w:val="14"/>
              </w:rPr>
              <w:br/>
            </w:r>
            <w:r w:rsidRPr="008F47E0">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 fait de se déclarer bisexuelle diminue la probabilité d'être mariée par rapport aux hétérosexuelles.</w:t>
            </w:r>
          </w:p>
          <w:p w14:paraId="5853A3C6" w14:textId="77777777" w:rsidR="00E2476B" w:rsidRDefault="00E2476B" w:rsidP="0018419C">
            <w:pPr>
              <w:spacing w:before="40" w:after="40"/>
              <w:ind w:left="102" w:right="102"/>
              <w:rPr>
                <w:rFonts w:ascii="Arial" w:eastAsia="Arial" w:hAnsi="Arial" w:cs="Arial"/>
                <w:color w:val="000000"/>
                <w:sz w:val="14"/>
                <w:szCs w:val="14"/>
              </w:rPr>
            </w:pPr>
            <w:r>
              <w:rPr>
                <w:rFonts w:ascii="Times New Roman" w:eastAsia="Arial" w:hAnsi="Times New Roman" w:cs="Times New Roman"/>
                <w:b/>
                <w:bCs/>
                <w:color w:val="000000"/>
                <w:sz w:val="14"/>
                <w:szCs w:val="14"/>
              </w:rPr>
              <w:t xml:space="preserve">Source : </w:t>
            </w:r>
            <w:r>
              <w:rPr>
                <w:rFonts w:ascii="Times New Roman" w:eastAsia="Arial" w:hAnsi="Times New Roman" w:cs="Times New Roman"/>
                <w:color w:val="000000"/>
                <w:sz w:val="14"/>
                <w:szCs w:val="14"/>
              </w:rPr>
              <w:t>Enquête Virage PG, Ined, 2015</w:t>
            </w:r>
          </w:p>
        </w:tc>
      </w:tr>
    </w:tbl>
    <w:p w14:paraId="007EFE1A" w14:textId="77777777" w:rsidR="00E2476B" w:rsidRDefault="00E2476B" w:rsidP="00E2476B">
      <w:r>
        <w:t xml:space="preserve">Annexe 1 : Régression logistique des indicateurs d’évaluation conjugale sur l’identification sexuelle et diverses variables de structuration sociale.     </w:t>
      </w:r>
    </w:p>
    <w:tbl>
      <w:tblPr>
        <w:tblW w:w="5000" w:type="pct"/>
        <w:jc w:val="center"/>
        <w:tblLayout w:type="fixed"/>
        <w:tblCellMar>
          <w:left w:w="10" w:type="dxa"/>
          <w:right w:w="10" w:type="dxa"/>
        </w:tblCellMar>
        <w:tblLook w:val="0000" w:firstRow="0" w:lastRow="0" w:firstColumn="0" w:lastColumn="0" w:noHBand="0" w:noVBand="0"/>
      </w:tblPr>
      <w:tblGrid>
        <w:gridCol w:w="1782"/>
        <w:gridCol w:w="948"/>
        <w:gridCol w:w="949"/>
        <w:gridCol w:w="948"/>
        <w:gridCol w:w="950"/>
        <w:gridCol w:w="949"/>
        <w:gridCol w:w="950"/>
        <w:gridCol w:w="948"/>
        <w:gridCol w:w="950"/>
      </w:tblGrid>
      <w:tr w:rsidR="00E2476B" w14:paraId="1EED79B3" w14:textId="77777777" w:rsidTr="0018419C">
        <w:trPr>
          <w:tblHeader/>
          <w:jc w:val="center"/>
        </w:trPr>
        <w:tc>
          <w:tcPr>
            <w:tcW w:w="1789"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22E6D0B0"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95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BE0ADFC"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57F4472"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Homme</w:t>
            </w:r>
          </w:p>
        </w:tc>
        <w:tc>
          <w:tcPr>
            <w:tcW w:w="95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E71ABD5"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9D9E771"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Homme</w:t>
            </w:r>
          </w:p>
        </w:tc>
        <w:tc>
          <w:tcPr>
            <w:tcW w:w="952"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790A475"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Femme</w:t>
            </w:r>
          </w:p>
        </w:tc>
        <w:tc>
          <w:tcPr>
            <w:tcW w:w="953"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7301DE23"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Homme</w:t>
            </w:r>
          </w:p>
        </w:tc>
        <w:tc>
          <w:tcPr>
            <w:tcW w:w="951"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9B3E96A"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Dépression/ Anxiété</w:t>
            </w:r>
            <w:r>
              <w:rPr>
                <w:rFonts w:ascii="Times New Roman" w:eastAsia="Arial" w:hAnsi="Times New Roman" w:cs="Times New Roman"/>
                <w:bCs/>
                <w:color w:val="000000"/>
                <w:sz w:val="14"/>
                <w:szCs w:val="14"/>
              </w:rPr>
              <w:br/>
              <w:t>Femme</w:t>
            </w:r>
          </w:p>
        </w:tc>
        <w:tc>
          <w:tcPr>
            <w:tcW w:w="953"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760E555B"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Homme</w:t>
            </w:r>
          </w:p>
        </w:tc>
      </w:tr>
      <w:tr w:rsidR="00E2476B" w14:paraId="393149A3" w14:textId="77777777" w:rsidTr="0018419C">
        <w:trPr>
          <w:jc w:val="center"/>
        </w:trPr>
        <w:tc>
          <w:tcPr>
            <w:tcW w:w="9407" w:type="dxa"/>
            <w:gridSpan w:val="9"/>
            <w:tcBorders>
              <w:top w:val="single" w:sz="12" w:space="0" w:color="000000"/>
              <w:left w:val="single" w:sz="12" w:space="0" w:color="000000"/>
              <w:right w:val="single" w:sz="12" w:space="0" w:color="000000"/>
            </w:tcBorders>
            <w:shd w:val="clear" w:color="auto" w:fill="FFFFFF"/>
            <w:tcMar>
              <w:top w:w="0" w:type="dxa"/>
              <w:left w:w="0" w:type="dxa"/>
              <w:bottom w:w="0" w:type="dxa"/>
              <w:right w:w="0" w:type="dxa"/>
            </w:tcMar>
          </w:tcPr>
          <w:p w14:paraId="17628266"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Identification sexuelle</w:t>
            </w:r>
          </w:p>
        </w:tc>
      </w:tr>
      <w:tr w:rsidR="00E2476B" w14:paraId="205DAF78"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2E2D01A"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Hétéro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2563FC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1D96FF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DA912D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A43F60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C4359EB"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EDD564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C42B2D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05D3909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r>
      <w:tr w:rsidR="00E2476B" w14:paraId="636D28A1"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5214930"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Bi</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90191ED"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C48029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1995937"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3006972"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0,15*</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1DA2BC8"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6,96***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9CE6AA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EDF5295"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4,58***</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86FC88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1,32</w:t>
            </w:r>
          </w:p>
        </w:tc>
      </w:tr>
      <w:tr w:rsidR="00E2476B" w14:paraId="0849AD72"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6DBC81CD"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Homo</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3CC831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3,19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7CDFFAC"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4D615C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40DE77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0,32</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475328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F1FE8F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0,62</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6382A1C"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1,44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13B455BB"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2,45</w:t>
            </w:r>
          </w:p>
        </w:tc>
      </w:tr>
      <w:tr w:rsidR="00E2476B" w14:paraId="59D25E8B" w14:textId="77777777" w:rsidTr="0018419C">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0D8F9EF9"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Groupe d'âge</w:t>
            </w:r>
          </w:p>
        </w:tc>
      </w:tr>
      <w:tr w:rsidR="00E2476B" w14:paraId="2D0E2F02"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7681DB27"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30-39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EC14D2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8B9668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B9EF3A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BF71B4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1DD333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E021A4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1B6B4B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940912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r>
      <w:tr w:rsidR="00E2476B" w14:paraId="744E3193"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142E3A65"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20-29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C82DFE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2,19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3D5598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1,21</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AD815A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EC3E62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0,84</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C609C3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155B91A"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1,64*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0AB137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0,81</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3E16307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1,09</w:t>
            </w:r>
          </w:p>
        </w:tc>
      </w:tr>
      <w:tr w:rsidR="00E2476B" w14:paraId="45936CBC"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76D0D2BA"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40-49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431335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0,68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E8C5220"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0,54*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8375936"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0,33**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E664050"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0,39*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3BE12C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DE354B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1,15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535534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1,34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39C7EB1C"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1,73*</w:t>
            </w:r>
          </w:p>
        </w:tc>
      </w:tr>
      <w:tr w:rsidR="00E2476B" w14:paraId="2B045544"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3BF40CA"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50-69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B254CB8"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0,48**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0FCDF54"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0,50*</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0103AA3"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0,14***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9A63DA3"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0,29**</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9973A9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9AF923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F8844DA"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1,42*</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59C6645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1,45</w:t>
            </w:r>
          </w:p>
        </w:tc>
      </w:tr>
      <w:tr w:rsidR="00E2476B" w14:paraId="4299DFDE" w14:textId="77777777" w:rsidTr="0018419C">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6047EE9D"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Diplôme</w:t>
            </w:r>
          </w:p>
        </w:tc>
      </w:tr>
      <w:tr w:rsidR="00E2476B" w14:paraId="00717240"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242E1188" w14:textId="77777777" w:rsidR="00E2476B" w:rsidRDefault="00E2476B" w:rsidP="0018419C">
            <w:pPr>
              <w:pStyle w:val="Standard"/>
              <w:spacing w:before="100" w:after="100"/>
              <w:ind w:left="102" w:right="102"/>
            </w:pPr>
            <w:r>
              <w:rPr>
                <w:rFonts w:ascii="Times New Roman" w:eastAsia="Arial" w:hAnsi="Times New Roman" w:cs="Times New Roman"/>
                <w:color w:val="000000"/>
                <w:sz w:val="14"/>
                <w:szCs w:val="14"/>
              </w:rPr>
              <w:t>Lycée ou &lt;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66345A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973064E"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CC5CFD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BC3BF3A"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F8BF686"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77D6672"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0CFEF51"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41CD057" w14:textId="77777777" w:rsidR="00E2476B" w:rsidRDefault="00E2476B" w:rsidP="0018419C">
            <w:pPr>
              <w:pStyle w:val="Standard"/>
              <w:spacing w:before="100" w:after="100"/>
              <w:ind w:left="100" w:right="100"/>
              <w:jc w:val="center"/>
            </w:pPr>
            <w:r>
              <w:rPr>
                <w:rFonts w:ascii="Times New Roman" w:eastAsia="Arial" w:hAnsi="Times New Roman" w:cs="Times New Roman"/>
                <w:color w:val="000000"/>
                <w:sz w:val="14"/>
                <w:szCs w:val="14"/>
              </w:rPr>
              <w:t>—</w:t>
            </w:r>
          </w:p>
        </w:tc>
      </w:tr>
      <w:tr w:rsidR="00E2476B" w14:paraId="56971A1D"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1B38B028"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Bac / Bac+3</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8CABD2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1,39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4C69515"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1,70*</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15232F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1,20</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97A6D5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1,41</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8C0CE1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7AF000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FA0E4C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0,82</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1A76B1F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0,86</w:t>
            </w:r>
          </w:p>
        </w:tc>
      </w:tr>
      <w:tr w:rsidR="00E2476B" w14:paraId="752C3C55"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7DD1B741"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&gt; Bac+3</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17027F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1,37</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6B9B8D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DF5246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1,39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081D5C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0,88</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FF3687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7FBA56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C042F4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0,77</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7796F46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0,96</w:t>
            </w:r>
          </w:p>
        </w:tc>
      </w:tr>
      <w:tr w:rsidR="00E2476B" w14:paraId="31FD36B0" w14:textId="77777777" w:rsidTr="0018419C">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3D138C61"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Revenu du ménage</w:t>
            </w:r>
          </w:p>
        </w:tc>
      </w:tr>
      <w:tr w:rsidR="00E2476B" w14:paraId="59CB40D1"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5A27C26C"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4 000€ et +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25A83D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580004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A97A0B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5FCC4F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2D1E5FE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151DEA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CD7C6A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3CEC8C3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r>
      <w:tr w:rsidR="00E2476B" w14:paraId="6B098C1C"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658265EB"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&lt; 1 800€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568CD9F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74929A4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1,01</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3736069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1,15</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EA8871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253068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1,41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62D161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1,66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AB670E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1,23</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4159533"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2,11**</w:t>
            </w:r>
          </w:p>
        </w:tc>
      </w:tr>
      <w:tr w:rsidR="00E2476B" w14:paraId="757C6D9C"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6850EC0E"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1 800€ &lt; 3 000€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37CC5DB"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4BF243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1,15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3DC708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1,26</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AD4AC4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0,92</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BE1E81A"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1,50*</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491EBC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0,79</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D0F5CA8"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1,44*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1625C5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1,23</w:t>
            </w:r>
          </w:p>
        </w:tc>
      </w:tr>
      <w:tr w:rsidR="00E2476B" w14:paraId="7F2501DC"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185DFE0"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3 000€ &lt; 4 000€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7EA64EC"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0,95</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62E95B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0,77</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431669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0,97</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63A818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0,78</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D8818D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1,34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92DF98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0,89</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3CA689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0,98</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71C2E3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0,92</w:t>
            </w:r>
          </w:p>
        </w:tc>
      </w:tr>
      <w:tr w:rsidR="00E2476B" w14:paraId="3473465F" w14:textId="77777777" w:rsidTr="0018419C">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49C562FC"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Situation maritale</w:t>
            </w:r>
          </w:p>
        </w:tc>
      </w:tr>
      <w:tr w:rsidR="00E2476B" w14:paraId="055D84AD"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455F88C6"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Pas mariée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D0EDABC"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DEA511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1359D5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0E134F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AB8FFC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63A5E2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83AA94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D7BE71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r>
      <w:tr w:rsidR="00E2476B" w14:paraId="79846C0B"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6FB7851C"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Mariée</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6E7A801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1,50</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C90514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1,54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78C400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1,91*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A804D63"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1,83*</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725C5E1"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0,45***</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F250654"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0,51***</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A70AA3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2F3E064C"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0,68*</w:t>
            </w:r>
          </w:p>
        </w:tc>
      </w:tr>
      <w:tr w:rsidR="00E2476B" w14:paraId="5E212071" w14:textId="77777777" w:rsidTr="0018419C">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6831EB6A"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Cohabitation</w:t>
            </w:r>
          </w:p>
        </w:tc>
      </w:tr>
      <w:tr w:rsidR="00E2476B" w14:paraId="37EA507F"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7E66E36"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Non cohabitant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E1EDB5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0D09A2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DB5A67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CBF680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6070E9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27C7913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E1AED6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5A1377D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r>
      <w:tr w:rsidR="00E2476B" w14:paraId="5BD9ED5E"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31EF19A"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Cohabitant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527762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1,05</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5EC0AB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1,35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B63B47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1,11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B0F3CF4"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2,87*</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72A242EA"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0,49**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5EE08E3"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0,40**</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7D7CC4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0,87</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1CC565A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1,04</w:t>
            </w:r>
          </w:p>
        </w:tc>
      </w:tr>
      <w:tr w:rsidR="00E2476B" w14:paraId="4B49E3E6" w14:textId="77777777" w:rsidTr="0018419C">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52741B58"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Situation parentale</w:t>
            </w:r>
          </w:p>
        </w:tc>
      </w:tr>
      <w:tr w:rsidR="00E2476B" w14:paraId="67761FD7"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6CB8BBBA"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Enfant(s) couple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606D23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EBB8DB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0C38FB2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108C8B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907CB8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B17A76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57CEF0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04EBDC7B"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r>
      <w:tr w:rsidR="00E2476B" w14:paraId="362E1241"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39B06E0C"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Sans enfant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07A8E4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1,21</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8B07A41"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0,94</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654EE840"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2,19*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F30DAE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0,91</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049DEB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CF167A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1,07</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4211C7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1,21</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354F16E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0,91</w:t>
            </w:r>
          </w:p>
        </w:tc>
      </w:tr>
      <w:tr w:rsidR="00E2476B" w14:paraId="7DB49B28"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207F10E5"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Enfant(s) autre union</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5B7ED6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C1B0B1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0,95</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486460D"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2,08*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E3A5DD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0,76</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02F5B3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1,48</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3CB6A2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1,86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1DB543B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1,57</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DF2FBD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1,10</w:t>
            </w:r>
          </w:p>
        </w:tc>
      </w:tr>
      <w:tr w:rsidR="00E2476B" w14:paraId="6E063963" w14:textId="77777777" w:rsidTr="0018419C">
        <w:trPr>
          <w:jc w:val="center"/>
        </w:trPr>
        <w:tc>
          <w:tcPr>
            <w:tcW w:w="9407" w:type="dxa"/>
            <w:gridSpan w:val="9"/>
            <w:tcBorders>
              <w:left w:val="single" w:sz="12" w:space="0" w:color="000000"/>
              <w:right w:val="single" w:sz="12" w:space="0" w:color="000000"/>
            </w:tcBorders>
            <w:shd w:val="clear" w:color="auto" w:fill="FFFFFF"/>
            <w:tcMar>
              <w:top w:w="0" w:type="dxa"/>
              <w:left w:w="0" w:type="dxa"/>
              <w:bottom w:w="0" w:type="dxa"/>
              <w:right w:w="0" w:type="dxa"/>
            </w:tcMar>
          </w:tcPr>
          <w:p w14:paraId="14B139E1"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Statut d’activité comparé</w:t>
            </w:r>
          </w:p>
        </w:tc>
      </w:tr>
      <w:tr w:rsidR="00E2476B" w14:paraId="2E9100FB"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7FD48432"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lastRenderedPageBreak/>
              <w:t>Actifs (réf.)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6E06E7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AFAD89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4551C3C"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102906C9"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0F6107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4AE21E43"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5FAFCE4C"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768A314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w:t>
            </w:r>
          </w:p>
        </w:tc>
      </w:tr>
      <w:tr w:rsidR="00E2476B" w14:paraId="7EB8BF9C"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0BDF59A7"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Inactifs</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127F258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0,72</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2D04972"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0,99</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B9E6F3B"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0,54**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81E1BF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0,86</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06231A5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0,93</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0BB52B29"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0,26***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40456AE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1,02</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42241EA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0,71</w:t>
            </w:r>
          </w:p>
        </w:tc>
      </w:tr>
      <w:tr w:rsidR="00E2476B" w14:paraId="2052CB23" w14:textId="77777777" w:rsidTr="0018419C">
        <w:trPr>
          <w:jc w:val="center"/>
        </w:trPr>
        <w:tc>
          <w:tcPr>
            <w:tcW w:w="1789" w:type="dxa"/>
            <w:tcBorders>
              <w:left w:val="single" w:sz="12" w:space="0" w:color="000000"/>
              <w:right w:val="single" w:sz="8" w:space="0" w:color="000000"/>
            </w:tcBorders>
            <w:shd w:val="clear" w:color="auto" w:fill="FFFFFF"/>
            <w:tcMar>
              <w:top w:w="0" w:type="dxa"/>
              <w:left w:w="0" w:type="dxa"/>
              <w:bottom w:w="0" w:type="dxa"/>
              <w:right w:w="0" w:type="dxa"/>
            </w:tcMar>
          </w:tcPr>
          <w:p w14:paraId="109BC6CD"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Ego actif</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4326552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309D993A"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0,66</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290C1AAB"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0,64</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5067C85E"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0,60</w:t>
            </w:r>
          </w:p>
        </w:tc>
        <w:tc>
          <w:tcPr>
            <w:tcW w:w="952" w:type="dxa"/>
            <w:tcBorders>
              <w:left w:val="single" w:sz="8" w:space="0" w:color="000000"/>
              <w:right w:val="single" w:sz="8" w:space="0" w:color="000000"/>
            </w:tcBorders>
            <w:shd w:val="clear" w:color="auto" w:fill="FFFFFF"/>
            <w:tcMar>
              <w:top w:w="0" w:type="dxa"/>
              <w:left w:w="0" w:type="dxa"/>
              <w:bottom w:w="0" w:type="dxa"/>
              <w:right w:w="0" w:type="dxa"/>
            </w:tcMar>
          </w:tcPr>
          <w:p w14:paraId="387EAB78"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0,79</w:t>
            </w:r>
          </w:p>
        </w:tc>
        <w:tc>
          <w:tcPr>
            <w:tcW w:w="953" w:type="dxa"/>
            <w:tcBorders>
              <w:left w:val="single" w:sz="8" w:space="0" w:color="000000"/>
              <w:right w:val="single" w:sz="8" w:space="0" w:color="000000"/>
            </w:tcBorders>
            <w:shd w:val="clear" w:color="auto" w:fill="FFFFFF"/>
            <w:tcMar>
              <w:top w:w="0" w:type="dxa"/>
              <w:left w:w="0" w:type="dxa"/>
              <w:bottom w:w="0" w:type="dxa"/>
              <w:right w:w="0" w:type="dxa"/>
            </w:tcMar>
          </w:tcPr>
          <w:p w14:paraId="6E84F4F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1,02</w:t>
            </w:r>
          </w:p>
        </w:tc>
        <w:tc>
          <w:tcPr>
            <w:tcW w:w="951" w:type="dxa"/>
            <w:tcBorders>
              <w:left w:val="single" w:sz="8" w:space="0" w:color="000000"/>
              <w:right w:val="single" w:sz="8" w:space="0" w:color="000000"/>
            </w:tcBorders>
            <w:shd w:val="clear" w:color="auto" w:fill="FFFFFF"/>
            <w:tcMar>
              <w:top w:w="0" w:type="dxa"/>
              <w:left w:w="0" w:type="dxa"/>
              <w:bottom w:w="0" w:type="dxa"/>
              <w:right w:w="0" w:type="dxa"/>
            </w:tcMar>
          </w:tcPr>
          <w:p w14:paraId="7DB63716"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1,64**</w:t>
            </w:r>
          </w:p>
        </w:tc>
        <w:tc>
          <w:tcPr>
            <w:tcW w:w="953" w:type="dxa"/>
            <w:tcBorders>
              <w:left w:val="single" w:sz="8" w:space="0" w:color="000000"/>
              <w:right w:val="single" w:sz="12" w:space="0" w:color="000000"/>
            </w:tcBorders>
            <w:shd w:val="clear" w:color="auto" w:fill="FFFFFF"/>
            <w:tcMar>
              <w:top w:w="0" w:type="dxa"/>
              <w:left w:w="0" w:type="dxa"/>
              <w:bottom w:w="0" w:type="dxa"/>
              <w:right w:w="0" w:type="dxa"/>
            </w:tcMar>
          </w:tcPr>
          <w:p w14:paraId="526C505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1,03</w:t>
            </w:r>
          </w:p>
        </w:tc>
      </w:tr>
      <w:tr w:rsidR="00E2476B" w14:paraId="06D19D92" w14:textId="77777777" w:rsidTr="0018419C">
        <w:trPr>
          <w:jc w:val="center"/>
        </w:trPr>
        <w:tc>
          <w:tcPr>
            <w:tcW w:w="1789" w:type="dxa"/>
            <w:tcBorders>
              <w:left w:val="single" w:sz="12" w:space="0" w:color="000000"/>
              <w:bottom w:val="single" w:sz="12" w:space="0" w:color="000000"/>
              <w:right w:val="single" w:sz="8" w:space="0" w:color="000000"/>
            </w:tcBorders>
            <w:shd w:val="clear" w:color="auto" w:fill="FFFFFF"/>
            <w:tcMar>
              <w:top w:w="0" w:type="dxa"/>
              <w:left w:w="0" w:type="dxa"/>
              <w:bottom w:w="0" w:type="dxa"/>
              <w:right w:w="0" w:type="dxa"/>
            </w:tcMar>
          </w:tcPr>
          <w:p w14:paraId="2347B3AA" w14:textId="77777777" w:rsidR="00E2476B" w:rsidRDefault="00E2476B" w:rsidP="0018419C">
            <w:pPr>
              <w:pStyle w:val="Standard"/>
              <w:spacing w:before="60" w:after="60"/>
              <w:ind w:left="102" w:right="102"/>
            </w:pPr>
            <w:r>
              <w:rPr>
                <w:rFonts w:ascii="Times New Roman" w:eastAsia="Arial" w:hAnsi="Times New Roman" w:cs="Times New Roman"/>
                <w:color w:val="000000"/>
                <w:sz w:val="14"/>
                <w:szCs w:val="14"/>
              </w:rPr>
              <w:t>Ego inactif</w:t>
            </w:r>
          </w:p>
        </w:tc>
        <w:tc>
          <w:tcPr>
            <w:tcW w:w="952"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10C45235"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1,27</w:t>
            </w:r>
          </w:p>
        </w:tc>
        <w:tc>
          <w:tcPr>
            <w:tcW w:w="953"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56927FBD"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0,68</w:t>
            </w:r>
          </w:p>
        </w:tc>
        <w:tc>
          <w:tcPr>
            <w:tcW w:w="951"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4D3B503F"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0,81</w:t>
            </w:r>
          </w:p>
        </w:tc>
        <w:tc>
          <w:tcPr>
            <w:tcW w:w="953"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778271E0"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0,94</w:t>
            </w:r>
          </w:p>
        </w:tc>
        <w:tc>
          <w:tcPr>
            <w:tcW w:w="952"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62579B47"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1,14</w:t>
            </w:r>
          </w:p>
        </w:tc>
        <w:tc>
          <w:tcPr>
            <w:tcW w:w="953"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55ECEB34"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0,61</w:t>
            </w:r>
          </w:p>
        </w:tc>
        <w:tc>
          <w:tcPr>
            <w:tcW w:w="951"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7D07FFC1" w14:textId="77777777" w:rsidR="00E2476B" w:rsidRDefault="00E2476B" w:rsidP="0018419C">
            <w:pPr>
              <w:pStyle w:val="Standard"/>
              <w:spacing w:before="60" w:after="60"/>
              <w:ind w:left="100" w:right="100"/>
              <w:jc w:val="center"/>
            </w:pPr>
            <w:r>
              <w:rPr>
                <w:rFonts w:ascii="Times New Roman" w:eastAsia="Arial" w:hAnsi="Times New Roman" w:cs="Times New Roman"/>
                <w:b/>
                <w:bCs/>
                <w:color w:val="000000"/>
                <w:sz w:val="14"/>
                <w:szCs w:val="14"/>
              </w:rPr>
              <w:t>1,41*</w:t>
            </w:r>
          </w:p>
        </w:tc>
        <w:tc>
          <w:tcPr>
            <w:tcW w:w="953" w:type="dxa"/>
            <w:tcBorders>
              <w:left w:val="single" w:sz="8" w:space="0" w:color="000000"/>
              <w:bottom w:val="single" w:sz="12" w:space="0" w:color="000000"/>
              <w:right w:val="single" w:sz="12" w:space="0" w:color="000000"/>
            </w:tcBorders>
            <w:shd w:val="clear" w:color="auto" w:fill="FFFFFF"/>
            <w:tcMar>
              <w:top w:w="0" w:type="dxa"/>
              <w:left w:w="0" w:type="dxa"/>
              <w:bottom w:w="0" w:type="dxa"/>
              <w:right w:w="0" w:type="dxa"/>
            </w:tcMar>
          </w:tcPr>
          <w:p w14:paraId="36EB9576" w14:textId="77777777" w:rsidR="00E2476B" w:rsidRDefault="00E2476B" w:rsidP="0018419C">
            <w:pPr>
              <w:pStyle w:val="Standard"/>
              <w:spacing w:before="60" w:after="60"/>
              <w:ind w:left="100" w:right="100"/>
              <w:jc w:val="center"/>
            </w:pPr>
            <w:r>
              <w:rPr>
                <w:rFonts w:ascii="Times New Roman" w:eastAsia="Arial" w:hAnsi="Times New Roman" w:cs="Times New Roman"/>
                <w:color w:val="000000"/>
                <w:sz w:val="14"/>
                <w:szCs w:val="14"/>
              </w:rPr>
              <w:t>1,53</w:t>
            </w:r>
          </w:p>
        </w:tc>
      </w:tr>
      <w:tr w:rsidR="00E2476B" w14:paraId="1F3ACC03" w14:textId="77777777" w:rsidTr="0018419C">
        <w:trPr>
          <w:jc w:val="center"/>
        </w:trPr>
        <w:tc>
          <w:tcPr>
            <w:tcW w:w="9407" w:type="dxa"/>
            <w:gridSpan w:val="9"/>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3296AB61"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59396AB3"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 xml:space="preserve">Seuls les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ratios dont l'intervalle de confiance à 95% n'inclut pas la valeur 1 sont considérés comme statistiquement significatifs.</w:t>
            </w:r>
          </w:p>
          <w:p w14:paraId="0ABF334A"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 : Estimation non exploitable en raison d'une séparation quasi complète des données (effectif insuffisant dans la sous-catégorie).</w:t>
            </w:r>
          </w:p>
          <w:p w14:paraId="641F64B0"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Variables de contrôle : âge, diplôme, revenu du ménage, statut marital, résidentiel et parental, statut d'activité comparé.</w:t>
            </w:r>
          </w:p>
          <w:p w14:paraId="2366A6BB"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Répondant∙es en couple au moment de l’enquête Virage PG. Données pondérées.</w:t>
            </w:r>
          </w:p>
          <w:p w14:paraId="341711E6"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ont moins de chance d'être satisfaites de leur relation que les femmes hétérosexuelles, à variables de contrôle équivalentes.</w:t>
            </w:r>
          </w:p>
          <w:p w14:paraId="741686B5"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PG, Ined, 2015.</w:t>
            </w:r>
          </w:p>
        </w:tc>
      </w:tr>
    </w:tbl>
    <w:p w14:paraId="2DB1451D" w14:textId="77777777" w:rsidR="00E2476B" w:rsidRDefault="00E2476B" w:rsidP="00E2476B">
      <w:r>
        <w:t xml:space="preserve">Annexe 2 : Régression logistique des indicateurs d’évaluation conjugale sur le type de couple et diverses variables de structuration sociale.     </w:t>
      </w:r>
    </w:p>
    <w:tbl>
      <w:tblPr>
        <w:tblW w:w="5000" w:type="pct"/>
        <w:jc w:val="center"/>
        <w:tblLayout w:type="fixed"/>
        <w:tblCellMar>
          <w:left w:w="10" w:type="dxa"/>
          <w:right w:w="10" w:type="dxa"/>
        </w:tblCellMar>
        <w:tblLook w:val="0000" w:firstRow="0" w:lastRow="0" w:firstColumn="0" w:lastColumn="0" w:noHBand="0" w:noVBand="0"/>
      </w:tblPr>
      <w:tblGrid>
        <w:gridCol w:w="2067"/>
        <w:gridCol w:w="913"/>
        <w:gridCol w:w="913"/>
        <w:gridCol w:w="913"/>
        <w:gridCol w:w="913"/>
        <w:gridCol w:w="913"/>
        <w:gridCol w:w="914"/>
        <w:gridCol w:w="913"/>
        <w:gridCol w:w="915"/>
      </w:tblGrid>
      <w:tr w:rsidR="00E2476B" w14:paraId="3E710D85" w14:textId="77777777" w:rsidTr="0018419C">
        <w:trPr>
          <w:tblHeader/>
          <w:jc w:val="center"/>
        </w:trPr>
        <w:tc>
          <w:tcPr>
            <w:tcW w:w="2074" w:type="dxa"/>
            <w:tcBorders>
              <w:top w:val="single" w:sz="12" w:space="0" w:color="000000"/>
              <w:left w:val="single" w:sz="12" w:space="0" w:color="000000"/>
              <w:bottom w:val="single" w:sz="12" w:space="0" w:color="000000"/>
            </w:tcBorders>
            <w:shd w:val="clear" w:color="auto" w:fill="FFFFFF"/>
            <w:tcMar>
              <w:top w:w="0" w:type="dxa"/>
              <w:left w:w="0" w:type="dxa"/>
              <w:bottom w:w="0" w:type="dxa"/>
              <w:right w:w="0" w:type="dxa"/>
            </w:tcMar>
            <w:vAlign w:val="center"/>
          </w:tcPr>
          <w:p w14:paraId="04B541F4" w14:textId="77777777" w:rsidR="00E2476B" w:rsidRDefault="00E2476B" w:rsidP="0018419C">
            <w:pPr>
              <w:pStyle w:val="Standard"/>
              <w:spacing w:before="40" w:after="40"/>
              <w:ind w:left="100" w:right="100"/>
              <w:rPr>
                <w:rFonts w:ascii="Times New Roman" w:eastAsia="Arial" w:hAnsi="Times New Roman" w:cs="Times New Roman"/>
                <w:color w:val="000000"/>
                <w:sz w:val="14"/>
                <w:szCs w:val="14"/>
              </w:rPr>
            </w:pP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38AFEE01"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Femme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04A7753"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Satisfaction conjugale</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53D0989F"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Femme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047BF411"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Sentiment amoureux</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24EDDA9"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Femme</w:t>
            </w:r>
          </w:p>
        </w:tc>
        <w:tc>
          <w:tcPr>
            <w:tcW w:w="917"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469A59B0"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Projet de séparation</w:t>
            </w:r>
            <w:r>
              <w:rPr>
                <w:rFonts w:ascii="Times New Roman" w:eastAsia="Arial" w:hAnsi="Times New Roman" w:cs="Times New Roman"/>
                <w:bCs/>
                <w:color w:val="000000"/>
                <w:sz w:val="14"/>
                <w:szCs w:val="14"/>
              </w:rPr>
              <w:br/>
              <w:t>Homme</w:t>
            </w:r>
          </w:p>
        </w:tc>
        <w:tc>
          <w:tcPr>
            <w:tcW w:w="916" w:type="dxa"/>
            <w:tcBorders>
              <w:top w:val="single" w:sz="12" w:space="0" w:color="000000"/>
              <w:bottom w:val="single" w:sz="12" w:space="0" w:color="000000"/>
            </w:tcBorders>
            <w:shd w:val="clear" w:color="auto" w:fill="FFFFFF"/>
            <w:tcMar>
              <w:top w:w="0" w:type="dxa"/>
              <w:left w:w="0" w:type="dxa"/>
              <w:bottom w:w="0" w:type="dxa"/>
              <w:right w:w="0" w:type="dxa"/>
            </w:tcMar>
            <w:vAlign w:val="center"/>
          </w:tcPr>
          <w:p w14:paraId="2A6F7EBE"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Femme</w:t>
            </w:r>
          </w:p>
        </w:tc>
        <w:tc>
          <w:tcPr>
            <w:tcW w:w="918" w:type="dxa"/>
            <w:tcBorders>
              <w:top w:val="single" w:sz="12" w:space="0" w:color="000000"/>
              <w:bottom w:val="single" w:sz="12" w:space="0" w:color="000000"/>
              <w:right w:val="single" w:sz="12" w:space="0" w:color="000000"/>
            </w:tcBorders>
            <w:shd w:val="clear" w:color="auto" w:fill="FFFFFF"/>
            <w:tcMar>
              <w:top w:w="0" w:type="dxa"/>
              <w:left w:w="0" w:type="dxa"/>
              <w:bottom w:w="0" w:type="dxa"/>
              <w:right w:w="0" w:type="dxa"/>
            </w:tcMar>
            <w:vAlign w:val="center"/>
          </w:tcPr>
          <w:p w14:paraId="125E15A5" w14:textId="77777777" w:rsidR="00E2476B" w:rsidRDefault="00E2476B" w:rsidP="0018419C">
            <w:pPr>
              <w:pStyle w:val="Standard"/>
              <w:spacing w:before="40" w:after="40"/>
              <w:ind w:left="100" w:right="100"/>
              <w:jc w:val="center"/>
            </w:pPr>
            <w:r>
              <w:rPr>
                <w:rFonts w:ascii="Times New Roman" w:eastAsia="Arial" w:hAnsi="Times New Roman" w:cs="Times New Roman"/>
                <w:bCs/>
                <w:color w:val="000000"/>
                <w:sz w:val="14"/>
                <w:szCs w:val="14"/>
              </w:rPr>
              <w:t>Dépression/Anxiété</w:t>
            </w:r>
            <w:r>
              <w:rPr>
                <w:rFonts w:ascii="Times New Roman" w:eastAsia="Arial" w:hAnsi="Times New Roman" w:cs="Times New Roman"/>
                <w:bCs/>
                <w:color w:val="000000"/>
                <w:sz w:val="14"/>
                <w:szCs w:val="14"/>
              </w:rPr>
              <w:br/>
              <w:t>Homme</w:t>
            </w:r>
          </w:p>
        </w:tc>
      </w:tr>
      <w:tr w:rsidR="00E2476B" w14:paraId="527995AB" w14:textId="77777777" w:rsidTr="0018419C">
        <w:trPr>
          <w:jc w:val="center"/>
        </w:trPr>
        <w:tc>
          <w:tcPr>
            <w:tcW w:w="2074" w:type="dxa"/>
            <w:tcBorders>
              <w:top w:val="single" w:sz="12" w:space="0" w:color="000000"/>
              <w:left w:val="single" w:sz="12" w:space="0" w:color="000000"/>
            </w:tcBorders>
            <w:shd w:val="clear" w:color="auto" w:fill="FFFFFF"/>
            <w:tcMar>
              <w:top w:w="0" w:type="dxa"/>
              <w:left w:w="0" w:type="dxa"/>
              <w:bottom w:w="0" w:type="dxa"/>
              <w:right w:w="0" w:type="dxa"/>
            </w:tcMar>
          </w:tcPr>
          <w:p w14:paraId="12207219"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Type de couple</w:t>
            </w:r>
          </w:p>
        </w:tc>
        <w:tc>
          <w:tcPr>
            <w:tcW w:w="916" w:type="dxa"/>
            <w:tcBorders>
              <w:top w:val="single" w:sz="12" w:space="0" w:color="000000"/>
            </w:tcBorders>
            <w:shd w:val="clear" w:color="auto" w:fill="FFFFFF"/>
            <w:tcMar>
              <w:top w:w="0" w:type="dxa"/>
              <w:left w:w="0" w:type="dxa"/>
              <w:bottom w:w="0" w:type="dxa"/>
              <w:right w:w="0" w:type="dxa"/>
            </w:tcMar>
          </w:tcPr>
          <w:p w14:paraId="01C5E734"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20435942"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52C408A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458BD63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20A4D724"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7" w:type="dxa"/>
            <w:tcBorders>
              <w:top w:val="single" w:sz="12" w:space="0" w:color="000000"/>
            </w:tcBorders>
            <w:shd w:val="clear" w:color="auto" w:fill="FFFFFF"/>
            <w:tcMar>
              <w:top w:w="0" w:type="dxa"/>
              <w:left w:w="0" w:type="dxa"/>
              <w:bottom w:w="0" w:type="dxa"/>
              <w:right w:w="0" w:type="dxa"/>
            </w:tcMar>
          </w:tcPr>
          <w:p w14:paraId="6EDE4289"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tcBorders>
              <w:top w:val="single" w:sz="12" w:space="0" w:color="000000"/>
            </w:tcBorders>
            <w:shd w:val="clear" w:color="auto" w:fill="FFFFFF"/>
            <w:tcMar>
              <w:top w:w="0" w:type="dxa"/>
              <w:left w:w="0" w:type="dxa"/>
              <w:bottom w:w="0" w:type="dxa"/>
              <w:right w:w="0" w:type="dxa"/>
            </w:tcMar>
          </w:tcPr>
          <w:p w14:paraId="5FAB8664"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top w:val="single" w:sz="12" w:space="0" w:color="000000"/>
              <w:right w:val="single" w:sz="12" w:space="0" w:color="000000"/>
            </w:tcBorders>
            <w:shd w:val="clear" w:color="auto" w:fill="FFFFFF"/>
            <w:tcMar>
              <w:top w:w="0" w:type="dxa"/>
              <w:left w:w="0" w:type="dxa"/>
              <w:bottom w:w="0" w:type="dxa"/>
              <w:right w:w="0" w:type="dxa"/>
            </w:tcMar>
          </w:tcPr>
          <w:p w14:paraId="524F97A6"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r>
      <w:tr w:rsidR="00E2476B" w14:paraId="2C73050F"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1D6F9D36"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Homo en couple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DEEDD2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FA73EB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E1ED87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064089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8AAE9F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FDD8EE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1C0114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2063B71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r>
      <w:tr w:rsidR="00E2476B" w14:paraId="41329D6E"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5395C9EB"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Bi en couple de même sexe</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470226D"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0,47*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CE5723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0,39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95B477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0,41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DD0EBB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2EF4BEE"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1,70**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140C6C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1,92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D156CB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1,51</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49F7C44D"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2,73*</w:t>
            </w:r>
          </w:p>
        </w:tc>
      </w:tr>
      <w:tr w:rsidR="00E2476B" w14:paraId="00D5986D"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4DCE6E89"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Bi en couple de sexe différent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37354F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A9031DE"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8D60830"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604DAB4"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0,18***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346E6E2"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1,83*</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62144E7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013B17B"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3,24***</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4E8C8BA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1,68</w:t>
            </w:r>
          </w:p>
        </w:tc>
      </w:tr>
      <w:tr w:rsidR="00E2476B" w14:paraId="162D2216" w14:textId="77777777" w:rsidTr="0018419C">
        <w:trPr>
          <w:jc w:val="center"/>
        </w:trPr>
        <w:tc>
          <w:tcPr>
            <w:tcW w:w="2074" w:type="dxa"/>
            <w:tcBorders>
              <w:left w:val="single" w:sz="12" w:space="0" w:color="000000"/>
            </w:tcBorders>
            <w:shd w:val="clear" w:color="auto" w:fill="FFFFFF"/>
            <w:tcMar>
              <w:top w:w="0" w:type="dxa"/>
              <w:left w:w="0" w:type="dxa"/>
              <w:bottom w:w="0" w:type="dxa"/>
              <w:right w:w="0" w:type="dxa"/>
            </w:tcMar>
          </w:tcPr>
          <w:p w14:paraId="1D454785"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Groupe d'âge</w:t>
            </w:r>
          </w:p>
        </w:tc>
        <w:tc>
          <w:tcPr>
            <w:tcW w:w="916" w:type="dxa"/>
            <w:shd w:val="clear" w:color="auto" w:fill="FFFFFF"/>
            <w:tcMar>
              <w:top w:w="0" w:type="dxa"/>
              <w:left w:w="0" w:type="dxa"/>
              <w:bottom w:w="0" w:type="dxa"/>
              <w:right w:w="0" w:type="dxa"/>
            </w:tcMar>
          </w:tcPr>
          <w:p w14:paraId="05D57C75"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A1449E3"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2763868F"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302DEC2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CC848BC"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5A9B4E94"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3226E64"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2AF1B803"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r>
      <w:tr w:rsidR="00E2476B" w14:paraId="0CE6243A"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5C81550C"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30-39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8A889E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4BEFC8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DEB3EF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4DBFEE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6CE7D9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0AB5FBD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28BB1CA"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443052D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r>
      <w:tr w:rsidR="00E2476B" w14:paraId="688FE9FC"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40878B1"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20-29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40B244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1,14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A7B6294"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2,72**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A8196B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880BBB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1,70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DAEE46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1,38</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097E0E3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3F49EB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1,04</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A7A801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0,82</w:t>
            </w:r>
          </w:p>
        </w:tc>
      </w:tr>
      <w:tr w:rsidR="00E2476B" w14:paraId="67659F8A"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4105245"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40-49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1310639"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0,40**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0C8749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1,00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52D0A42"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0,26*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BEF848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EBC273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1,40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1339C36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A09E61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0,95</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58CDBA0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1,06</w:t>
            </w:r>
          </w:p>
        </w:tc>
      </w:tr>
      <w:tr w:rsidR="00E2476B" w14:paraId="340DC42A"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40A64F8B"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50-69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7465C3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14D7AB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46956D5"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0,08***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8350492"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0,35**</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4FD0AB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0,69</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A8FDDE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C3FAF5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1,17</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72369C0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0,86</w:t>
            </w:r>
          </w:p>
        </w:tc>
      </w:tr>
      <w:tr w:rsidR="00E2476B" w14:paraId="067C3D1A" w14:textId="77777777" w:rsidTr="0018419C">
        <w:trPr>
          <w:jc w:val="center"/>
        </w:trPr>
        <w:tc>
          <w:tcPr>
            <w:tcW w:w="2074" w:type="dxa"/>
            <w:tcBorders>
              <w:left w:val="single" w:sz="12" w:space="0" w:color="000000"/>
            </w:tcBorders>
            <w:shd w:val="clear" w:color="auto" w:fill="FFFFFF"/>
            <w:tcMar>
              <w:top w:w="0" w:type="dxa"/>
              <w:left w:w="0" w:type="dxa"/>
              <w:bottom w:w="0" w:type="dxa"/>
              <w:right w:w="0" w:type="dxa"/>
            </w:tcMar>
          </w:tcPr>
          <w:p w14:paraId="0F2B5B7F"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Diplôme</w:t>
            </w:r>
          </w:p>
        </w:tc>
        <w:tc>
          <w:tcPr>
            <w:tcW w:w="916" w:type="dxa"/>
            <w:shd w:val="clear" w:color="auto" w:fill="FFFFFF"/>
            <w:tcMar>
              <w:top w:w="0" w:type="dxa"/>
              <w:left w:w="0" w:type="dxa"/>
              <w:bottom w:w="0" w:type="dxa"/>
              <w:right w:w="0" w:type="dxa"/>
            </w:tcMar>
          </w:tcPr>
          <w:p w14:paraId="0D61E19E"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F19330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4C68795"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F4C06EA"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32B22A28"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780810A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872D0FE"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17C89EAE"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r>
      <w:tr w:rsidR="00E2476B" w14:paraId="4C0D8A9C"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6740B149"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Lycée ou inférieur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7DE291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0DC377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B47D83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E3DD07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472C75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7255F5D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6C65EBA"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632CE30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r>
      <w:tr w:rsidR="00E2476B" w14:paraId="2151A7F7"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3E8B5611"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Bac / Bac+3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271AA63"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2,60**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DA2542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78270B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22B47E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172CC9F"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0,55*</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5C20F03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1,68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6AB482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0,72</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23FC4E3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1,61</w:t>
            </w:r>
          </w:p>
        </w:tc>
      </w:tr>
      <w:tr w:rsidR="00E2476B" w14:paraId="38D43A18"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54A57E9A"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Supérieur à Bac+3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BF6CBE9"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5,23***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5F98E0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1CB4B7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F1BA7E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304B97D"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0,39**</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74CAAE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1,38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34640F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0,63</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0937B2D5"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2,36*</w:t>
            </w:r>
          </w:p>
        </w:tc>
      </w:tr>
      <w:tr w:rsidR="00E2476B" w14:paraId="4C764F9B" w14:textId="77777777" w:rsidTr="0018419C">
        <w:trPr>
          <w:jc w:val="center"/>
        </w:trPr>
        <w:tc>
          <w:tcPr>
            <w:tcW w:w="2074" w:type="dxa"/>
            <w:tcBorders>
              <w:left w:val="single" w:sz="12" w:space="0" w:color="000000"/>
            </w:tcBorders>
            <w:shd w:val="clear" w:color="auto" w:fill="FFFFFF"/>
            <w:tcMar>
              <w:top w:w="0" w:type="dxa"/>
              <w:left w:w="0" w:type="dxa"/>
              <w:bottom w:w="0" w:type="dxa"/>
              <w:right w:w="0" w:type="dxa"/>
            </w:tcMar>
          </w:tcPr>
          <w:p w14:paraId="40C584B5"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Revenu du ménage</w:t>
            </w:r>
          </w:p>
        </w:tc>
        <w:tc>
          <w:tcPr>
            <w:tcW w:w="916" w:type="dxa"/>
            <w:shd w:val="clear" w:color="auto" w:fill="FFFFFF"/>
            <w:tcMar>
              <w:top w:w="0" w:type="dxa"/>
              <w:left w:w="0" w:type="dxa"/>
              <w:bottom w:w="0" w:type="dxa"/>
              <w:right w:w="0" w:type="dxa"/>
            </w:tcMar>
          </w:tcPr>
          <w:p w14:paraId="7480F35C"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20507F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60E2ADF"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88F9F0D"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8D5A118"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4691FAB9"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94C5F59"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31F2D8DC"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r>
      <w:tr w:rsidR="00E2476B" w14:paraId="5CEEDA1C"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1D8C56C"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4 000€ et plus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41AB17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F16744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B787A8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8023F2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93C888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24EEEC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92AF74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05D0E0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r>
      <w:tr w:rsidR="00E2476B" w14:paraId="723FBBBF"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52324248"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Moins de 1 800€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D25A36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7FA07FF"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0,48*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E11A55E"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0,33*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601D7E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1,24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FC54B3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1,26</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0EE3EFD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1,67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9743FE0"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1,67*</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5BC3667D"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2,76**</w:t>
            </w:r>
          </w:p>
        </w:tc>
      </w:tr>
      <w:tr w:rsidR="00E2476B" w14:paraId="06E845A2"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121295A3"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De 1 800 à moins de 3 000€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E033C7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D32BE0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EB0D97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0,54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194DDD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1,38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710438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1,40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65FB3628"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1,64*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1598B7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1,18</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34987B7"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2,54***</w:t>
            </w:r>
          </w:p>
        </w:tc>
      </w:tr>
      <w:tr w:rsidR="00E2476B" w14:paraId="3A833E83"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17C41CA3"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De 3 000 à moins de 4 000€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98B695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454029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5F3731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0,48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792B08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18A812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1,20</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989C721"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1,60*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5A9108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0,81</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61EC1F8D"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1,87**</w:t>
            </w:r>
          </w:p>
        </w:tc>
      </w:tr>
      <w:tr w:rsidR="00E2476B" w14:paraId="6D810815" w14:textId="77777777" w:rsidTr="0018419C">
        <w:trPr>
          <w:jc w:val="center"/>
        </w:trPr>
        <w:tc>
          <w:tcPr>
            <w:tcW w:w="2074" w:type="dxa"/>
            <w:tcBorders>
              <w:left w:val="single" w:sz="12" w:space="0" w:color="000000"/>
            </w:tcBorders>
            <w:shd w:val="clear" w:color="auto" w:fill="FFFFFF"/>
            <w:tcMar>
              <w:top w:w="0" w:type="dxa"/>
              <w:left w:w="0" w:type="dxa"/>
              <w:bottom w:w="0" w:type="dxa"/>
              <w:right w:w="0" w:type="dxa"/>
            </w:tcMar>
          </w:tcPr>
          <w:p w14:paraId="5801FCB5"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Situation maritale</w:t>
            </w:r>
          </w:p>
        </w:tc>
        <w:tc>
          <w:tcPr>
            <w:tcW w:w="916" w:type="dxa"/>
            <w:shd w:val="clear" w:color="auto" w:fill="FFFFFF"/>
            <w:tcMar>
              <w:top w:w="0" w:type="dxa"/>
              <w:left w:w="0" w:type="dxa"/>
              <w:bottom w:w="0" w:type="dxa"/>
              <w:right w:w="0" w:type="dxa"/>
            </w:tcMar>
          </w:tcPr>
          <w:p w14:paraId="5F4892C7"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E33D32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253775FA"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5BB5BB54"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65E0789A"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6F7FAC25"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FFBFF7B"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5184C4DC"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r>
      <w:tr w:rsidR="00E2476B" w14:paraId="6AD5E61A"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0A1FF782"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Pas mariée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766DCA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02C469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D9BF63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341E8D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28E247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21906E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52B7FF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60D8738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r>
      <w:tr w:rsidR="00E2476B" w14:paraId="7EDF1505"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2AE95348"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Mariée</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42CB0E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1,50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18C1750"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2,78***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667402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0,91</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2146405"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2,10*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34DDD79"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0,41***</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7D3633A2"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0,33***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367D56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0,90</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6172742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1,14</w:t>
            </w:r>
          </w:p>
        </w:tc>
      </w:tr>
      <w:tr w:rsidR="00E2476B" w14:paraId="3516F241" w14:textId="77777777" w:rsidTr="0018419C">
        <w:trPr>
          <w:jc w:val="center"/>
        </w:trPr>
        <w:tc>
          <w:tcPr>
            <w:tcW w:w="2074" w:type="dxa"/>
            <w:tcBorders>
              <w:left w:val="single" w:sz="12" w:space="0" w:color="000000"/>
            </w:tcBorders>
            <w:shd w:val="clear" w:color="auto" w:fill="FFFFFF"/>
            <w:tcMar>
              <w:top w:w="0" w:type="dxa"/>
              <w:left w:w="0" w:type="dxa"/>
              <w:bottom w:w="0" w:type="dxa"/>
              <w:right w:w="0" w:type="dxa"/>
            </w:tcMar>
          </w:tcPr>
          <w:p w14:paraId="4F364FA2"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Cohabitation</w:t>
            </w:r>
          </w:p>
        </w:tc>
        <w:tc>
          <w:tcPr>
            <w:tcW w:w="916" w:type="dxa"/>
            <w:shd w:val="clear" w:color="auto" w:fill="FFFFFF"/>
            <w:tcMar>
              <w:top w:w="0" w:type="dxa"/>
              <w:left w:w="0" w:type="dxa"/>
              <w:bottom w:w="0" w:type="dxa"/>
              <w:right w:w="0" w:type="dxa"/>
            </w:tcMar>
          </w:tcPr>
          <w:p w14:paraId="7199EC9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3915540A"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245C3B3"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971691E"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EDA7B7F"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3EC06837"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66ADED8"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7CF3EEA4"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r>
      <w:tr w:rsidR="00E2476B" w14:paraId="5F56354E"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4C587803"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En couple non cohabitant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900E11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1C8B6B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C16E96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60489C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726793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2A05690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C9C26C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7D87D72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r>
      <w:tr w:rsidR="00E2476B" w14:paraId="5AAD0BAE"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0947E375"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En couple cohabitant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5EDA51F"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3,13***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8E450C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9FBDD2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1,78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E60DCF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1,49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50AC75A"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0,41***</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198EA1B0"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0,50**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FDD963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0,82</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42D75A39"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1,33</w:t>
            </w:r>
          </w:p>
        </w:tc>
      </w:tr>
      <w:tr w:rsidR="00E2476B" w14:paraId="1D130472" w14:textId="77777777" w:rsidTr="0018419C">
        <w:trPr>
          <w:jc w:val="center"/>
        </w:trPr>
        <w:tc>
          <w:tcPr>
            <w:tcW w:w="2074" w:type="dxa"/>
            <w:tcBorders>
              <w:left w:val="single" w:sz="12" w:space="0" w:color="000000"/>
            </w:tcBorders>
            <w:shd w:val="clear" w:color="auto" w:fill="FFFFFF"/>
            <w:tcMar>
              <w:top w:w="0" w:type="dxa"/>
              <w:left w:w="0" w:type="dxa"/>
              <w:bottom w:w="0" w:type="dxa"/>
              <w:right w:w="0" w:type="dxa"/>
            </w:tcMar>
          </w:tcPr>
          <w:p w14:paraId="3BA5FD49"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Situation parentale</w:t>
            </w:r>
          </w:p>
        </w:tc>
        <w:tc>
          <w:tcPr>
            <w:tcW w:w="916" w:type="dxa"/>
            <w:shd w:val="clear" w:color="auto" w:fill="FFFFFF"/>
            <w:tcMar>
              <w:top w:w="0" w:type="dxa"/>
              <w:left w:w="0" w:type="dxa"/>
              <w:bottom w:w="0" w:type="dxa"/>
              <w:right w:w="0" w:type="dxa"/>
            </w:tcMar>
          </w:tcPr>
          <w:p w14:paraId="69F2A2A6"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1C569EF0"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21C0E7E"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964BF2E"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39072586"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6237490A"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7DF9E9C8"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778AA619"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r>
      <w:tr w:rsidR="00E2476B" w14:paraId="0398CE88"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D9E4A86"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lastRenderedPageBreak/>
              <w:t>Enfant(s) dans le couple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C9DF0F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231F7F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20390F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DDCDDF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D3D550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54F4D69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FDA781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0B3ECF0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r>
      <w:tr w:rsidR="00E2476B" w14:paraId="505664F8"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1837F779"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Sans enfant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61D9C0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1,55</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8F84FF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1,96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920041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1,59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C49553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1,17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456488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0,68</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5D28B243" w14:textId="77777777" w:rsidR="00E2476B" w:rsidRDefault="00E2476B" w:rsidP="0018419C">
            <w:pPr>
              <w:pStyle w:val="Standard"/>
              <w:spacing w:before="80" w:after="80"/>
              <w:ind w:left="100" w:right="100"/>
              <w:jc w:val="center"/>
            </w:pPr>
            <w:r>
              <w:rPr>
                <w:rFonts w:ascii="Times New Roman" w:eastAsia="Arial" w:hAnsi="Times New Roman" w:cs="Times New Roman"/>
                <w:b/>
                <w:bCs/>
                <w:color w:val="000000"/>
                <w:sz w:val="14"/>
                <w:szCs w:val="14"/>
              </w:rPr>
              <w:t>0,53*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D4BAB0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0,94</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5AECFA9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1,20</w:t>
            </w:r>
          </w:p>
        </w:tc>
      </w:tr>
      <w:tr w:rsidR="00E2476B" w14:paraId="2CC6EA72"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1D6C7070"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Enfant(s) autre union</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422333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2,03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F134CC7"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2,06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2751D92"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4,12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1FC5B7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2,27</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94E57D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0,74</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6D8C00D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F08DAA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0,53</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01B8E21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0,81</w:t>
            </w:r>
          </w:p>
        </w:tc>
      </w:tr>
      <w:tr w:rsidR="00E2476B" w14:paraId="69A5155D" w14:textId="77777777" w:rsidTr="0018419C">
        <w:trPr>
          <w:jc w:val="center"/>
        </w:trPr>
        <w:tc>
          <w:tcPr>
            <w:tcW w:w="2074" w:type="dxa"/>
            <w:tcBorders>
              <w:left w:val="single" w:sz="12" w:space="0" w:color="000000"/>
            </w:tcBorders>
            <w:shd w:val="clear" w:color="auto" w:fill="FFFFFF"/>
            <w:tcMar>
              <w:top w:w="0" w:type="dxa"/>
              <w:left w:w="0" w:type="dxa"/>
              <w:bottom w:w="0" w:type="dxa"/>
              <w:right w:w="0" w:type="dxa"/>
            </w:tcMar>
          </w:tcPr>
          <w:p w14:paraId="661CD993" w14:textId="77777777" w:rsidR="00E2476B" w:rsidRDefault="00E2476B" w:rsidP="0018419C">
            <w:pPr>
              <w:pStyle w:val="Standard"/>
              <w:spacing w:before="80" w:after="80"/>
              <w:ind w:left="102" w:right="102"/>
            </w:pPr>
            <w:r>
              <w:rPr>
                <w:rFonts w:ascii="Times New Roman" w:eastAsia="Arial" w:hAnsi="Times New Roman" w:cs="Times New Roman"/>
                <w:i/>
                <w:iCs/>
                <w:color w:val="000000"/>
                <w:sz w:val="14"/>
                <w:szCs w:val="14"/>
              </w:rPr>
              <w:t>Statut d’activité comparé</w:t>
            </w:r>
          </w:p>
        </w:tc>
        <w:tc>
          <w:tcPr>
            <w:tcW w:w="916" w:type="dxa"/>
            <w:shd w:val="clear" w:color="auto" w:fill="FFFFFF"/>
            <w:tcMar>
              <w:top w:w="0" w:type="dxa"/>
              <w:left w:w="0" w:type="dxa"/>
              <w:bottom w:w="0" w:type="dxa"/>
              <w:right w:w="0" w:type="dxa"/>
            </w:tcMar>
          </w:tcPr>
          <w:p w14:paraId="7BD3DC27"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9B1B8C3"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0209B63C"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49A0C169"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3728BA08"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7" w:type="dxa"/>
            <w:shd w:val="clear" w:color="auto" w:fill="FFFFFF"/>
            <w:tcMar>
              <w:top w:w="0" w:type="dxa"/>
              <w:left w:w="0" w:type="dxa"/>
              <w:bottom w:w="0" w:type="dxa"/>
              <w:right w:w="0" w:type="dxa"/>
            </w:tcMar>
          </w:tcPr>
          <w:p w14:paraId="30758A11"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6" w:type="dxa"/>
            <w:shd w:val="clear" w:color="auto" w:fill="FFFFFF"/>
            <w:tcMar>
              <w:top w:w="0" w:type="dxa"/>
              <w:left w:w="0" w:type="dxa"/>
              <w:bottom w:w="0" w:type="dxa"/>
              <w:right w:w="0" w:type="dxa"/>
            </w:tcMar>
          </w:tcPr>
          <w:p w14:paraId="283E7AC1"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c>
          <w:tcPr>
            <w:tcW w:w="918" w:type="dxa"/>
            <w:tcBorders>
              <w:right w:val="single" w:sz="12" w:space="0" w:color="000000"/>
            </w:tcBorders>
            <w:shd w:val="clear" w:color="auto" w:fill="FFFFFF"/>
            <w:tcMar>
              <w:top w:w="0" w:type="dxa"/>
              <w:left w:w="0" w:type="dxa"/>
              <w:bottom w:w="0" w:type="dxa"/>
              <w:right w:w="0" w:type="dxa"/>
            </w:tcMar>
          </w:tcPr>
          <w:p w14:paraId="7FF80A03" w14:textId="77777777" w:rsidR="00E2476B" w:rsidRDefault="00E2476B" w:rsidP="0018419C">
            <w:pPr>
              <w:pStyle w:val="Standard"/>
              <w:spacing w:before="80" w:after="80"/>
              <w:ind w:left="100" w:right="100"/>
              <w:jc w:val="center"/>
              <w:rPr>
                <w:rFonts w:ascii="Times New Roman" w:eastAsia="Arial" w:hAnsi="Times New Roman" w:cs="Times New Roman"/>
                <w:color w:val="000000"/>
                <w:sz w:val="14"/>
                <w:szCs w:val="14"/>
              </w:rPr>
            </w:pPr>
          </w:p>
        </w:tc>
      </w:tr>
      <w:tr w:rsidR="00E2476B" w14:paraId="26E4ED83"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7D318FC9"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Couple actif (réf.)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1660DA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3268E6A"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932751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0FC3B61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22CB6E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6871275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57FE03C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46E3A95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w:t>
            </w:r>
          </w:p>
        </w:tc>
      </w:tr>
      <w:tr w:rsidR="00E2476B" w14:paraId="59982820"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3778922F"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Couple inactif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78CD58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2,18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60E7E48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B36ABA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1,80</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B64816F"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0,62</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9C64FA6"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0,77</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67EA625A"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0,73</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25CC08BD"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1,21</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1F77FFA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0,93</w:t>
            </w:r>
          </w:p>
        </w:tc>
      </w:tr>
      <w:tr w:rsidR="00E2476B" w14:paraId="63185304" w14:textId="77777777" w:rsidTr="0018419C">
        <w:trPr>
          <w:jc w:val="center"/>
        </w:trPr>
        <w:tc>
          <w:tcPr>
            <w:tcW w:w="2074" w:type="dxa"/>
            <w:tcBorders>
              <w:left w:val="single" w:sz="12" w:space="0" w:color="000000"/>
              <w:right w:val="single" w:sz="8" w:space="0" w:color="000000"/>
            </w:tcBorders>
            <w:shd w:val="clear" w:color="auto" w:fill="FFFFFF"/>
            <w:tcMar>
              <w:top w:w="0" w:type="dxa"/>
              <w:left w:w="0" w:type="dxa"/>
              <w:bottom w:w="0" w:type="dxa"/>
              <w:right w:w="0" w:type="dxa"/>
            </w:tcMar>
          </w:tcPr>
          <w:p w14:paraId="3D4827C5"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Ego actif / Partenaire inactif</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42A89B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1,08</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EF2AA9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0,76</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7E88478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4D2C5DC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0,59</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3A17935C"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1,62</w:t>
            </w:r>
          </w:p>
        </w:tc>
        <w:tc>
          <w:tcPr>
            <w:tcW w:w="917" w:type="dxa"/>
            <w:tcBorders>
              <w:left w:val="single" w:sz="8" w:space="0" w:color="000000"/>
              <w:right w:val="single" w:sz="8" w:space="0" w:color="000000"/>
            </w:tcBorders>
            <w:shd w:val="clear" w:color="auto" w:fill="FFFFFF"/>
            <w:tcMar>
              <w:top w:w="0" w:type="dxa"/>
              <w:left w:w="0" w:type="dxa"/>
              <w:bottom w:w="0" w:type="dxa"/>
              <w:right w:w="0" w:type="dxa"/>
            </w:tcMar>
          </w:tcPr>
          <w:p w14:paraId="357CFD00"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0,84</w:t>
            </w:r>
          </w:p>
        </w:tc>
        <w:tc>
          <w:tcPr>
            <w:tcW w:w="916" w:type="dxa"/>
            <w:tcBorders>
              <w:left w:val="single" w:sz="8" w:space="0" w:color="000000"/>
              <w:right w:val="single" w:sz="8" w:space="0" w:color="000000"/>
            </w:tcBorders>
            <w:shd w:val="clear" w:color="auto" w:fill="FFFFFF"/>
            <w:tcMar>
              <w:top w:w="0" w:type="dxa"/>
              <w:left w:w="0" w:type="dxa"/>
              <w:bottom w:w="0" w:type="dxa"/>
              <w:right w:w="0" w:type="dxa"/>
            </w:tcMar>
          </w:tcPr>
          <w:p w14:paraId="1702B4E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1,35</w:t>
            </w:r>
          </w:p>
        </w:tc>
        <w:tc>
          <w:tcPr>
            <w:tcW w:w="918" w:type="dxa"/>
            <w:tcBorders>
              <w:left w:val="single" w:sz="8" w:space="0" w:color="000000"/>
              <w:right w:val="single" w:sz="12" w:space="0" w:color="000000"/>
            </w:tcBorders>
            <w:shd w:val="clear" w:color="auto" w:fill="FFFFFF"/>
            <w:tcMar>
              <w:top w:w="0" w:type="dxa"/>
              <w:left w:w="0" w:type="dxa"/>
              <w:bottom w:w="0" w:type="dxa"/>
              <w:right w:w="0" w:type="dxa"/>
            </w:tcMar>
          </w:tcPr>
          <w:p w14:paraId="5DE2DBD5"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1,07</w:t>
            </w:r>
          </w:p>
        </w:tc>
      </w:tr>
      <w:tr w:rsidR="00E2476B" w14:paraId="2F996DB5" w14:textId="77777777" w:rsidTr="0018419C">
        <w:trPr>
          <w:jc w:val="center"/>
        </w:trPr>
        <w:tc>
          <w:tcPr>
            <w:tcW w:w="2074" w:type="dxa"/>
            <w:tcBorders>
              <w:left w:val="single" w:sz="12" w:space="0" w:color="000000"/>
              <w:bottom w:val="single" w:sz="12" w:space="0" w:color="000000"/>
              <w:right w:val="single" w:sz="8" w:space="0" w:color="000000"/>
            </w:tcBorders>
            <w:shd w:val="clear" w:color="auto" w:fill="FFFFFF"/>
            <w:tcMar>
              <w:top w:w="0" w:type="dxa"/>
              <w:left w:w="0" w:type="dxa"/>
              <w:bottom w:w="0" w:type="dxa"/>
              <w:right w:w="0" w:type="dxa"/>
            </w:tcMar>
          </w:tcPr>
          <w:p w14:paraId="3735BC16" w14:textId="77777777" w:rsidR="00E2476B" w:rsidRDefault="00E2476B" w:rsidP="0018419C">
            <w:pPr>
              <w:pStyle w:val="Standard"/>
              <w:spacing w:before="80" w:after="80"/>
              <w:ind w:left="102" w:right="102"/>
            </w:pPr>
            <w:r>
              <w:rPr>
                <w:rFonts w:ascii="Times New Roman" w:eastAsia="Arial" w:hAnsi="Times New Roman" w:cs="Times New Roman"/>
                <w:color w:val="000000"/>
                <w:sz w:val="14"/>
                <w:szCs w:val="14"/>
              </w:rPr>
              <w:t>Ego inactif / Partenaire actif</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237D669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1,08</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1CD59D74"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1,67</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4A062283"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0,72</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6866DE58"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0,98</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4D6CBF3E"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0,98</w:t>
            </w:r>
          </w:p>
        </w:tc>
        <w:tc>
          <w:tcPr>
            <w:tcW w:w="917"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5FF18F3A"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0,75</w:t>
            </w:r>
          </w:p>
        </w:tc>
        <w:tc>
          <w:tcPr>
            <w:tcW w:w="916" w:type="dxa"/>
            <w:tcBorders>
              <w:left w:val="single" w:sz="8" w:space="0" w:color="000000"/>
              <w:bottom w:val="single" w:sz="12" w:space="0" w:color="000000"/>
              <w:right w:val="single" w:sz="8" w:space="0" w:color="000000"/>
            </w:tcBorders>
            <w:shd w:val="clear" w:color="auto" w:fill="FFFFFF"/>
            <w:tcMar>
              <w:top w:w="0" w:type="dxa"/>
              <w:left w:w="0" w:type="dxa"/>
              <w:bottom w:w="0" w:type="dxa"/>
              <w:right w:w="0" w:type="dxa"/>
            </w:tcMar>
          </w:tcPr>
          <w:p w14:paraId="51109EE1"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1,29</w:t>
            </w:r>
          </w:p>
        </w:tc>
        <w:tc>
          <w:tcPr>
            <w:tcW w:w="918" w:type="dxa"/>
            <w:tcBorders>
              <w:left w:val="single" w:sz="8" w:space="0" w:color="000000"/>
              <w:bottom w:val="single" w:sz="12" w:space="0" w:color="000000"/>
              <w:right w:val="single" w:sz="12" w:space="0" w:color="000000"/>
            </w:tcBorders>
            <w:shd w:val="clear" w:color="auto" w:fill="FFFFFF"/>
            <w:tcMar>
              <w:top w:w="0" w:type="dxa"/>
              <w:left w:w="0" w:type="dxa"/>
              <w:bottom w:w="0" w:type="dxa"/>
              <w:right w:w="0" w:type="dxa"/>
            </w:tcMar>
          </w:tcPr>
          <w:p w14:paraId="05ABEC6B" w14:textId="77777777" w:rsidR="00E2476B" w:rsidRDefault="00E2476B" w:rsidP="0018419C">
            <w:pPr>
              <w:pStyle w:val="Standard"/>
              <w:spacing w:before="80" w:after="80"/>
              <w:ind w:left="100" w:right="100"/>
              <w:jc w:val="center"/>
            </w:pPr>
            <w:r>
              <w:rPr>
                <w:rFonts w:ascii="Times New Roman" w:eastAsia="Arial" w:hAnsi="Times New Roman" w:cs="Times New Roman"/>
                <w:color w:val="000000"/>
                <w:sz w:val="14"/>
                <w:szCs w:val="14"/>
              </w:rPr>
              <w:t>1,14</w:t>
            </w:r>
          </w:p>
        </w:tc>
      </w:tr>
      <w:tr w:rsidR="00E2476B" w14:paraId="7584151A" w14:textId="77777777" w:rsidTr="0018419C">
        <w:trPr>
          <w:jc w:val="center"/>
        </w:trPr>
        <w:tc>
          <w:tcPr>
            <w:tcW w:w="9405" w:type="dxa"/>
            <w:gridSpan w:val="9"/>
            <w:tcBorders>
              <w:top w:val="single" w:sz="12" w:space="0" w:color="000000"/>
              <w:left w:val="single" w:sz="12" w:space="0" w:color="000000"/>
              <w:bottom w:val="single" w:sz="12" w:space="0" w:color="000000"/>
              <w:right w:val="single" w:sz="12" w:space="0" w:color="000000"/>
            </w:tcBorders>
            <w:shd w:val="clear" w:color="auto" w:fill="FFFFFF"/>
            <w:tcMar>
              <w:top w:w="0" w:type="dxa"/>
              <w:left w:w="0" w:type="dxa"/>
              <w:bottom w:w="0" w:type="dxa"/>
              <w:right w:w="0" w:type="dxa"/>
            </w:tcMar>
          </w:tcPr>
          <w:p w14:paraId="2C12925F"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*p-valeur &lt; .05 ; **p &lt; .01 ; ***p &lt; .001</w:t>
            </w:r>
          </w:p>
          <w:p w14:paraId="5F860347"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 xml:space="preserve">Seuls les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ratios dont l'intervalle de confiance à 95% n'inclut pas la valeur 1 sont considérés comme statistiquement significatifs</w:t>
            </w:r>
          </w:p>
          <w:p w14:paraId="3338A08C"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 : Estimation non exploitable en raison d'une séparation quasi complète des données (effectif insuffisant dans la sous-catégorie).</w:t>
            </w:r>
          </w:p>
          <w:p w14:paraId="1E73E7F7" w14:textId="77777777" w:rsidR="00E2476B" w:rsidRDefault="00E2476B" w:rsidP="0018419C">
            <w:pPr>
              <w:pStyle w:val="Standard"/>
              <w:spacing w:before="40" w:after="40"/>
              <w:ind w:left="102" w:right="102"/>
            </w:pPr>
            <w:r>
              <w:rPr>
                <w:rFonts w:ascii="Times New Roman" w:eastAsia="Arial" w:hAnsi="Times New Roman" w:cs="Times New Roman"/>
                <w:color w:val="000000"/>
                <w:sz w:val="14"/>
                <w:szCs w:val="14"/>
              </w:rPr>
              <w:t>Variables de contrôle : âge, diplôme, revenu du ménage, statut marital, résidentiel et parental, statut d'activité comparé.</w:t>
            </w:r>
          </w:p>
          <w:p w14:paraId="5F969EAF"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Champ</w:t>
            </w:r>
            <w:r>
              <w:rPr>
                <w:rFonts w:ascii="Times New Roman" w:eastAsia="Arial" w:hAnsi="Times New Roman" w:cs="Times New Roman"/>
                <w:color w:val="000000"/>
                <w:sz w:val="14"/>
                <w:szCs w:val="14"/>
              </w:rPr>
              <w:t xml:space="preserve"> : Répondant∙es en couple au moment de l’enquête Virage LGBT, </w:t>
            </w:r>
            <w:proofErr w:type="spellStart"/>
            <w:r>
              <w:rPr>
                <w:rFonts w:ascii="Times New Roman" w:eastAsia="Arial" w:hAnsi="Times New Roman" w:cs="Times New Roman"/>
                <w:color w:val="000000"/>
                <w:sz w:val="14"/>
                <w:szCs w:val="14"/>
              </w:rPr>
              <w:t>âgé∙es</w:t>
            </w:r>
            <w:proofErr w:type="spellEnd"/>
            <w:r>
              <w:rPr>
                <w:rFonts w:ascii="Times New Roman" w:eastAsia="Arial" w:hAnsi="Times New Roman" w:cs="Times New Roman"/>
                <w:color w:val="000000"/>
                <w:sz w:val="14"/>
                <w:szCs w:val="14"/>
              </w:rPr>
              <w:t xml:space="preserve"> de 20 à 69 ans.</w:t>
            </w:r>
          </w:p>
          <w:p w14:paraId="30528301"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Lecture</w:t>
            </w:r>
            <w:r>
              <w:rPr>
                <w:rFonts w:ascii="Times New Roman" w:eastAsia="Arial" w:hAnsi="Times New Roman" w:cs="Times New Roman"/>
                <w:color w:val="000000"/>
                <w:sz w:val="14"/>
                <w:szCs w:val="14"/>
              </w:rPr>
              <w:t xml:space="preserve"> : Les femmes bisexuelles en couple de même sexe ont moins de chance d'être satisfaites de leur relation actuelle que les homosexuelles en couple, à variables de contrôle équivalentes.</w:t>
            </w:r>
          </w:p>
          <w:p w14:paraId="687898A0" w14:textId="77777777" w:rsidR="00E2476B" w:rsidRDefault="00E2476B" w:rsidP="0018419C">
            <w:pPr>
              <w:pStyle w:val="Standard"/>
              <w:spacing w:before="40" w:after="40"/>
              <w:ind w:left="102" w:right="102"/>
            </w:pPr>
            <w:r>
              <w:rPr>
                <w:rFonts w:ascii="Times New Roman" w:eastAsia="Arial" w:hAnsi="Times New Roman" w:cs="Times New Roman"/>
                <w:b/>
                <w:bCs/>
                <w:color w:val="000000"/>
                <w:sz w:val="14"/>
                <w:szCs w:val="14"/>
              </w:rPr>
              <w:t>Source</w:t>
            </w:r>
            <w:r>
              <w:rPr>
                <w:rFonts w:ascii="Times New Roman" w:eastAsia="Arial" w:hAnsi="Times New Roman" w:cs="Times New Roman"/>
                <w:color w:val="000000"/>
                <w:sz w:val="14"/>
                <w:szCs w:val="14"/>
              </w:rPr>
              <w:t xml:space="preserve"> : Enquête Virage LGBT, Ined, 2015-2016.</w:t>
            </w:r>
          </w:p>
        </w:tc>
      </w:tr>
    </w:tbl>
    <w:p w14:paraId="672A849F" w14:textId="1BA5CF25" w:rsidR="00E2476B" w:rsidRDefault="00E2476B" w:rsidP="00E2476B">
      <w:r>
        <w:t xml:space="preserve">Annexe </w:t>
      </w:r>
      <w:proofErr w:type="gramStart"/>
      <w:r>
        <w:t>3:</w:t>
      </w:r>
      <w:proofErr w:type="gramEnd"/>
      <w:r>
        <w:t xml:space="preserve"> tableau détaillé des sujets de conflit (à ajouter)</w:t>
      </w:r>
    </w:p>
    <w:p w14:paraId="3945D0AB" w14:textId="77777777" w:rsidR="00E2476B" w:rsidRPr="00DC2108" w:rsidRDefault="00E2476B" w:rsidP="00E2476B">
      <w:r>
        <w:t xml:space="preserve">Annexe 1 : </w:t>
      </w:r>
      <w:r w:rsidRPr="005D5189">
        <w:t xml:space="preserve">Indicateur global de violence dans le couple </w:t>
      </w:r>
      <w:r>
        <w:t>avant</w:t>
      </w:r>
      <w:r w:rsidRPr="005D5189">
        <w:t xml:space="preserve"> les 12 derniers mois</w:t>
      </w:r>
      <w:r>
        <w:t>.</w:t>
      </w:r>
    </w:p>
    <w:tbl>
      <w:tblPr>
        <w:tblW w:w="4974" w:type="pct"/>
        <w:jc w:val="center"/>
        <w:tblLook w:val="0420" w:firstRow="1" w:lastRow="0" w:firstColumn="0" w:lastColumn="0" w:noHBand="0" w:noVBand="1"/>
      </w:tblPr>
      <w:tblGrid>
        <w:gridCol w:w="2400"/>
        <w:gridCol w:w="1154"/>
        <w:gridCol w:w="1154"/>
        <w:gridCol w:w="1154"/>
        <w:gridCol w:w="1154"/>
        <w:gridCol w:w="1154"/>
        <w:gridCol w:w="1155"/>
      </w:tblGrid>
      <w:tr w:rsidR="00E2476B" w14:paraId="74018786" w14:textId="77777777" w:rsidTr="0018419C">
        <w:trPr>
          <w:tblHeader/>
          <w:jc w:val="center"/>
        </w:trPr>
        <w:tc>
          <w:tcPr>
            <w:tcW w:w="2400" w:type="dxa"/>
            <w:tcBorders>
              <w:top w:val="single" w:sz="12" w:space="0" w:color="auto"/>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466307CA"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b/>
                <w:color w:val="000000"/>
                <w:sz w:val="14"/>
                <w:szCs w:val="14"/>
              </w:rPr>
            </w:pPr>
          </w:p>
        </w:tc>
        <w:tc>
          <w:tcPr>
            <w:tcW w:w="3462" w:type="dxa"/>
            <w:gridSpan w:val="3"/>
            <w:tcBorders>
              <w:top w:val="single" w:sz="12" w:space="0" w:color="auto"/>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02E97CA"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DC2108">
              <w:rPr>
                <w:rFonts w:ascii="Times New Roman" w:eastAsia="Arial" w:hAnsi="Times New Roman" w:cs="Times New Roman"/>
                <w:b/>
                <w:color w:val="000000"/>
                <w:sz w:val="14"/>
                <w:szCs w:val="14"/>
              </w:rPr>
              <w:t>Virage PG — Femmes</w:t>
            </w:r>
          </w:p>
        </w:tc>
        <w:tc>
          <w:tcPr>
            <w:tcW w:w="3463" w:type="dxa"/>
            <w:gridSpan w:val="3"/>
            <w:tcBorders>
              <w:top w:val="single" w:sz="12" w:space="0" w:color="auto"/>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7681FE31"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DC2108">
              <w:rPr>
                <w:rFonts w:ascii="Times New Roman" w:eastAsia="Arial" w:hAnsi="Times New Roman" w:cs="Times New Roman"/>
                <w:b/>
                <w:color w:val="000000"/>
                <w:sz w:val="14"/>
                <w:szCs w:val="14"/>
              </w:rPr>
              <w:t>Virage PG — Hommes</w:t>
            </w:r>
          </w:p>
        </w:tc>
      </w:tr>
      <w:tr w:rsidR="00E2476B" w14:paraId="52D8D7FC" w14:textId="77777777" w:rsidTr="0018419C">
        <w:trPr>
          <w:tblHeader/>
          <w:jc w:val="center"/>
        </w:trPr>
        <w:tc>
          <w:tcPr>
            <w:tcW w:w="2400" w:type="dxa"/>
            <w:tcBorders>
              <w:top w:val="single" w:sz="8" w:space="0" w:color="000000"/>
              <w:left w:val="single" w:sz="12" w:space="0" w:color="auto"/>
              <w:bottom w:val="single" w:sz="8" w:space="0" w:color="000000"/>
              <w:right w:val="none" w:sz="0" w:space="0" w:color="000000"/>
            </w:tcBorders>
            <w:shd w:val="clear" w:color="auto" w:fill="FFFFFF"/>
            <w:tcMar>
              <w:top w:w="0" w:type="dxa"/>
              <w:left w:w="0" w:type="dxa"/>
              <w:bottom w:w="0" w:type="dxa"/>
              <w:right w:w="0" w:type="dxa"/>
            </w:tcMar>
            <w:vAlign w:val="center"/>
          </w:tcPr>
          <w:p w14:paraId="79B904E8"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9FE2168"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Homo</w:t>
            </w:r>
            <w:r w:rsidRPr="00DC2108">
              <w:rPr>
                <w:rFonts w:ascii="Times New Roman" w:eastAsia="Arial" w:hAnsi="Times New Roman" w:cs="Times New Roman"/>
                <w:color w:val="000000"/>
                <w:sz w:val="14"/>
                <w:szCs w:val="14"/>
              </w:rPr>
              <w:br/>
              <w:t>(90)</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5466A1"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Bi</w:t>
            </w:r>
            <w:r w:rsidRPr="00DC2108">
              <w:rPr>
                <w:rFonts w:ascii="Times New Roman" w:eastAsia="Arial" w:hAnsi="Times New Roman" w:cs="Times New Roman"/>
                <w:color w:val="000000"/>
                <w:sz w:val="14"/>
                <w:szCs w:val="14"/>
              </w:rPr>
              <w:br/>
              <w:t>(126)</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F1EBC9"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Hétéro</w:t>
            </w:r>
            <w:r w:rsidRPr="00DC2108">
              <w:rPr>
                <w:rFonts w:ascii="Times New Roman" w:eastAsia="Arial" w:hAnsi="Times New Roman" w:cs="Times New Roman"/>
                <w:color w:val="000000"/>
                <w:sz w:val="14"/>
                <w:szCs w:val="14"/>
              </w:rPr>
              <w:br/>
              <w:t>(14</w:t>
            </w:r>
            <w:r>
              <w:rPr>
                <w:rFonts w:ascii="Times New Roman" w:eastAsia="Arial" w:hAnsi="Times New Roman" w:cs="Times New Roman"/>
                <w:color w:val="000000"/>
                <w:sz w:val="14"/>
                <w:szCs w:val="14"/>
              </w:rPr>
              <w:t xml:space="preserve"> </w:t>
            </w:r>
            <w:r w:rsidRPr="00DC2108">
              <w:rPr>
                <w:rFonts w:ascii="Times New Roman" w:eastAsia="Arial" w:hAnsi="Times New Roman" w:cs="Times New Roman"/>
                <w:color w:val="000000"/>
                <w:sz w:val="14"/>
                <w:szCs w:val="14"/>
              </w:rPr>
              <w:t>573)</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8EF2176"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Homo</w:t>
            </w:r>
            <w:r w:rsidRPr="00DC2108">
              <w:rPr>
                <w:rFonts w:ascii="Times New Roman" w:eastAsia="Arial" w:hAnsi="Times New Roman" w:cs="Times New Roman"/>
                <w:color w:val="000000"/>
                <w:sz w:val="14"/>
                <w:szCs w:val="14"/>
              </w:rPr>
              <w:br/>
              <w:t>(152)</w:t>
            </w:r>
            <w:r w:rsidRPr="00DC2108">
              <w:rPr>
                <w:rFonts w:ascii="Times New Roman" w:eastAsia="Arial" w:hAnsi="Times New Roman" w:cs="Times New Roman"/>
                <w:color w:val="000000"/>
                <w:sz w:val="14"/>
                <w:szCs w:val="14"/>
                <w:vertAlign w:val="superscript"/>
              </w:rPr>
              <w:t>1</w:t>
            </w:r>
          </w:p>
        </w:tc>
        <w:tc>
          <w:tcPr>
            <w:tcW w:w="115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8E3827D"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Bi</w:t>
            </w:r>
            <w:r w:rsidRPr="00DC2108">
              <w:rPr>
                <w:rFonts w:ascii="Times New Roman" w:eastAsia="Arial" w:hAnsi="Times New Roman" w:cs="Times New Roman"/>
                <w:color w:val="000000"/>
                <w:sz w:val="14"/>
                <w:szCs w:val="14"/>
              </w:rPr>
              <w:br/>
              <w:t>(76)</w:t>
            </w:r>
            <w:r w:rsidRPr="00DC2108">
              <w:rPr>
                <w:rFonts w:ascii="Times New Roman" w:eastAsia="Arial" w:hAnsi="Times New Roman" w:cs="Times New Roman"/>
                <w:color w:val="000000"/>
                <w:sz w:val="14"/>
                <w:szCs w:val="14"/>
                <w:vertAlign w:val="superscript"/>
              </w:rPr>
              <w:t>1</w:t>
            </w:r>
          </w:p>
        </w:tc>
        <w:tc>
          <w:tcPr>
            <w:tcW w:w="1155" w:type="dxa"/>
            <w:tcBorders>
              <w:top w:val="single" w:sz="8" w:space="0" w:color="000000"/>
              <w:left w:val="none" w:sz="0" w:space="0" w:color="000000"/>
              <w:bottom w:val="single" w:sz="8" w:space="0" w:color="000000"/>
              <w:right w:val="single" w:sz="12" w:space="0" w:color="auto"/>
            </w:tcBorders>
            <w:shd w:val="clear" w:color="auto" w:fill="FFFFFF"/>
            <w:tcMar>
              <w:top w:w="0" w:type="dxa"/>
              <w:left w:w="0" w:type="dxa"/>
              <w:bottom w:w="0" w:type="dxa"/>
              <w:right w:w="0" w:type="dxa"/>
            </w:tcMar>
            <w:vAlign w:val="center"/>
          </w:tcPr>
          <w:p w14:paraId="5B11BEFD"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b/>
                <w:color w:val="000000"/>
                <w:sz w:val="14"/>
                <w:szCs w:val="14"/>
              </w:rPr>
              <w:t>Hétéro</w:t>
            </w:r>
            <w:r w:rsidRPr="00DC2108">
              <w:rPr>
                <w:rFonts w:ascii="Times New Roman" w:eastAsia="Arial" w:hAnsi="Times New Roman" w:cs="Times New Roman"/>
                <w:color w:val="000000"/>
                <w:sz w:val="14"/>
                <w:szCs w:val="14"/>
              </w:rPr>
              <w:br/>
              <w:t>(10</w:t>
            </w:r>
            <w:r>
              <w:rPr>
                <w:rFonts w:ascii="Times New Roman" w:eastAsia="Arial" w:hAnsi="Times New Roman" w:cs="Times New Roman"/>
                <w:color w:val="000000"/>
                <w:sz w:val="14"/>
                <w:szCs w:val="14"/>
              </w:rPr>
              <w:t xml:space="preserve"> </w:t>
            </w:r>
            <w:r w:rsidRPr="00DC2108">
              <w:rPr>
                <w:rFonts w:ascii="Times New Roman" w:eastAsia="Arial" w:hAnsi="Times New Roman" w:cs="Times New Roman"/>
                <w:color w:val="000000"/>
                <w:sz w:val="14"/>
                <w:szCs w:val="14"/>
              </w:rPr>
              <w:t>700)</w:t>
            </w:r>
            <w:r w:rsidRPr="00DC2108">
              <w:rPr>
                <w:rFonts w:ascii="Times New Roman" w:eastAsia="Arial" w:hAnsi="Times New Roman" w:cs="Times New Roman"/>
                <w:color w:val="000000"/>
                <w:sz w:val="14"/>
                <w:szCs w:val="14"/>
                <w:vertAlign w:val="superscript"/>
              </w:rPr>
              <w:t>1</w:t>
            </w:r>
          </w:p>
        </w:tc>
      </w:tr>
      <w:tr w:rsidR="00E2476B" w14:paraId="0D804BDA" w14:textId="77777777" w:rsidTr="0018419C">
        <w:trPr>
          <w:jc w:val="center"/>
        </w:trPr>
        <w:tc>
          <w:tcPr>
            <w:tcW w:w="9325" w:type="dxa"/>
            <w:gridSpan w:val="7"/>
            <w:tcBorders>
              <w:top w:val="single" w:sz="8" w:space="0" w:color="000000"/>
              <w:left w:val="single" w:sz="12" w:space="0" w:color="auto"/>
              <w:bottom w:val="none" w:sz="0" w:space="0" w:color="000000"/>
              <w:right w:val="single" w:sz="12" w:space="0" w:color="auto"/>
            </w:tcBorders>
            <w:shd w:val="clear" w:color="auto" w:fill="FFFFFF"/>
            <w:tcMar>
              <w:top w:w="0" w:type="dxa"/>
              <w:left w:w="0" w:type="dxa"/>
              <w:bottom w:w="0" w:type="dxa"/>
              <w:right w:w="0" w:type="dxa"/>
            </w:tcMar>
          </w:tcPr>
          <w:p w14:paraId="63E2C3D9"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DC2108">
              <w:rPr>
                <w:rFonts w:ascii="Times New Roman" w:eastAsia="Arial" w:hAnsi="Times New Roman" w:cs="Times New Roman"/>
                <w:bCs/>
                <w:i/>
                <w:iCs/>
                <w:color w:val="000000"/>
                <w:sz w:val="14"/>
                <w:szCs w:val="14"/>
              </w:rPr>
              <w:t>Violence dans le couple (</w:t>
            </w:r>
            <w:proofErr w:type="spellStart"/>
            <w:r w:rsidRPr="00DC2108">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DC2108">
              <w:rPr>
                <w:rFonts w:ascii="Times New Roman" w:eastAsia="Arial" w:hAnsi="Times New Roman" w:cs="Times New Roman"/>
                <w:bCs/>
                <w:i/>
                <w:iCs/>
                <w:color w:val="000000"/>
                <w:sz w:val="14"/>
                <w:szCs w:val="14"/>
              </w:rPr>
              <w:t>e</w:t>
            </w:r>
            <w:proofErr w:type="spellEnd"/>
            <w:r w:rsidRPr="00DC2108">
              <w:rPr>
                <w:rFonts w:ascii="Times New Roman" w:eastAsia="Arial" w:hAnsi="Times New Roman" w:cs="Times New Roman"/>
                <w:bCs/>
                <w:i/>
                <w:iCs/>
                <w:color w:val="000000"/>
                <w:sz w:val="14"/>
                <w:szCs w:val="14"/>
              </w:rPr>
              <w:t xml:space="preserve"> </w:t>
            </w:r>
            <w:proofErr w:type="spellStart"/>
            <w:r w:rsidRPr="00DC2108">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DC2108">
              <w:rPr>
                <w:rFonts w:ascii="Times New Roman" w:eastAsia="Arial" w:hAnsi="Times New Roman" w:cs="Times New Roman"/>
                <w:bCs/>
                <w:i/>
                <w:iCs/>
                <w:color w:val="000000"/>
                <w:sz w:val="14"/>
                <w:szCs w:val="14"/>
              </w:rPr>
              <w:t>le</w:t>
            </w:r>
            <w:proofErr w:type="spellEnd"/>
            <w:r w:rsidRPr="00DC2108">
              <w:rPr>
                <w:rFonts w:ascii="Times New Roman" w:eastAsia="Arial" w:hAnsi="Times New Roman" w:cs="Times New Roman"/>
                <w:bCs/>
                <w:i/>
                <w:iCs/>
                <w:color w:val="000000"/>
                <w:sz w:val="14"/>
                <w:szCs w:val="14"/>
              </w:rPr>
              <w:t xml:space="preserve"> ou ex) avant les 12 derniers mois</w:t>
            </w:r>
          </w:p>
        </w:tc>
      </w:tr>
      <w:tr w:rsidR="00E2476B" w14:paraId="412B59C1" w14:textId="77777777" w:rsidTr="0018419C">
        <w:trPr>
          <w:jc w:val="center"/>
        </w:trPr>
        <w:tc>
          <w:tcPr>
            <w:tcW w:w="2400" w:type="dxa"/>
            <w:tcBorders>
              <w:left w:val="single" w:sz="12" w:space="0" w:color="auto"/>
              <w:right w:val="single" w:sz="4" w:space="0" w:color="auto"/>
            </w:tcBorders>
            <w:shd w:val="clear" w:color="auto" w:fill="FFFFFF"/>
            <w:tcMar>
              <w:top w:w="0" w:type="dxa"/>
              <w:left w:w="0" w:type="dxa"/>
              <w:bottom w:w="0" w:type="dxa"/>
              <w:right w:w="0" w:type="dxa"/>
            </w:tcMar>
          </w:tcPr>
          <w:p w14:paraId="0DEAB2E1"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Oui</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7FDD1C8E"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9.5%</w:t>
            </w:r>
            <w:r w:rsidRPr="00DC2108">
              <w:rPr>
                <w:rFonts w:ascii="Times New Roman" w:eastAsia="Arial" w:hAnsi="Times New Roman" w:cs="Times New Roman"/>
                <w:color w:val="000000"/>
                <w:sz w:val="14"/>
                <w:szCs w:val="14"/>
              </w:rPr>
              <w:br/>
              <w:t>(8)</w:t>
            </w:r>
            <w:r w:rsidRPr="00DC2108">
              <w:rPr>
                <w:rFonts w:ascii="Times New Roman" w:eastAsia="Arial" w:hAnsi="Times New Roman" w:cs="Times New Roman"/>
                <w:color w:val="000000"/>
                <w:sz w:val="14"/>
                <w:szCs w:val="14"/>
              </w:rPr>
              <w:br/>
              <w:t>[3.3-24]</w:t>
            </w:r>
            <w:r w:rsidRPr="00DC2108">
              <w:rPr>
                <w:rFonts w:ascii="Times New Roman" w:eastAsia="Arial" w:hAnsi="Times New Roman" w:cs="Times New Roman"/>
                <w:color w:val="000000"/>
                <w:sz w:val="14"/>
                <w:szCs w:val="14"/>
                <w:vertAlign w:val="superscript"/>
              </w:rPr>
              <w:t>3</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609D63FA"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15.8%</w:t>
            </w:r>
            <w:r w:rsidRPr="00DC2108">
              <w:rPr>
                <w:rFonts w:ascii="Times New Roman" w:eastAsia="Arial" w:hAnsi="Times New Roman" w:cs="Times New Roman"/>
                <w:color w:val="000000"/>
                <w:sz w:val="14"/>
                <w:szCs w:val="14"/>
              </w:rPr>
              <w:br/>
              <w:t>(21)</w:t>
            </w:r>
            <w:r w:rsidRPr="00DC2108">
              <w:rPr>
                <w:rFonts w:ascii="Times New Roman" w:eastAsia="Arial" w:hAnsi="Times New Roman" w:cs="Times New Roman"/>
                <w:color w:val="000000"/>
                <w:sz w:val="14"/>
                <w:szCs w:val="14"/>
              </w:rPr>
              <w:br/>
              <w:t>[9.6-25]</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11115958"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6.1%</w:t>
            </w:r>
            <w:r w:rsidRPr="00DC2108">
              <w:rPr>
                <w:rFonts w:ascii="Times New Roman" w:eastAsia="Arial" w:hAnsi="Times New Roman" w:cs="Times New Roman"/>
                <w:color w:val="000000"/>
                <w:sz w:val="14"/>
                <w:szCs w:val="14"/>
              </w:rPr>
              <w:br/>
              <w:t>(1,032)</w:t>
            </w:r>
            <w:r w:rsidRPr="00DC2108">
              <w:rPr>
                <w:rFonts w:ascii="Times New Roman" w:eastAsia="Arial" w:hAnsi="Times New Roman" w:cs="Times New Roman"/>
                <w:color w:val="000000"/>
                <w:sz w:val="14"/>
                <w:szCs w:val="14"/>
              </w:rPr>
              <w:br/>
              <w:t>[5.6-6.6]</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619D518B"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5.0%</w:t>
            </w:r>
            <w:r w:rsidRPr="00DC2108">
              <w:rPr>
                <w:rFonts w:ascii="Times New Roman" w:eastAsia="Arial" w:hAnsi="Times New Roman" w:cs="Times New Roman"/>
                <w:color w:val="000000"/>
                <w:sz w:val="14"/>
                <w:szCs w:val="14"/>
              </w:rPr>
              <w:br/>
              <w:t>(7)</w:t>
            </w:r>
            <w:r w:rsidRPr="00DC2108">
              <w:rPr>
                <w:rFonts w:ascii="Times New Roman" w:eastAsia="Arial" w:hAnsi="Times New Roman" w:cs="Times New Roman"/>
                <w:color w:val="000000"/>
                <w:sz w:val="14"/>
                <w:szCs w:val="14"/>
              </w:rPr>
              <w:br/>
              <w:t>[2.0-12]</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6B4E33C2"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9.6%</w:t>
            </w:r>
            <w:r w:rsidRPr="00DC2108">
              <w:rPr>
                <w:rFonts w:ascii="Times New Roman" w:eastAsia="Arial" w:hAnsi="Times New Roman" w:cs="Times New Roman"/>
                <w:color w:val="000000"/>
                <w:sz w:val="14"/>
                <w:szCs w:val="14"/>
              </w:rPr>
              <w:br/>
              <w:t>(4)</w:t>
            </w:r>
            <w:r w:rsidRPr="00DC2108">
              <w:rPr>
                <w:rFonts w:ascii="Times New Roman" w:eastAsia="Arial" w:hAnsi="Times New Roman" w:cs="Times New Roman"/>
                <w:color w:val="000000"/>
                <w:sz w:val="14"/>
                <w:szCs w:val="14"/>
              </w:rPr>
              <w:br/>
              <w:t>[3.4-24]</w:t>
            </w:r>
          </w:p>
        </w:tc>
        <w:tc>
          <w:tcPr>
            <w:tcW w:w="1155" w:type="dxa"/>
            <w:tcBorders>
              <w:top w:val="none" w:sz="0" w:space="0" w:color="000000"/>
              <w:left w:val="single" w:sz="4" w:space="0" w:color="auto"/>
              <w:right w:val="single" w:sz="12" w:space="0" w:color="auto"/>
            </w:tcBorders>
            <w:shd w:val="clear" w:color="auto" w:fill="FFFFFF"/>
            <w:tcMar>
              <w:top w:w="0" w:type="dxa"/>
              <w:left w:w="0" w:type="dxa"/>
              <w:bottom w:w="0" w:type="dxa"/>
              <w:right w:w="0" w:type="dxa"/>
            </w:tcMar>
          </w:tcPr>
          <w:p w14:paraId="322499C1"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2.2%</w:t>
            </w:r>
            <w:r w:rsidRPr="00DC2108">
              <w:rPr>
                <w:rFonts w:ascii="Times New Roman" w:eastAsia="Arial" w:hAnsi="Times New Roman" w:cs="Times New Roman"/>
                <w:color w:val="000000"/>
                <w:sz w:val="14"/>
                <w:szCs w:val="14"/>
              </w:rPr>
              <w:br/>
              <w:t>(266)</w:t>
            </w:r>
            <w:r w:rsidRPr="00DC2108">
              <w:rPr>
                <w:rFonts w:ascii="Times New Roman" w:eastAsia="Arial" w:hAnsi="Times New Roman" w:cs="Times New Roman"/>
                <w:color w:val="000000"/>
                <w:sz w:val="14"/>
                <w:szCs w:val="14"/>
              </w:rPr>
              <w:br/>
              <w:t>[1.9-2.5]</w:t>
            </w:r>
          </w:p>
        </w:tc>
      </w:tr>
      <w:tr w:rsidR="00E2476B" w14:paraId="24127B1D" w14:textId="77777777" w:rsidTr="0018419C">
        <w:trPr>
          <w:jc w:val="center"/>
        </w:trPr>
        <w:tc>
          <w:tcPr>
            <w:tcW w:w="2400" w:type="dxa"/>
            <w:tcBorders>
              <w:left w:val="single" w:sz="12" w:space="0" w:color="auto"/>
              <w:right w:val="single" w:sz="4" w:space="0" w:color="auto"/>
            </w:tcBorders>
            <w:shd w:val="clear" w:color="auto" w:fill="FFFFFF"/>
            <w:tcMar>
              <w:top w:w="0" w:type="dxa"/>
              <w:left w:w="0" w:type="dxa"/>
              <w:bottom w:w="0" w:type="dxa"/>
              <w:right w:w="0" w:type="dxa"/>
            </w:tcMar>
          </w:tcPr>
          <w:p w14:paraId="371F1662"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Non</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3EAA7C34"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90.5%</w:t>
            </w:r>
            <w:r w:rsidRPr="00DC2108">
              <w:rPr>
                <w:rFonts w:ascii="Times New Roman" w:eastAsia="Arial" w:hAnsi="Times New Roman" w:cs="Times New Roman"/>
                <w:color w:val="000000"/>
                <w:sz w:val="14"/>
                <w:szCs w:val="14"/>
              </w:rPr>
              <w:br/>
              <w:t>(82)</w:t>
            </w:r>
            <w:r w:rsidRPr="00DC2108">
              <w:rPr>
                <w:rFonts w:ascii="Times New Roman" w:eastAsia="Arial" w:hAnsi="Times New Roman" w:cs="Times New Roman"/>
                <w:color w:val="000000"/>
                <w:sz w:val="14"/>
                <w:szCs w:val="14"/>
              </w:rPr>
              <w:br/>
              <w:t>[76-97]</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2D6B9F1F"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84.2%</w:t>
            </w:r>
            <w:r w:rsidRPr="00DC2108">
              <w:rPr>
                <w:rFonts w:ascii="Times New Roman" w:eastAsia="Arial" w:hAnsi="Times New Roman" w:cs="Times New Roman"/>
                <w:color w:val="000000"/>
                <w:sz w:val="14"/>
                <w:szCs w:val="14"/>
              </w:rPr>
              <w:br/>
              <w:t>(105)</w:t>
            </w:r>
            <w:r w:rsidRPr="00DC2108">
              <w:rPr>
                <w:rFonts w:ascii="Times New Roman" w:eastAsia="Arial" w:hAnsi="Times New Roman" w:cs="Times New Roman"/>
                <w:color w:val="000000"/>
                <w:sz w:val="14"/>
                <w:szCs w:val="14"/>
              </w:rPr>
              <w:br/>
              <w:t>[75-90]</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14C44600"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93.9%</w:t>
            </w:r>
            <w:r w:rsidRPr="00DC2108">
              <w:rPr>
                <w:rFonts w:ascii="Times New Roman" w:eastAsia="Arial" w:hAnsi="Times New Roman" w:cs="Times New Roman"/>
                <w:color w:val="000000"/>
                <w:sz w:val="14"/>
                <w:szCs w:val="14"/>
              </w:rPr>
              <w:br/>
              <w:t>(13,537)</w:t>
            </w:r>
            <w:r w:rsidRPr="00DC2108">
              <w:rPr>
                <w:rFonts w:ascii="Times New Roman" w:eastAsia="Arial" w:hAnsi="Times New Roman" w:cs="Times New Roman"/>
                <w:color w:val="000000"/>
                <w:sz w:val="14"/>
                <w:szCs w:val="14"/>
              </w:rPr>
              <w:br/>
              <w:t>[93-94]</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48BE2A64"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95.0%</w:t>
            </w:r>
            <w:r w:rsidRPr="00DC2108">
              <w:rPr>
                <w:rFonts w:ascii="Times New Roman" w:eastAsia="Arial" w:hAnsi="Times New Roman" w:cs="Times New Roman"/>
                <w:color w:val="000000"/>
                <w:sz w:val="14"/>
                <w:szCs w:val="14"/>
              </w:rPr>
              <w:br/>
              <w:t>(145)</w:t>
            </w:r>
            <w:r w:rsidRPr="00DC2108">
              <w:rPr>
                <w:rFonts w:ascii="Times New Roman" w:eastAsia="Arial" w:hAnsi="Times New Roman" w:cs="Times New Roman"/>
                <w:color w:val="000000"/>
                <w:sz w:val="14"/>
                <w:szCs w:val="14"/>
              </w:rPr>
              <w:br/>
              <w:t>[88-98]</w:t>
            </w:r>
          </w:p>
        </w:tc>
        <w:tc>
          <w:tcPr>
            <w:tcW w:w="1154" w:type="dxa"/>
            <w:tcBorders>
              <w:left w:val="single" w:sz="4" w:space="0" w:color="auto"/>
              <w:right w:val="single" w:sz="4" w:space="0" w:color="auto"/>
            </w:tcBorders>
            <w:shd w:val="clear" w:color="auto" w:fill="FFFFFF"/>
            <w:tcMar>
              <w:top w:w="0" w:type="dxa"/>
              <w:left w:w="0" w:type="dxa"/>
              <w:bottom w:w="0" w:type="dxa"/>
              <w:right w:w="0" w:type="dxa"/>
            </w:tcMar>
          </w:tcPr>
          <w:p w14:paraId="426D279A"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90.4%</w:t>
            </w:r>
            <w:r w:rsidRPr="00DC2108">
              <w:rPr>
                <w:rFonts w:ascii="Times New Roman" w:eastAsia="Arial" w:hAnsi="Times New Roman" w:cs="Times New Roman"/>
                <w:color w:val="000000"/>
                <w:sz w:val="14"/>
                <w:szCs w:val="14"/>
              </w:rPr>
              <w:br/>
              <w:t>(72)</w:t>
            </w:r>
            <w:r w:rsidRPr="00DC2108">
              <w:rPr>
                <w:rFonts w:ascii="Times New Roman" w:eastAsia="Arial" w:hAnsi="Times New Roman" w:cs="Times New Roman"/>
                <w:color w:val="000000"/>
                <w:sz w:val="14"/>
                <w:szCs w:val="14"/>
              </w:rPr>
              <w:br/>
              <w:t>[76-97]</w:t>
            </w:r>
          </w:p>
        </w:tc>
        <w:tc>
          <w:tcPr>
            <w:tcW w:w="1155" w:type="dxa"/>
            <w:tcBorders>
              <w:left w:val="single" w:sz="4" w:space="0" w:color="auto"/>
              <w:right w:val="single" w:sz="12" w:space="0" w:color="auto"/>
            </w:tcBorders>
            <w:shd w:val="clear" w:color="auto" w:fill="FFFFFF"/>
            <w:tcMar>
              <w:top w:w="0" w:type="dxa"/>
              <w:left w:w="0" w:type="dxa"/>
              <w:bottom w:w="0" w:type="dxa"/>
              <w:right w:w="0" w:type="dxa"/>
            </w:tcMar>
          </w:tcPr>
          <w:p w14:paraId="709520A6"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DC2108">
              <w:rPr>
                <w:rFonts w:ascii="Times New Roman" w:eastAsia="Arial" w:hAnsi="Times New Roman" w:cs="Times New Roman"/>
                <w:color w:val="000000"/>
                <w:sz w:val="14"/>
                <w:szCs w:val="14"/>
              </w:rPr>
              <w:t>97.8%</w:t>
            </w:r>
            <w:r w:rsidRPr="00DC2108">
              <w:rPr>
                <w:rFonts w:ascii="Times New Roman" w:eastAsia="Arial" w:hAnsi="Times New Roman" w:cs="Times New Roman"/>
                <w:color w:val="000000"/>
                <w:sz w:val="14"/>
                <w:szCs w:val="14"/>
              </w:rPr>
              <w:br/>
              <w:t>(10,433)</w:t>
            </w:r>
            <w:r w:rsidRPr="00DC2108">
              <w:rPr>
                <w:rFonts w:ascii="Times New Roman" w:eastAsia="Arial" w:hAnsi="Times New Roman" w:cs="Times New Roman"/>
                <w:color w:val="000000"/>
                <w:sz w:val="14"/>
                <w:szCs w:val="14"/>
              </w:rPr>
              <w:br/>
              <w:t>[97-98]</w:t>
            </w:r>
          </w:p>
        </w:tc>
      </w:tr>
      <w:tr w:rsidR="00E2476B" w14:paraId="2C790435" w14:textId="77777777" w:rsidTr="0018419C">
        <w:trPr>
          <w:jc w:val="center"/>
        </w:trPr>
        <w:tc>
          <w:tcPr>
            <w:tcW w:w="2400" w:type="dxa"/>
            <w:tcBorders>
              <w:left w:val="single" w:sz="12" w:space="0" w:color="auto"/>
              <w:bottom w:val="single" w:sz="12" w:space="0" w:color="auto"/>
              <w:right w:val="single" w:sz="4" w:space="0" w:color="auto"/>
            </w:tcBorders>
            <w:shd w:val="clear" w:color="auto" w:fill="FFFFFF"/>
            <w:tcMar>
              <w:top w:w="0" w:type="dxa"/>
              <w:left w:w="0" w:type="dxa"/>
              <w:bottom w:w="0" w:type="dxa"/>
              <w:right w:w="0" w:type="dxa"/>
            </w:tcMar>
          </w:tcPr>
          <w:p w14:paraId="7409D648"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2" w:right="102"/>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P-valeur</w:t>
            </w:r>
          </w:p>
        </w:tc>
        <w:tc>
          <w:tcPr>
            <w:tcW w:w="3462" w:type="dxa"/>
            <w:gridSpan w:val="3"/>
            <w:tcBorders>
              <w:left w:val="single" w:sz="4" w:space="0" w:color="auto"/>
              <w:bottom w:val="single" w:sz="12" w:space="0" w:color="auto"/>
              <w:right w:val="single" w:sz="4" w:space="0" w:color="auto"/>
            </w:tcBorders>
            <w:shd w:val="clear" w:color="auto" w:fill="FFFFFF"/>
            <w:tcMar>
              <w:top w:w="0" w:type="dxa"/>
              <w:left w:w="0" w:type="dxa"/>
              <w:bottom w:w="0" w:type="dxa"/>
              <w:right w:w="0" w:type="dxa"/>
            </w:tcMar>
          </w:tcPr>
          <w:p w14:paraId="386E84B0"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0.004</w:t>
            </w:r>
            <w:r w:rsidRPr="005D5189">
              <w:rPr>
                <w:rFonts w:ascii="Times New Roman" w:eastAsia="Arial" w:hAnsi="Times New Roman" w:cs="Times New Roman"/>
                <w:i/>
                <w:iCs/>
                <w:color w:val="000000"/>
                <w:sz w:val="14"/>
                <w:szCs w:val="14"/>
                <w:vertAlign w:val="superscript"/>
              </w:rPr>
              <w:t>2</w:t>
            </w:r>
          </w:p>
        </w:tc>
        <w:tc>
          <w:tcPr>
            <w:tcW w:w="3463" w:type="dxa"/>
            <w:gridSpan w:val="3"/>
            <w:tcBorders>
              <w:left w:val="single" w:sz="4" w:space="0" w:color="auto"/>
              <w:bottom w:val="single" w:sz="12" w:space="0" w:color="auto"/>
              <w:right w:val="single" w:sz="12" w:space="0" w:color="auto"/>
            </w:tcBorders>
            <w:shd w:val="clear" w:color="auto" w:fill="FFFFFF"/>
            <w:tcMar>
              <w:top w:w="0" w:type="dxa"/>
              <w:left w:w="0" w:type="dxa"/>
              <w:bottom w:w="0" w:type="dxa"/>
              <w:right w:w="0" w:type="dxa"/>
            </w:tcMar>
          </w:tcPr>
          <w:p w14:paraId="02E52996"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DC2108">
              <w:rPr>
                <w:rFonts w:ascii="Times New Roman" w:eastAsia="Arial" w:hAnsi="Times New Roman" w:cs="Times New Roman"/>
                <w:i/>
                <w:iCs/>
                <w:color w:val="000000"/>
                <w:sz w:val="14"/>
                <w:szCs w:val="14"/>
              </w:rPr>
              <w:t>0.001</w:t>
            </w:r>
            <w:r w:rsidRPr="005D5189">
              <w:rPr>
                <w:rFonts w:ascii="Times New Roman" w:eastAsia="Arial" w:hAnsi="Times New Roman" w:cs="Times New Roman"/>
                <w:i/>
                <w:iCs/>
                <w:color w:val="000000"/>
                <w:sz w:val="14"/>
                <w:szCs w:val="14"/>
                <w:vertAlign w:val="superscript"/>
              </w:rPr>
              <w:t>2</w:t>
            </w:r>
          </w:p>
        </w:tc>
      </w:tr>
      <w:tr w:rsidR="00E2476B" w14:paraId="204B6E2E" w14:textId="77777777" w:rsidTr="0018419C">
        <w:trPr>
          <w:jc w:val="center"/>
        </w:trPr>
        <w:tc>
          <w:tcPr>
            <w:tcW w:w="9325" w:type="dxa"/>
            <w:gridSpan w:val="7"/>
            <w:tcBorders>
              <w:top w:val="single" w:sz="12" w:space="0" w:color="auto"/>
              <w:left w:val="single" w:sz="12" w:space="0" w:color="auto"/>
              <w:bottom w:val="single" w:sz="12" w:space="0" w:color="auto"/>
              <w:right w:val="single" w:sz="12" w:space="0" w:color="auto"/>
            </w:tcBorders>
            <w:shd w:val="clear" w:color="auto" w:fill="FFFFFF"/>
            <w:tcMar>
              <w:top w:w="0" w:type="dxa"/>
              <w:left w:w="0" w:type="dxa"/>
              <w:bottom w:w="0" w:type="dxa"/>
              <w:right w:w="0" w:type="dxa"/>
            </w:tcMar>
          </w:tcPr>
          <w:p w14:paraId="39A33F3F" w14:textId="77777777" w:rsidR="00E2476B" w:rsidRPr="009E54A4"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1</w:t>
            </w:r>
            <w:r w:rsidRPr="009E54A4">
              <w:rPr>
                <w:rFonts w:ascii="Times New Roman" w:eastAsia="Arial" w:hAnsi="Times New Roman" w:cs="Times New Roman"/>
                <w:color w:val="000000"/>
                <w:sz w:val="14"/>
                <w:szCs w:val="14"/>
              </w:rPr>
              <w:t>Effectifs non-pondérés entre parenthèses.</w:t>
            </w:r>
          </w:p>
          <w:p w14:paraId="46BE2423" w14:textId="77777777" w:rsidR="00E2476B" w:rsidRPr="009E54A4"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2</w:t>
            </w:r>
            <w:r w:rsidRPr="009E54A4">
              <w:rPr>
                <w:rFonts w:ascii="Times New Roman" w:eastAsia="Arial" w:hAnsi="Times New Roman" w:cs="Times New Roman"/>
                <w:color w:val="000000"/>
                <w:sz w:val="14"/>
                <w:szCs w:val="14"/>
              </w:rPr>
              <w:t>Test du Chi-deux ajusté de Rao &amp; Scott pour données pondérées.</w:t>
            </w:r>
          </w:p>
          <w:p w14:paraId="077D1ACD"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color w:val="000000"/>
                <w:sz w:val="14"/>
                <w:szCs w:val="14"/>
                <w:vertAlign w:val="superscript"/>
              </w:rPr>
              <w:t>3</w:t>
            </w:r>
            <w:r w:rsidRPr="009E54A4">
              <w:rPr>
                <w:rFonts w:ascii="Times New Roman" w:eastAsia="Arial" w:hAnsi="Times New Roman" w:cs="Times New Roman"/>
                <w:color w:val="000000"/>
                <w:sz w:val="14"/>
                <w:szCs w:val="14"/>
              </w:rPr>
              <w:t xml:space="preserve">Pourcentages pondérés </w:t>
            </w:r>
            <w:r>
              <w:rPr>
                <w:rFonts w:ascii="Times New Roman" w:eastAsia="Arial" w:hAnsi="Times New Roman" w:cs="Times New Roman"/>
                <w:color w:val="000000"/>
                <w:sz w:val="14"/>
                <w:szCs w:val="14"/>
              </w:rPr>
              <w:t>(Effectifs non pondérés) [</w:t>
            </w:r>
            <w:r w:rsidRPr="009E54A4">
              <w:rPr>
                <w:rFonts w:ascii="Times New Roman" w:eastAsia="Arial" w:hAnsi="Times New Roman" w:cs="Times New Roman"/>
                <w:color w:val="000000"/>
                <w:sz w:val="14"/>
                <w:szCs w:val="14"/>
              </w:rPr>
              <w:t>Intervalle de confiance à 95 %</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w:t>
            </w:r>
          </w:p>
          <w:p w14:paraId="6579D3E8"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Champ</w:t>
            </w:r>
            <w:r w:rsidRPr="009E54A4">
              <w:rPr>
                <w:rFonts w:ascii="Times New Roman" w:eastAsia="Arial" w:hAnsi="Times New Roman" w:cs="Times New Roman"/>
                <w:color w:val="000000"/>
                <w:sz w:val="14"/>
                <w:szCs w:val="14"/>
              </w:rPr>
              <w:t xml:space="preserve"> : Répondant</w:t>
            </w:r>
            <w:r>
              <w:rPr>
                <w:rFonts w:ascii="Times New Roman" w:eastAsia="Arial" w:hAnsi="Times New Roman" w:cs="Times New Roman"/>
                <w:color w:val="000000"/>
                <w:sz w:val="14"/>
                <w:szCs w:val="14"/>
              </w:rPr>
              <w:t>∙</w:t>
            </w:r>
            <w:r w:rsidRPr="009E54A4">
              <w:rPr>
                <w:rFonts w:ascii="Times New Roman" w:eastAsia="Arial" w:hAnsi="Times New Roman" w:cs="Times New Roman"/>
                <w:color w:val="000000"/>
                <w:sz w:val="14"/>
                <w:szCs w:val="14"/>
              </w:rPr>
              <w:t>es en couple dans les 12 mois de l'enquête Virage.</w:t>
            </w:r>
            <w:r>
              <w:rPr>
                <w:rFonts w:ascii="Times New Roman" w:eastAsia="Arial" w:hAnsi="Times New Roman" w:cs="Times New Roman"/>
                <w:color w:val="000000"/>
                <w:sz w:val="14"/>
                <w:szCs w:val="14"/>
              </w:rPr>
              <w:t xml:space="preserve"> </w:t>
            </w:r>
            <w:r w:rsidRPr="009E54A4">
              <w:rPr>
                <w:rFonts w:ascii="Times New Roman" w:eastAsia="Arial" w:hAnsi="Times New Roman" w:cs="Times New Roman"/>
                <w:color w:val="000000"/>
                <w:sz w:val="14"/>
                <w:szCs w:val="14"/>
              </w:rPr>
              <w:t>Données pondérées</w:t>
            </w:r>
          </w:p>
          <w:p w14:paraId="0DC35648"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Lecture</w:t>
            </w:r>
            <w:r w:rsidRPr="009E54A4">
              <w:rPr>
                <w:rFonts w:ascii="Times New Roman" w:eastAsia="Arial" w:hAnsi="Times New Roman" w:cs="Times New Roman"/>
                <w:color w:val="000000"/>
                <w:sz w:val="14"/>
                <w:szCs w:val="14"/>
              </w:rPr>
              <w:t xml:space="preserve"> : 1.6% des femmes homosexuelles dans l'enquête Virage en population générale déclarent de la violence dans le couple dans les 12 mois précédent l'enquête, avec un intervalle de confiance à 95% de [0,36% - 7,2%].</w:t>
            </w:r>
          </w:p>
          <w:p w14:paraId="19D1CA52" w14:textId="77777777" w:rsidR="00E2476B" w:rsidRPr="00DC2108"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r w:rsidRPr="009E54A4">
              <w:rPr>
                <w:rFonts w:ascii="Times New Roman" w:eastAsia="Arial" w:hAnsi="Times New Roman" w:cs="Times New Roman"/>
                <w:b/>
                <w:bCs/>
                <w:color w:val="000000"/>
                <w:sz w:val="14"/>
                <w:szCs w:val="14"/>
              </w:rPr>
              <w:t>Source</w:t>
            </w:r>
            <w:r w:rsidRPr="009E54A4">
              <w:rPr>
                <w:rFonts w:ascii="Times New Roman" w:eastAsia="Arial" w:hAnsi="Times New Roman" w:cs="Times New Roman"/>
                <w:color w:val="000000"/>
                <w:sz w:val="14"/>
                <w:szCs w:val="14"/>
              </w:rPr>
              <w:t xml:space="preserve"> : Enquête Virage PG, Ined, 2015.</w:t>
            </w:r>
          </w:p>
        </w:tc>
      </w:tr>
    </w:tbl>
    <w:p w14:paraId="08CE8BA5" w14:textId="77777777" w:rsidR="00E2476B" w:rsidRDefault="00E2476B" w:rsidP="00E2476B">
      <w:r>
        <w:t>Annexe 2 : Types</w:t>
      </w:r>
      <w:r w:rsidRPr="005D5189">
        <w:t xml:space="preserve"> de violence dans le couple </w:t>
      </w:r>
      <w:r>
        <w:t>avant</w:t>
      </w:r>
      <w:r w:rsidRPr="005D5189">
        <w:t xml:space="preserve"> les 12 derniers mois</w:t>
      </w:r>
      <w:r>
        <w:t>.</w:t>
      </w:r>
    </w:p>
    <w:tbl>
      <w:tblPr>
        <w:tblW w:w="5000" w:type="pct"/>
        <w:jc w:val="center"/>
        <w:tblLook w:val="0420" w:firstRow="1" w:lastRow="0" w:firstColumn="0" w:lastColumn="0" w:noHBand="0" w:noVBand="1"/>
      </w:tblPr>
      <w:tblGrid>
        <w:gridCol w:w="2263"/>
        <w:gridCol w:w="3095"/>
        <w:gridCol w:w="3097"/>
        <w:gridCol w:w="929"/>
      </w:tblGrid>
      <w:tr w:rsidR="00E2476B" w14:paraId="68D1F935" w14:textId="77777777" w:rsidTr="0018419C">
        <w:trPr>
          <w:tblHeader/>
          <w:jc w:val="center"/>
        </w:trPr>
        <w:tc>
          <w:tcPr>
            <w:tcW w:w="1206" w:type="pct"/>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76CFDD81"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3299" w:type="pct"/>
            <w:gridSpan w:val="2"/>
            <w:tcBorders>
              <w:top w:val="single" w:sz="8" w:space="0" w:color="000000"/>
              <w:bottom w:val="single" w:sz="8" w:space="0" w:color="000000"/>
            </w:tcBorders>
            <w:shd w:val="clear" w:color="auto" w:fill="FFFFFF"/>
            <w:tcMar>
              <w:top w:w="0" w:type="dxa"/>
              <w:left w:w="0" w:type="dxa"/>
              <w:bottom w:w="0" w:type="dxa"/>
              <w:right w:w="0" w:type="dxa"/>
            </w:tcMar>
            <w:vAlign w:val="center"/>
          </w:tcPr>
          <w:p w14:paraId="1F719048"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r w:rsidRPr="00EF3394">
              <w:rPr>
                <w:rFonts w:ascii="Times New Roman" w:eastAsia="Arial" w:hAnsi="Times New Roman" w:cs="Times New Roman"/>
                <w:b/>
                <w:color w:val="000000"/>
                <w:sz w:val="14"/>
                <w:szCs w:val="14"/>
              </w:rPr>
              <w:t>Virage PG — Femmes</w:t>
            </w:r>
          </w:p>
        </w:tc>
        <w:tc>
          <w:tcPr>
            <w:tcW w:w="495" w:type="pct"/>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2B8DBB7"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
                <w:color w:val="000000"/>
                <w:sz w:val="14"/>
                <w:szCs w:val="14"/>
              </w:rPr>
            </w:pPr>
          </w:p>
        </w:tc>
      </w:tr>
      <w:tr w:rsidR="00E2476B" w14:paraId="4759DA1B" w14:textId="77777777" w:rsidTr="0018419C">
        <w:trPr>
          <w:tblHeader/>
          <w:jc w:val="center"/>
        </w:trPr>
        <w:tc>
          <w:tcPr>
            <w:tcW w:w="1206" w:type="pct"/>
            <w:tcBorders>
              <w:top w:val="single" w:sz="8" w:space="0" w:color="000000"/>
              <w:left w:val="single" w:sz="8" w:space="0" w:color="000000"/>
              <w:bottom w:val="single" w:sz="8" w:space="0" w:color="000000"/>
            </w:tcBorders>
            <w:shd w:val="clear" w:color="auto" w:fill="FFFFFF"/>
            <w:tcMar>
              <w:top w:w="0" w:type="dxa"/>
              <w:left w:w="0" w:type="dxa"/>
              <w:bottom w:w="0" w:type="dxa"/>
              <w:right w:w="0" w:type="dxa"/>
            </w:tcMar>
            <w:vAlign w:val="center"/>
          </w:tcPr>
          <w:p w14:paraId="5A525E83"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p>
        </w:tc>
        <w:tc>
          <w:tcPr>
            <w:tcW w:w="1649" w:type="pct"/>
            <w:tcBorders>
              <w:top w:val="single" w:sz="8" w:space="0" w:color="000000"/>
              <w:bottom w:val="single" w:sz="8" w:space="0" w:color="000000"/>
            </w:tcBorders>
            <w:shd w:val="clear" w:color="auto" w:fill="FFFFFF"/>
            <w:tcMar>
              <w:top w:w="0" w:type="dxa"/>
              <w:left w:w="0" w:type="dxa"/>
              <w:bottom w:w="0" w:type="dxa"/>
              <w:right w:w="0" w:type="dxa"/>
            </w:tcMar>
            <w:vAlign w:val="center"/>
          </w:tcPr>
          <w:p w14:paraId="2500B5E3"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b/>
                <w:color w:val="000000"/>
                <w:sz w:val="14"/>
                <w:szCs w:val="14"/>
              </w:rPr>
              <w:t>Bi</w:t>
            </w:r>
            <w:r w:rsidRPr="00EF3394">
              <w:rPr>
                <w:rFonts w:ascii="Times New Roman" w:eastAsia="Arial" w:hAnsi="Times New Roman" w:cs="Times New Roman"/>
                <w:color w:val="000000"/>
                <w:sz w:val="14"/>
                <w:szCs w:val="14"/>
              </w:rPr>
              <w:br/>
              <w:t>(126)</w:t>
            </w:r>
            <w:r w:rsidRPr="00EF3394">
              <w:rPr>
                <w:rFonts w:ascii="Times New Roman" w:eastAsia="Arial" w:hAnsi="Times New Roman" w:cs="Times New Roman"/>
                <w:color w:val="000000"/>
                <w:sz w:val="14"/>
                <w:szCs w:val="14"/>
                <w:vertAlign w:val="superscript"/>
              </w:rPr>
              <w:t>1</w:t>
            </w:r>
          </w:p>
        </w:tc>
        <w:tc>
          <w:tcPr>
            <w:tcW w:w="1650" w:type="pct"/>
            <w:tcBorders>
              <w:top w:val="single" w:sz="8" w:space="0" w:color="000000"/>
              <w:bottom w:val="single" w:sz="8" w:space="0" w:color="000000"/>
            </w:tcBorders>
            <w:shd w:val="clear" w:color="auto" w:fill="FFFFFF"/>
            <w:tcMar>
              <w:top w:w="0" w:type="dxa"/>
              <w:left w:w="0" w:type="dxa"/>
              <w:bottom w:w="0" w:type="dxa"/>
              <w:right w:w="0" w:type="dxa"/>
            </w:tcMar>
            <w:vAlign w:val="center"/>
          </w:tcPr>
          <w:p w14:paraId="274E8754"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b/>
                <w:color w:val="000000"/>
                <w:sz w:val="14"/>
                <w:szCs w:val="14"/>
              </w:rPr>
              <w:t>Hétéro</w:t>
            </w:r>
            <w:r w:rsidRPr="00EF3394">
              <w:rPr>
                <w:rFonts w:ascii="Times New Roman" w:eastAsia="Arial" w:hAnsi="Times New Roman" w:cs="Times New Roman"/>
                <w:color w:val="000000"/>
                <w:sz w:val="14"/>
                <w:szCs w:val="14"/>
              </w:rPr>
              <w:br/>
              <w:t>(14573)</w:t>
            </w:r>
            <w:r w:rsidRPr="00EF3394">
              <w:rPr>
                <w:rFonts w:ascii="Times New Roman" w:eastAsia="Arial" w:hAnsi="Times New Roman" w:cs="Times New Roman"/>
                <w:color w:val="000000"/>
                <w:sz w:val="14"/>
                <w:szCs w:val="14"/>
                <w:vertAlign w:val="superscript"/>
              </w:rPr>
              <w:t>1</w:t>
            </w:r>
          </w:p>
        </w:tc>
        <w:tc>
          <w:tcPr>
            <w:tcW w:w="495" w:type="pct"/>
            <w:tcBorders>
              <w:top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AAA6E65"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40" w:after="40"/>
              <w:ind w:left="100" w:right="100"/>
              <w:jc w:val="center"/>
              <w:rPr>
                <w:rFonts w:ascii="Times New Roman" w:eastAsia="Arial" w:hAnsi="Times New Roman" w:cs="Times New Roman"/>
                <w:bCs/>
                <w:i/>
                <w:iCs/>
                <w:color w:val="000000"/>
                <w:sz w:val="14"/>
                <w:szCs w:val="14"/>
              </w:rPr>
            </w:pPr>
            <w:r w:rsidRPr="00EF3394">
              <w:rPr>
                <w:rFonts w:ascii="Times New Roman" w:eastAsia="Arial" w:hAnsi="Times New Roman" w:cs="Times New Roman"/>
                <w:bCs/>
                <w:i/>
                <w:iCs/>
                <w:color w:val="000000"/>
                <w:sz w:val="14"/>
                <w:szCs w:val="14"/>
              </w:rPr>
              <w:t>P-valeur</w:t>
            </w:r>
            <w:r w:rsidRPr="00EF3394">
              <w:rPr>
                <w:rFonts w:ascii="Times New Roman" w:eastAsia="Arial" w:hAnsi="Times New Roman" w:cs="Times New Roman"/>
                <w:bCs/>
                <w:i/>
                <w:iCs/>
                <w:color w:val="000000"/>
                <w:sz w:val="14"/>
                <w:szCs w:val="14"/>
                <w:vertAlign w:val="superscript"/>
              </w:rPr>
              <w:t>2</w:t>
            </w:r>
          </w:p>
        </w:tc>
      </w:tr>
      <w:tr w:rsidR="00E2476B" w14:paraId="13531628" w14:textId="77777777" w:rsidTr="0018419C">
        <w:trPr>
          <w:jc w:val="center"/>
        </w:trPr>
        <w:tc>
          <w:tcPr>
            <w:tcW w:w="4505" w:type="pct"/>
            <w:gridSpan w:val="3"/>
            <w:tcBorders>
              <w:top w:val="single" w:sz="8" w:space="0" w:color="000000"/>
              <w:left w:val="single" w:sz="8" w:space="0" w:color="000000"/>
              <w:bottom w:val="none" w:sz="0" w:space="0" w:color="000000"/>
            </w:tcBorders>
            <w:shd w:val="clear" w:color="auto" w:fill="FFFFFF"/>
            <w:tcMar>
              <w:top w:w="0" w:type="dxa"/>
              <w:left w:w="0" w:type="dxa"/>
              <w:bottom w:w="0" w:type="dxa"/>
              <w:right w:w="0" w:type="dxa"/>
            </w:tcMar>
          </w:tcPr>
          <w:p w14:paraId="5D11073D"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t>Violence physique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single" w:sz="8" w:space="0" w:color="000000"/>
              <w:bottom w:val="none" w:sz="0" w:space="0" w:color="000000"/>
              <w:right w:val="single" w:sz="8" w:space="0" w:color="000000"/>
            </w:tcBorders>
            <w:shd w:val="clear" w:color="auto" w:fill="FFFFFF"/>
            <w:tcMar>
              <w:top w:w="0" w:type="dxa"/>
              <w:left w:w="0" w:type="dxa"/>
              <w:bottom w:w="0" w:type="dxa"/>
              <w:right w:w="0" w:type="dxa"/>
            </w:tcMar>
          </w:tcPr>
          <w:p w14:paraId="714F894C"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0,2</w:t>
            </w:r>
          </w:p>
        </w:tc>
      </w:tr>
      <w:tr w:rsidR="00E2476B" w14:paraId="5F08EC62" w14:textId="77777777" w:rsidTr="0018419C">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7585C595"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27F9E928"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5,6</w:t>
            </w:r>
            <w:r w:rsidRPr="00EF3394">
              <w:rPr>
                <w:rFonts w:ascii="Times New Roman" w:eastAsia="Arial" w:hAnsi="Times New Roman" w:cs="Times New Roman"/>
                <w:color w:val="000000"/>
                <w:sz w:val="14"/>
                <w:szCs w:val="14"/>
              </w:rPr>
              <w:br/>
              <w:t>(8)</w:t>
            </w:r>
            <w:r w:rsidRPr="00EF3394">
              <w:rPr>
                <w:rFonts w:ascii="Times New Roman" w:eastAsia="Arial" w:hAnsi="Times New Roman" w:cs="Times New Roman"/>
                <w:color w:val="000000"/>
                <w:sz w:val="14"/>
                <w:szCs w:val="14"/>
              </w:rPr>
              <w:br/>
              <w:t>[2,6-12]</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3972591B"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3,4</w:t>
            </w:r>
            <w:r w:rsidRPr="00EF3394">
              <w:rPr>
                <w:rFonts w:ascii="Times New Roman" w:eastAsia="Arial" w:hAnsi="Times New Roman" w:cs="Times New Roman"/>
                <w:color w:val="000000"/>
                <w:sz w:val="14"/>
                <w:szCs w:val="14"/>
              </w:rPr>
              <w:br/>
              <w:t>(581)</w:t>
            </w:r>
            <w:r w:rsidRPr="00EF3394">
              <w:rPr>
                <w:rFonts w:ascii="Times New Roman" w:eastAsia="Arial" w:hAnsi="Times New Roman" w:cs="Times New Roman"/>
                <w:color w:val="000000"/>
                <w:sz w:val="14"/>
                <w:szCs w:val="14"/>
              </w:rPr>
              <w:br/>
              <w:t>[3,0-3,8]</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72D135C6"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6882AFC9" w14:textId="77777777" w:rsidTr="0018419C">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74614464"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52899388"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94,4</w:t>
            </w:r>
            <w:r w:rsidRPr="00EF3394">
              <w:rPr>
                <w:rFonts w:ascii="Times New Roman" w:eastAsia="Arial" w:hAnsi="Times New Roman" w:cs="Times New Roman"/>
                <w:color w:val="000000"/>
                <w:sz w:val="14"/>
                <w:szCs w:val="14"/>
              </w:rPr>
              <w:br/>
              <w:t>(118)</w:t>
            </w:r>
            <w:r w:rsidRPr="00EF3394">
              <w:rPr>
                <w:rFonts w:ascii="Times New Roman" w:eastAsia="Arial" w:hAnsi="Times New Roman" w:cs="Times New Roman"/>
                <w:color w:val="000000"/>
                <w:sz w:val="14"/>
                <w:szCs w:val="14"/>
              </w:rPr>
              <w:br/>
              <w:t>[88-97]</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02EDB522"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96,6</w:t>
            </w:r>
            <w:r w:rsidRPr="00EF3394">
              <w:rPr>
                <w:rFonts w:ascii="Times New Roman" w:eastAsia="Arial" w:hAnsi="Times New Roman" w:cs="Times New Roman"/>
                <w:color w:val="000000"/>
                <w:sz w:val="14"/>
                <w:szCs w:val="14"/>
              </w:rPr>
              <w:br/>
              <w:t>(13 990)</w:t>
            </w:r>
            <w:r w:rsidRPr="00EF3394">
              <w:rPr>
                <w:rFonts w:ascii="Times New Roman" w:eastAsia="Arial" w:hAnsi="Times New Roman" w:cs="Times New Roman"/>
                <w:color w:val="000000"/>
                <w:sz w:val="14"/>
                <w:szCs w:val="14"/>
              </w:rPr>
              <w:br/>
              <w:t>[96-97]</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744A7BF7"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5F6E4655" w14:textId="77777777" w:rsidTr="0018419C">
        <w:trPr>
          <w:jc w:val="center"/>
        </w:trPr>
        <w:tc>
          <w:tcPr>
            <w:tcW w:w="4505" w:type="pct"/>
            <w:gridSpan w:val="3"/>
            <w:tcBorders>
              <w:top w:val="none" w:sz="0" w:space="0" w:color="000000"/>
              <w:left w:val="single" w:sz="8" w:space="0" w:color="000000"/>
              <w:bottom w:val="none" w:sz="0" w:space="0" w:color="000000"/>
            </w:tcBorders>
            <w:shd w:val="clear" w:color="auto" w:fill="FFFFFF"/>
            <w:tcMar>
              <w:top w:w="0" w:type="dxa"/>
              <w:left w:w="0" w:type="dxa"/>
              <w:bottom w:w="0" w:type="dxa"/>
              <w:right w:w="0" w:type="dxa"/>
            </w:tcMar>
          </w:tcPr>
          <w:p w14:paraId="789EA8ED"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lastRenderedPageBreak/>
              <w:t xml:space="preserve">Violence </w:t>
            </w:r>
            <w:r>
              <w:rPr>
                <w:rFonts w:ascii="Times New Roman" w:eastAsia="Arial" w:hAnsi="Times New Roman" w:cs="Times New Roman"/>
                <w:bCs/>
                <w:i/>
                <w:iCs/>
                <w:color w:val="000000"/>
                <w:sz w:val="14"/>
                <w:szCs w:val="14"/>
              </w:rPr>
              <w:t>psychologique</w:t>
            </w:r>
            <w:r w:rsidRPr="00EF3394">
              <w:rPr>
                <w:rFonts w:ascii="Times New Roman" w:eastAsia="Arial" w:hAnsi="Times New Roman" w:cs="Times New Roman"/>
                <w:bCs/>
                <w:i/>
                <w:iCs/>
                <w:color w:val="000000"/>
                <w:sz w:val="14"/>
                <w:szCs w:val="14"/>
              </w:rPr>
              <w:t xml:space="preserv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79C39669"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0,002</w:t>
            </w:r>
          </w:p>
        </w:tc>
      </w:tr>
      <w:tr w:rsidR="00E2476B" w14:paraId="3149FDCD" w14:textId="77777777" w:rsidTr="0018419C">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248D2563"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55E02021"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11,9</w:t>
            </w:r>
            <w:r w:rsidRPr="00EF3394">
              <w:rPr>
                <w:rFonts w:ascii="Times New Roman" w:eastAsia="Arial" w:hAnsi="Times New Roman" w:cs="Times New Roman"/>
                <w:color w:val="000000"/>
                <w:sz w:val="14"/>
                <w:szCs w:val="14"/>
              </w:rPr>
              <w:br/>
              <w:t>(15)</w:t>
            </w:r>
            <w:r w:rsidRPr="00EF3394">
              <w:rPr>
                <w:rFonts w:ascii="Times New Roman" w:eastAsia="Arial" w:hAnsi="Times New Roman" w:cs="Times New Roman"/>
                <w:color w:val="000000"/>
                <w:sz w:val="14"/>
                <w:szCs w:val="14"/>
              </w:rPr>
              <w:br/>
              <w:t>[6,5-21]</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123D71AD"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4,7</w:t>
            </w:r>
            <w:r w:rsidRPr="00EF3394">
              <w:rPr>
                <w:rFonts w:ascii="Times New Roman" w:eastAsia="Arial" w:hAnsi="Times New Roman" w:cs="Times New Roman"/>
                <w:color w:val="000000"/>
                <w:sz w:val="14"/>
                <w:szCs w:val="14"/>
              </w:rPr>
              <w:br/>
              <w:t>(808)</w:t>
            </w:r>
            <w:r w:rsidRPr="00EF3394">
              <w:rPr>
                <w:rFonts w:ascii="Times New Roman" w:eastAsia="Arial" w:hAnsi="Times New Roman" w:cs="Times New Roman"/>
                <w:color w:val="000000"/>
                <w:sz w:val="14"/>
                <w:szCs w:val="14"/>
              </w:rPr>
              <w:br/>
              <w:t>[4,3-5,2]</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5A3EAB99"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784D8BB0" w14:textId="77777777" w:rsidTr="0018419C">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7E9A668E"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045D4190"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88,1</w:t>
            </w:r>
            <w:r w:rsidRPr="00EF3394">
              <w:rPr>
                <w:rFonts w:ascii="Times New Roman" w:eastAsia="Arial" w:hAnsi="Times New Roman" w:cs="Times New Roman"/>
                <w:color w:val="000000"/>
                <w:sz w:val="14"/>
                <w:szCs w:val="14"/>
              </w:rPr>
              <w:br/>
              <w:t>(111)</w:t>
            </w:r>
            <w:r w:rsidRPr="00EF3394">
              <w:rPr>
                <w:rFonts w:ascii="Times New Roman" w:eastAsia="Arial" w:hAnsi="Times New Roman" w:cs="Times New Roman"/>
                <w:color w:val="000000"/>
                <w:sz w:val="14"/>
                <w:szCs w:val="14"/>
              </w:rPr>
              <w:br/>
              <w:t>[79-93]</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08A8DB0D"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95,3</w:t>
            </w:r>
            <w:r w:rsidRPr="00EF3394">
              <w:rPr>
                <w:rFonts w:ascii="Times New Roman" w:eastAsia="Arial" w:hAnsi="Times New Roman" w:cs="Times New Roman"/>
                <w:color w:val="000000"/>
                <w:sz w:val="14"/>
                <w:szCs w:val="14"/>
              </w:rPr>
              <w:br/>
              <w:t>(13 763)</w:t>
            </w:r>
            <w:r w:rsidRPr="00EF3394">
              <w:rPr>
                <w:rFonts w:ascii="Times New Roman" w:eastAsia="Arial" w:hAnsi="Times New Roman" w:cs="Times New Roman"/>
                <w:color w:val="000000"/>
                <w:sz w:val="14"/>
                <w:szCs w:val="14"/>
              </w:rPr>
              <w:br/>
              <w:t>[95-96]</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50E83BDE"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711FE1EA" w14:textId="77777777" w:rsidTr="0018419C">
        <w:trPr>
          <w:jc w:val="center"/>
        </w:trPr>
        <w:tc>
          <w:tcPr>
            <w:tcW w:w="4505" w:type="pct"/>
            <w:gridSpan w:val="3"/>
            <w:tcBorders>
              <w:top w:val="none" w:sz="0" w:space="0" w:color="000000"/>
              <w:left w:val="single" w:sz="8" w:space="0" w:color="000000"/>
              <w:bottom w:val="none" w:sz="0" w:space="0" w:color="000000"/>
            </w:tcBorders>
            <w:shd w:val="clear" w:color="auto" w:fill="FFFFFF"/>
            <w:tcMar>
              <w:top w:w="0" w:type="dxa"/>
              <w:left w:w="0" w:type="dxa"/>
              <w:bottom w:w="0" w:type="dxa"/>
              <w:right w:w="0" w:type="dxa"/>
            </w:tcMar>
          </w:tcPr>
          <w:p w14:paraId="51F4C92F"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Arial" w:hAnsi="Times New Roman" w:cs="Times New Roman"/>
                <w:color w:val="000000"/>
                <w:sz w:val="14"/>
                <w:szCs w:val="14"/>
              </w:rPr>
            </w:pPr>
            <w:r w:rsidRPr="00EF3394">
              <w:rPr>
                <w:rFonts w:ascii="Times New Roman" w:eastAsia="Arial" w:hAnsi="Times New Roman" w:cs="Times New Roman"/>
                <w:bCs/>
                <w:i/>
                <w:iCs/>
                <w:color w:val="000000"/>
                <w:sz w:val="14"/>
                <w:szCs w:val="14"/>
              </w:rPr>
              <w:t xml:space="preserve">Violence </w:t>
            </w:r>
            <w:r>
              <w:rPr>
                <w:rFonts w:ascii="Times New Roman" w:eastAsia="Arial" w:hAnsi="Times New Roman" w:cs="Times New Roman"/>
                <w:bCs/>
                <w:i/>
                <w:iCs/>
                <w:color w:val="000000"/>
                <w:sz w:val="14"/>
                <w:szCs w:val="14"/>
              </w:rPr>
              <w:t>sexuelle</w:t>
            </w:r>
            <w:r w:rsidRPr="00EF3394">
              <w:rPr>
                <w:rFonts w:ascii="Times New Roman" w:eastAsia="Arial" w:hAnsi="Times New Roman" w:cs="Times New Roman"/>
                <w:bCs/>
                <w:i/>
                <w:iCs/>
                <w:color w:val="000000"/>
                <w:sz w:val="14"/>
                <w:szCs w:val="14"/>
              </w:rPr>
              <w:t xml:space="preserve"> dans le couple (</w:t>
            </w:r>
            <w:proofErr w:type="spellStart"/>
            <w:r w:rsidRPr="00EF3394">
              <w:rPr>
                <w:rFonts w:ascii="Times New Roman" w:eastAsia="Arial" w:hAnsi="Times New Roman" w:cs="Times New Roman"/>
                <w:bCs/>
                <w:i/>
                <w:iCs/>
                <w:color w:val="000000"/>
                <w:sz w:val="14"/>
                <w:szCs w:val="14"/>
              </w:rPr>
              <w:t>conjoint</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e</w:t>
            </w:r>
            <w:proofErr w:type="spellEnd"/>
            <w:r w:rsidRPr="00EF3394">
              <w:rPr>
                <w:rFonts w:ascii="Times New Roman" w:eastAsia="Arial" w:hAnsi="Times New Roman" w:cs="Times New Roman"/>
                <w:bCs/>
                <w:i/>
                <w:iCs/>
                <w:color w:val="000000"/>
                <w:sz w:val="14"/>
                <w:szCs w:val="14"/>
              </w:rPr>
              <w:t xml:space="preserve"> </w:t>
            </w:r>
            <w:proofErr w:type="spellStart"/>
            <w:r w:rsidRPr="00EF3394">
              <w:rPr>
                <w:rFonts w:ascii="Times New Roman" w:eastAsia="Arial" w:hAnsi="Times New Roman" w:cs="Times New Roman"/>
                <w:bCs/>
                <w:i/>
                <w:iCs/>
                <w:color w:val="000000"/>
                <w:sz w:val="14"/>
                <w:szCs w:val="14"/>
              </w:rPr>
              <w:t>actuel</w:t>
            </w:r>
            <w:r>
              <w:rPr>
                <w:rFonts w:ascii="Times New Roman" w:eastAsia="Arial" w:hAnsi="Times New Roman" w:cs="Times New Roman"/>
                <w:bCs/>
                <w:i/>
                <w:iCs/>
                <w:color w:val="000000"/>
                <w:sz w:val="14"/>
                <w:szCs w:val="14"/>
              </w:rPr>
              <w:t>∙</w:t>
            </w:r>
            <w:r w:rsidRPr="00EF3394">
              <w:rPr>
                <w:rFonts w:ascii="Times New Roman" w:eastAsia="Arial" w:hAnsi="Times New Roman" w:cs="Times New Roman"/>
                <w:bCs/>
                <w:i/>
                <w:iCs/>
                <w:color w:val="000000"/>
                <w:sz w:val="14"/>
                <w:szCs w:val="14"/>
              </w:rPr>
              <w:t>le</w:t>
            </w:r>
            <w:proofErr w:type="spellEnd"/>
            <w:r w:rsidRPr="00EF3394">
              <w:rPr>
                <w:rFonts w:ascii="Times New Roman" w:eastAsia="Arial" w:hAnsi="Times New Roman" w:cs="Times New Roman"/>
                <w:bCs/>
                <w:i/>
                <w:iCs/>
                <w:color w:val="000000"/>
                <w:sz w:val="14"/>
                <w:szCs w:val="14"/>
              </w:rPr>
              <w:t xml:space="preserve"> ou ex) avant les 12 derniers mois</w:t>
            </w:r>
          </w:p>
        </w:tc>
        <w:tc>
          <w:tcPr>
            <w:tcW w:w="495" w:type="pct"/>
            <w:tcBorders>
              <w:top w:val="none" w:sz="0" w:space="0" w:color="000000"/>
              <w:bottom w:val="none" w:sz="0" w:space="0" w:color="000000"/>
              <w:right w:val="single" w:sz="8" w:space="0" w:color="000000"/>
            </w:tcBorders>
            <w:shd w:val="clear" w:color="auto" w:fill="FFFFFF"/>
            <w:tcMar>
              <w:top w:w="0" w:type="dxa"/>
              <w:left w:w="0" w:type="dxa"/>
              <w:bottom w:w="0" w:type="dxa"/>
              <w:right w:w="0" w:type="dxa"/>
            </w:tcMar>
          </w:tcPr>
          <w:p w14:paraId="36D6FFCB"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r w:rsidRPr="00EF3394">
              <w:rPr>
                <w:rFonts w:ascii="Times New Roman" w:eastAsia="Arial" w:hAnsi="Times New Roman" w:cs="Times New Roman"/>
                <w:i/>
                <w:iCs/>
                <w:color w:val="000000"/>
                <w:sz w:val="14"/>
                <w:szCs w:val="14"/>
              </w:rPr>
              <w:t>0,001</w:t>
            </w:r>
          </w:p>
        </w:tc>
      </w:tr>
      <w:tr w:rsidR="00E2476B" w14:paraId="78ADE74A" w14:textId="77777777" w:rsidTr="0018419C">
        <w:trPr>
          <w:jc w:val="center"/>
        </w:trPr>
        <w:tc>
          <w:tcPr>
            <w:tcW w:w="1206" w:type="pct"/>
            <w:tcBorders>
              <w:left w:val="single" w:sz="8" w:space="0" w:color="000000"/>
              <w:right w:val="single" w:sz="4" w:space="0" w:color="auto"/>
            </w:tcBorders>
            <w:shd w:val="clear" w:color="auto" w:fill="FFFFFF"/>
            <w:tcMar>
              <w:top w:w="0" w:type="dxa"/>
              <w:left w:w="0" w:type="dxa"/>
              <w:bottom w:w="0" w:type="dxa"/>
              <w:right w:w="0" w:type="dxa"/>
            </w:tcMar>
          </w:tcPr>
          <w:p w14:paraId="6F2ABFAC"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Oui</w:t>
            </w:r>
          </w:p>
        </w:tc>
        <w:tc>
          <w:tcPr>
            <w:tcW w:w="1649" w:type="pct"/>
            <w:tcBorders>
              <w:left w:val="single" w:sz="4" w:space="0" w:color="auto"/>
              <w:right w:val="single" w:sz="4" w:space="0" w:color="auto"/>
            </w:tcBorders>
            <w:shd w:val="clear" w:color="auto" w:fill="FFFFFF"/>
            <w:tcMar>
              <w:top w:w="0" w:type="dxa"/>
              <w:left w:w="0" w:type="dxa"/>
              <w:bottom w:w="0" w:type="dxa"/>
              <w:right w:w="0" w:type="dxa"/>
            </w:tcMar>
          </w:tcPr>
          <w:p w14:paraId="56081874"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2,8</w:t>
            </w:r>
            <w:r w:rsidRPr="00EF3394">
              <w:rPr>
                <w:rFonts w:ascii="Times New Roman" w:eastAsia="Arial" w:hAnsi="Times New Roman" w:cs="Times New Roman"/>
                <w:color w:val="000000"/>
                <w:sz w:val="14"/>
                <w:szCs w:val="14"/>
              </w:rPr>
              <w:br/>
              <w:t>(5)</w:t>
            </w:r>
            <w:r w:rsidRPr="00EF3394">
              <w:rPr>
                <w:rFonts w:ascii="Times New Roman" w:eastAsia="Arial" w:hAnsi="Times New Roman" w:cs="Times New Roman"/>
                <w:color w:val="000000"/>
                <w:sz w:val="14"/>
                <w:szCs w:val="14"/>
              </w:rPr>
              <w:br/>
              <w:t>[1,1-6,8]</w:t>
            </w:r>
          </w:p>
        </w:tc>
        <w:tc>
          <w:tcPr>
            <w:tcW w:w="1650" w:type="pct"/>
            <w:tcBorders>
              <w:left w:val="single" w:sz="4" w:space="0" w:color="auto"/>
              <w:right w:val="single" w:sz="4" w:space="0" w:color="auto"/>
            </w:tcBorders>
            <w:shd w:val="clear" w:color="auto" w:fill="FFFFFF"/>
            <w:tcMar>
              <w:top w:w="0" w:type="dxa"/>
              <w:left w:w="0" w:type="dxa"/>
              <w:bottom w:w="0" w:type="dxa"/>
              <w:right w:w="0" w:type="dxa"/>
            </w:tcMar>
          </w:tcPr>
          <w:p w14:paraId="0F9EF46F"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0,7</w:t>
            </w:r>
            <w:r w:rsidRPr="00EF3394">
              <w:rPr>
                <w:rFonts w:ascii="Times New Roman" w:eastAsia="Arial" w:hAnsi="Times New Roman" w:cs="Times New Roman"/>
                <w:color w:val="000000"/>
                <w:sz w:val="14"/>
                <w:szCs w:val="14"/>
              </w:rPr>
              <w:br/>
              <w:t>(127)</w:t>
            </w:r>
            <w:r w:rsidRPr="00EF3394">
              <w:rPr>
                <w:rFonts w:ascii="Times New Roman" w:eastAsia="Arial" w:hAnsi="Times New Roman" w:cs="Times New Roman"/>
                <w:color w:val="000000"/>
                <w:sz w:val="14"/>
                <w:szCs w:val="14"/>
              </w:rPr>
              <w:br/>
              <w:t>[0,53-0,83]</w:t>
            </w:r>
          </w:p>
        </w:tc>
        <w:tc>
          <w:tcPr>
            <w:tcW w:w="495" w:type="pct"/>
            <w:tcBorders>
              <w:top w:val="none" w:sz="0" w:space="0" w:color="000000"/>
              <w:left w:val="single" w:sz="4" w:space="0" w:color="auto"/>
              <w:bottom w:val="none" w:sz="0" w:space="0" w:color="000000"/>
              <w:right w:val="single" w:sz="8" w:space="0" w:color="000000"/>
            </w:tcBorders>
            <w:shd w:val="clear" w:color="auto" w:fill="FFFFFF"/>
            <w:tcMar>
              <w:top w:w="0" w:type="dxa"/>
              <w:left w:w="0" w:type="dxa"/>
              <w:bottom w:w="0" w:type="dxa"/>
              <w:right w:w="0" w:type="dxa"/>
            </w:tcMar>
          </w:tcPr>
          <w:p w14:paraId="6013F514"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i/>
                <w:iCs/>
                <w:color w:val="000000"/>
                <w:sz w:val="14"/>
                <w:szCs w:val="14"/>
              </w:rPr>
            </w:pPr>
          </w:p>
        </w:tc>
      </w:tr>
      <w:tr w:rsidR="00E2476B" w14:paraId="28BB6AF2" w14:textId="77777777" w:rsidTr="0018419C">
        <w:trPr>
          <w:jc w:val="center"/>
        </w:trPr>
        <w:tc>
          <w:tcPr>
            <w:tcW w:w="1206" w:type="pct"/>
            <w:tcBorders>
              <w:left w:val="single" w:sz="8" w:space="0" w:color="000000"/>
              <w:bottom w:val="single" w:sz="8" w:space="0" w:color="000000"/>
              <w:right w:val="single" w:sz="4" w:space="0" w:color="auto"/>
            </w:tcBorders>
            <w:shd w:val="clear" w:color="auto" w:fill="FFFFFF"/>
            <w:tcMar>
              <w:top w:w="0" w:type="dxa"/>
              <w:left w:w="0" w:type="dxa"/>
              <w:bottom w:w="0" w:type="dxa"/>
              <w:right w:w="0" w:type="dxa"/>
            </w:tcMar>
          </w:tcPr>
          <w:p w14:paraId="428EF8B8"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300" w:right="100"/>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Non</w:t>
            </w:r>
          </w:p>
        </w:tc>
        <w:tc>
          <w:tcPr>
            <w:tcW w:w="1649"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01E887FC"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97,2</w:t>
            </w:r>
            <w:r w:rsidRPr="00EF3394">
              <w:rPr>
                <w:rFonts w:ascii="Times New Roman" w:eastAsia="Arial" w:hAnsi="Times New Roman" w:cs="Times New Roman"/>
                <w:color w:val="000000"/>
                <w:sz w:val="14"/>
                <w:szCs w:val="14"/>
              </w:rPr>
              <w:br/>
              <w:t>(121)</w:t>
            </w:r>
            <w:r w:rsidRPr="00EF3394">
              <w:rPr>
                <w:rFonts w:ascii="Times New Roman" w:eastAsia="Arial" w:hAnsi="Times New Roman" w:cs="Times New Roman"/>
                <w:color w:val="000000"/>
                <w:sz w:val="14"/>
                <w:szCs w:val="14"/>
              </w:rPr>
              <w:br/>
              <w:t>[93-99]</w:t>
            </w:r>
          </w:p>
        </w:tc>
        <w:tc>
          <w:tcPr>
            <w:tcW w:w="1650" w:type="pct"/>
            <w:tcBorders>
              <w:left w:val="single" w:sz="4" w:space="0" w:color="auto"/>
              <w:bottom w:val="single" w:sz="8" w:space="0" w:color="000000"/>
              <w:right w:val="single" w:sz="4" w:space="0" w:color="auto"/>
            </w:tcBorders>
            <w:shd w:val="clear" w:color="auto" w:fill="FFFFFF"/>
            <w:tcMar>
              <w:top w:w="0" w:type="dxa"/>
              <w:left w:w="0" w:type="dxa"/>
              <w:bottom w:w="0" w:type="dxa"/>
              <w:right w:w="0" w:type="dxa"/>
            </w:tcMar>
          </w:tcPr>
          <w:p w14:paraId="50B5798E"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r w:rsidRPr="00EF3394">
              <w:rPr>
                <w:rFonts w:ascii="Times New Roman" w:eastAsia="Arial" w:hAnsi="Times New Roman" w:cs="Times New Roman"/>
                <w:color w:val="000000"/>
                <w:sz w:val="14"/>
                <w:szCs w:val="14"/>
              </w:rPr>
              <w:t>99,3</w:t>
            </w:r>
            <w:r w:rsidRPr="00EF3394">
              <w:rPr>
                <w:rFonts w:ascii="Times New Roman" w:eastAsia="Arial" w:hAnsi="Times New Roman" w:cs="Times New Roman"/>
                <w:color w:val="000000"/>
                <w:sz w:val="14"/>
                <w:szCs w:val="14"/>
              </w:rPr>
              <w:br/>
              <w:t>(14 446)</w:t>
            </w:r>
            <w:r w:rsidRPr="00EF3394">
              <w:rPr>
                <w:rFonts w:ascii="Times New Roman" w:eastAsia="Arial" w:hAnsi="Times New Roman" w:cs="Times New Roman"/>
                <w:color w:val="000000"/>
                <w:sz w:val="14"/>
                <w:szCs w:val="14"/>
              </w:rPr>
              <w:br/>
              <w:t>[99-99]</w:t>
            </w:r>
          </w:p>
        </w:tc>
        <w:tc>
          <w:tcPr>
            <w:tcW w:w="495" w:type="pct"/>
            <w:tcBorders>
              <w:top w:val="none" w:sz="0" w:space="0" w:color="000000"/>
              <w:left w:val="single" w:sz="4" w:space="0" w:color="auto"/>
              <w:bottom w:val="single" w:sz="8" w:space="0" w:color="000000"/>
              <w:right w:val="single" w:sz="8" w:space="0" w:color="000000"/>
            </w:tcBorders>
            <w:shd w:val="clear" w:color="auto" w:fill="FFFFFF"/>
            <w:tcMar>
              <w:top w:w="0" w:type="dxa"/>
              <w:left w:w="0" w:type="dxa"/>
              <w:bottom w:w="0" w:type="dxa"/>
              <w:right w:w="0" w:type="dxa"/>
            </w:tcMar>
          </w:tcPr>
          <w:p w14:paraId="5D052077"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Arial" w:hAnsi="Times New Roman" w:cs="Times New Roman"/>
                <w:color w:val="000000"/>
                <w:sz w:val="14"/>
                <w:szCs w:val="14"/>
              </w:rPr>
            </w:pPr>
          </w:p>
        </w:tc>
      </w:tr>
      <w:tr w:rsidR="00E2476B" w14:paraId="7C813F04" w14:textId="77777777" w:rsidTr="0018419C">
        <w:trPr>
          <w:trHeight w:val="1474"/>
          <w:jc w:val="center"/>
        </w:trPr>
        <w:tc>
          <w:tcPr>
            <w:tcW w:w="5000" w:type="pct"/>
            <w:gridSpan w:val="4"/>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902871A"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1</w:t>
            </w:r>
            <w:r w:rsidRPr="00F23351">
              <w:rPr>
                <w:rFonts w:ascii="Times New Roman" w:eastAsia="Arial" w:hAnsi="Times New Roman" w:cs="Times New Roman"/>
                <w:color w:val="000000"/>
                <w:sz w:val="14"/>
                <w:szCs w:val="14"/>
              </w:rPr>
              <w:t>Effectifs non-pondérés entre parenthèses.</w:t>
            </w:r>
          </w:p>
          <w:p w14:paraId="3105CB56" w14:textId="77777777" w:rsidR="00E2476B" w:rsidRPr="00F23351"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2</w:t>
            </w:r>
            <w:r w:rsidRPr="00F23351">
              <w:rPr>
                <w:rFonts w:ascii="Times New Roman" w:eastAsia="Arial" w:hAnsi="Times New Roman" w:cs="Times New Roman"/>
                <w:color w:val="000000"/>
                <w:sz w:val="14"/>
                <w:szCs w:val="14"/>
              </w:rPr>
              <w:t>Test du Chi-deux ajusté de Rao &amp; Scott pour données pondérées.</w:t>
            </w:r>
          </w:p>
          <w:p w14:paraId="46566261"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color w:val="000000"/>
                <w:sz w:val="14"/>
                <w:szCs w:val="14"/>
                <w:vertAlign w:val="superscript"/>
              </w:rPr>
              <w:t>3</w:t>
            </w:r>
            <w:r w:rsidRPr="00F23351">
              <w:rPr>
                <w:rFonts w:ascii="Times New Roman" w:eastAsia="Arial" w:hAnsi="Times New Roman" w:cs="Times New Roman"/>
                <w:color w:val="000000"/>
                <w:sz w:val="14"/>
                <w:szCs w:val="14"/>
              </w:rPr>
              <w:t>Pourcentages pondérés (Effectifs non pondérés) [Intervalle de confiance à 95 %].</w:t>
            </w:r>
          </w:p>
          <w:p w14:paraId="7B090FA8"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Champ</w:t>
            </w:r>
            <w:r w:rsidRPr="00F23351">
              <w:rPr>
                <w:rFonts w:ascii="Times New Roman" w:eastAsia="Arial" w:hAnsi="Times New Roman" w:cs="Times New Roman"/>
                <w:color w:val="000000"/>
                <w:sz w:val="14"/>
                <w:szCs w:val="14"/>
              </w:rPr>
              <w:t xml:space="preserve"> : Répondantes</w:t>
            </w:r>
            <w:r>
              <w:rPr>
                <w:rFonts w:ascii="Times New Roman" w:eastAsia="Arial" w:hAnsi="Times New Roman" w:cs="Times New Roman"/>
                <w:color w:val="000000"/>
                <w:sz w:val="14"/>
                <w:szCs w:val="14"/>
              </w:rPr>
              <w:t xml:space="preserve"> bisexuelles et hétérosexuelles</w:t>
            </w:r>
            <w:r w:rsidRPr="00F23351">
              <w:rPr>
                <w:rFonts w:ascii="Times New Roman" w:eastAsia="Arial" w:hAnsi="Times New Roman" w:cs="Times New Roman"/>
                <w:color w:val="000000"/>
                <w:sz w:val="14"/>
                <w:szCs w:val="14"/>
              </w:rPr>
              <w:t xml:space="preserve"> </w:t>
            </w:r>
            <w:r>
              <w:rPr>
                <w:rFonts w:ascii="Times New Roman" w:eastAsia="Arial" w:hAnsi="Times New Roman" w:cs="Times New Roman"/>
                <w:color w:val="000000"/>
                <w:sz w:val="14"/>
                <w:szCs w:val="14"/>
              </w:rPr>
              <w:t>ayant été en couple au cours de la vie dans</w:t>
            </w:r>
            <w:r w:rsidRPr="00F23351">
              <w:rPr>
                <w:rFonts w:ascii="Times New Roman" w:eastAsia="Arial" w:hAnsi="Times New Roman" w:cs="Times New Roman"/>
                <w:color w:val="000000"/>
                <w:sz w:val="14"/>
                <w:szCs w:val="14"/>
              </w:rPr>
              <w:t xml:space="preserve"> l'enquête Virage. Données pondérées</w:t>
            </w:r>
          </w:p>
          <w:p w14:paraId="25AA99DE" w14:textId="77777777" w:rsidR="00E2476B" w:rsidRDefault="00E2476B" w:rsidP="0018419C">
            <w:pPr>
              <w:pBdr>
                <w:top w:val="none" w:sz="0" w:space="0" w:color="000000"/>
                <w:left w:val="none" w:sz="0" w:space="0" w:color="000000"/>
                <w:bottom w:val="none" w:sz="0" w:space="0" w:color="000000"/>
                <w:right w:val="none" w:sz="0" w:space="0" w:color="000000"/>
              </w:pBdr>
              <w:spacing w:before="40" w:after="40"/>
              <w:ind w:left="102" w:right="102"/>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Lecture</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11,9</w:t>
            </w:r>
            <w:r w:rsidRPr="00F23351">
              <w:rPr>
                <w:rFonts w:ascii="Times New Roman" w:eastAsia="Arial" w:hAnsi="Times New Roman" w:cs="Times New Roman"/>
                <w:color w:val="000000"/>
                <w:sz w:val="14"/>
                <w:szCs w:val="14"/>
              </w:rPr>
              <w:t xml:space="preserve">% des femmes </w:t>
            </w:r>
            <w:r>
              <w:rPr>
                <w:rFonts w:ascii="Times New Roman" w:eastAsia="Arial" w:hAnsi="Times New Roman" w:cs="Times New Roman"/>
                <w:color w:val="000000"/>
                <w:sz w:val="14"/>
                <w:szCs w:val="14"/>
              </w:rPr>
              <w:t xml:space="preserve">bisexuelles en couple dans </w:t>
            </w:r>
            <w:r w:rsidRPr="00F23351">
              <w:rPr>
                <w:rFonts w:ascii="Times New Roman" w:eastAsia="Arial" w:hAnsi="Times New Roman" w:cs="Times New Roman"/>
                <w:color w:val="000000"/>
                <w:sz w:val="14"/>
                <w:szCs w:val="14"/>
              </w:rPr>
              <w:t xml:space="preserve">l'enquête Virage déclarent de la violence </w:t>
            </w:r>
            <w:r>
              <w:rPr>
                <w:rFonts w:ascii="Times New Roman" w:eastAsia="Arial" w:hAnsi="Times New Roman" w:cs="Times New Roman"/>
                <w:color w:val="000000"/>
                <w:sz w:val="14"/>
                <w:szCs w:val="14"/>
              </w:rPr>
              <w:t xml:space="preserve">psychologique </w:t>
            </w:r>
            <w:r w:rsidRPr="00F23351">
              <w:rPr>
                <w:rFonts w:ascii="Times New Roman" w:eastAsia="Arial" w:hAnsi="Times New Roman" w:cs="Times New Roman"/>
                <w:color w:val="000000"/>
                <w:sz w:val="14"/>
                <w:szCs w:val="14"/>
              </w:rPr>
              <w:t xml:space="preserve">dans le couple </w:t>
            </w:r>
            <w:r>
              <w:rPr>
                <w:rFonts w:ascii="Times New Roman" w:eastAsia="Arial" w:hAnsi="Times New Roman" w:cs="Times New Roman"/>
                <w:color w:val="000000"/>
                <w:sz w:val="14"/>
                <w:szCs w:val="14"/>
              </w:rPr>
              <w:t>au cours de la vie</w:t>
            </w:r>
            <w:r w:rsidRPr="00F23351">
              <w:rPr>
                <w:rFonts w:ascii="Times New Roman" w:eastAsia="Arial" w:hAnsi="Times New Roman" w:cs="Times New Roman"/>
                <w:color w:val="000000"/>
                <w:sz w:val="14"/>
                <w:szCs w:val="14"/>
              </w:rPr>
              <w:t>, avec un intervalle de confiance à 95% de [</w:t>
            </w:r>
            <w:r>
              <w:rPr>
                <w:rFonts w:ascii="Times New Roman" w:eastAsia="Arial" w:hAnsi="Times New Roman" w:cs="Times New Roman"/>
                <w:color w:val="000000"/>
                <w:sz w:val="14"/>
                <w:szCs w:val="14"/>
              </w:rPr>
              <w:t>6,5</w:t>
            </w:r>
            <w:r w:rsidRPr="00F23351">
              <w:rPr>
                <w:rFonts w:ascii="Times New Roman" w:eastAsia="Arial" w:hAnsi="Times New Roman" w:cs="Times New Roman"/>
                <w:color w:val="000000"/>
                <w:sz w:val="14"/>
                <w:szCs w:val="14"/>
              </w:rPr>
              <w:t xml:space="preserve">% - </w:t>
            </w:r>
            <w:r>
              <w:rPr>
                <w:rFonts w:ascii="Times New Roman" w:eastAsia="Arial" w:hAnsi="Times New Roman" w:cs="Times New Roman"/>
                <w:color w:val="000000"/>
                <w:sz w:val="14"/>
                <w:szCs w:val="14"/>
              </w:rPr>
              <w:t>21</w:t>
            </w:r>
            <w:r w:rsidRPr="00F23351">
              <w:rPr>
                <w:rFonts w:ascii="Times New Roman" w:eastAsia="Arial" w:hAnsi="Times New Roman" w:cs="Times New Roman"/>
                <w:color w:val="000000"/>
                <w:sz w:val="14"/>
                <w:szCs w:val="14"/>
              </w:rPr>
              <w:t>%].</w:t>
            </w:r>
          </w:p>
          <w:p w14:paraId="1CDD9A9D" w14:textId="77777777" w:rsidR="00E2476B" w:rsidRPr="00EF3394" w:rsidRDefault="00E2476B" w:rsidP="0018419C">
            <w:pPr>
              <w:pBdr>
                <w:top w:val="none" w:sz="0" w:space="0" w:color="000000"/>
                <w:left w:val="none" w:sz="0" w:space="0" w:color="000000"/>
                <w:bottom w:val="none" w:sz="0" w:space="0" w:color="000000"/>
                <w:right w:val="none" w:sz="0" w:space="0" w:color="000000"/>
              </w:pBdr>
              <w:spacing w:before="40" w:after="40"/>
              <w:ind w:left="100" w:right="100"/>
              <w:rPr>
                <w:rFonts w:ascii="Times New Roman" w:eastAsia="Arial" w:hAnsi="Times New Roman" w:cs="Times New Roman"/>
                <w:color w:val="000000"/>
                <w:sz w:val="14"/>
                <w:szCs w:val="14"/>
              </w:rPr>
            </w:pPr>
            <w:r w:rsidRPr="00F23351">
              <w:rPr>
                <w:rFonts w:ascii="Times New Roman" w:eastAsia="Arial" w:hAnsi="Times New Roman" w:cs="Times New Roman"/>
                <w:b/>
                <w:bCs/>
                <w:color w:val="000000"/>
                <w:sz w:val="14"/>
                <w:szCs w:val="14"/>
              </w:rPr>
              <w:t>Source</w:t>
            </w:r>
            <w:r w:rsidRPr="00F23351">
              <w:rPr>
                <w:rFonts w:ascii="Times New Roman" w:eastAsia="Arial" w:hAnsi="Times New Roman" w:cs="Times New Roman"/>
                <w:color w:val="000000"/>
                <w:sz w:val="14"/>
                <w:szCs w:val="14"/>
              </w:rPr>
              <w:t xml:space="preserve"> : Enquête Virage PG, Ined, 2015.</w:t>
            </w:r>
          </w:p>
        </w:tc>
      </w:tr>
    </w:tbl>
    <w:p w14:paraId="055B6F52" w14:textId="77777777" w:rsidR="00E2476B" w:rsidRPr="008B6C56" w:rsidRDefault="00E2476B" w:rsidP="00E2476B">
      <w:r>
        <w:t xml:space="preserve">Annexe 3 : Formulation des questions sur les violences psychologiques dans le module « En couple au cours des 12 derniers mois ». </w:t>
      </w:r>
    </w:p>
    <w:p w14:paraId="1FCA61CD" w14:textId="77777777" w:rsidR="00E2476B" w:rsidRDefault="00E2476B" w:rsidP="00E2476B">
      <w:pPr>
        <w:pStyle w:val="Textbody"/>
      </w:pPr>
      <w:r>
        <w:t>« Au cours des 12 derniers mois, votre (précédente/</w:t>
      </w:r>
      <w:proofErr w:type="spellStart"/>
      <w:r>
        <w:t>dernier∙ière</w:t>
      </w:r>
      <w:proofErr w:type="spellEnd"/>
      <w:r>
        <w:t xml:space="preserve">) </w:t>
      </w:r>
      <w:proofErr w:type="spellStart"/>
      <w:r>
        <w:t>conjoint∙e</w:t>
      </w:r>
      <w:proofErr w:type="spellEnd"/>
      <w:r>
        <w:t>/partenaire a-t-il/elle…</w:t>
      </w:r>
    </w:p>
    <w:p w14:paraId="3216B41D" w14:textId="77777777" w:rsidR="00E2476B" w:rsidRDefault="00E2476B" w:rsidP="00E2476B">
      <w:pPr>
        <w:pStyle w:val="Textbody"/>
        <w:numPr>
          <w:ilvl w:val="0"/>
          <w:numId w:val="31"/>
        </w:numPr>
      </w:pPr>
      <w:r>
        <w:t>Reproché de parler à d'autres homme/femmes ?</w:t>
      </w:r>
    </w:p>
    <w:p w14:paraId="2C0890AE" w14:textId="77777777" w:rsidR="00E2476B" w:rsidRDefault="00E2476B" w:rsidP="00E2476B">
      <w:pPr>
        <w:pStyle w:val="Textbody"/>
        <w:numPr>
          <w:ilvl w:val="0"/>
          <w:numId w:val="31"/>
        </w:numPr>
      </w:pPr>
      <w:proofErr w:type="spellStart"/>
      <w:r>
        <w:t>Empêché∙e</w:t>
      </w:r>
      <w:proofErr w:type="spellEnd"/>
      <w:r>
        <w:t xml:space="preserve"> de rencontrer ou de parler avec des amis ou membres de votre famille ?</w:t>
      </w:r>
    </w:p>
    <w:p w14:paraId="5FA33C60" w14:textId="77777777" w:rsidR="00E2476B" w:rsidRDefault="00E2476B" w:rsidP="00E2476B">
      <w:pPr>
        <w:pStyle w:val="Textbody"/>
        <w:numPr>
          <w:ilvl w:val="0"/>
          <w:numId w:val="31"/>
        </w:numPr>
      </w:pPr>
      <w:r>
        <w:t>Exigé de savoir avec qui et où vous étiez ?</w:t>
      </w:r>
    </w:p>
    <w:p w14:paraId="14500E90" w14:textId="77777777" w:rsidR="00E2476B" w:rsidRDefault="00E2476B" w:rsidP="00E2476B">
      <w:pPr>
        <w:pStyle w:val="Textbody"/>
        <w:numPr>
          <w:ilvl w:val="0"/>
          <w:numId w:val="31"/>
        </w:numPr>
      </w:pPr>
      <w:r>
        <w:t>Confisqué vos papiers, les clés de la voiture, votre téléphone, votre ordinateur ?</w:t>
      </w:r>
    </w:p>
    <w:p w14:paraId="5E4B5C10" w14:textId="77777777" w:rsidR="00E2476B" w:rsidRDefault="00E2476B" w:rsidP="00E2476B">
      <w:pPr>
        <w:pStyle w:val="Textbody"/>
        <w:numPr>
          <w:ilvl w:val="0"/>
          <w:numId w:val="31"/>
        </w:numPr>
      </w:pPr>
      <w:r>
        <w:t>Lu votre courrier (lettres ou mails) sans votre accord ou vos échanges par SMS, sur les réseaux sociaux ou forums ?</w:t>
      </w:r>
    </w:p>
    <w:p w14:paraId="0C17C308" w14:textId="77777777" w:rsidR="00E2476B" w:rsidRDefault="00E2476B" w:rsidP="00E2476B">
      <w:pPr>
        <w:pStyle w:val="Textbody"/>
        <w:numPr>
          <w:ilvl w:val="0"/>
          <w:numId w:val="31"/>
        </w:numPr>
      </w:pPr>
      <w:r>
        <w:t>Dévalorisé ce que vous faisiez ? (Tâches à la maison, comportement en famille, travail…)</w:t>
      </w:r>
    </w:p>
    <w:p w14:paraId="06A1CEFE" w14:textId="77777777" w:rsidR="00E2476B" w:rsidRDefault="00E2476B" w:rsidP="00E2476B">
      <w:pPr>
        <w:pStyle w:val="Textbody"/>
        <w:numPr>
          <w:ilvl w:val="0"/>
          <w:numId w:val="31"/>
        </w:numPr>
      </w:pPr>
      <w:r>
        <w:t xml:space="preserve">Fait des remarques désagréables sur votre apparence physique ou votre façon de vous habiller (trop </w:t>
      </w:r>
      <w:proofErr w:type="spellStart"/>
      <w:r>
        <w:t>gros∙se</w:t>
      </w:r>
      <w:proofErr w:type="spellEnd"/>
      <w:r>
        <w:t>/maigre, moche, trop sexy...) ?</w:t>
      </w:r>
    </w:p>
    <w:p w14:paraId="088EABE3" w14:textId="77777777" w:rsidR="00E2476B" w:rsidRDefault="00E2476B" w:rsidP="00E2476B">
      <w:pPr>
        <w:pStyle w:val="Textbody"/>
        <w:numPr>
          <w:ilvl w:val="0"/>
          <w:numId w:val="31"/>
        </w:numPr>
      </w:pPr>
      <w:r>
        <w:t>N’a pas tenu compte ou a méprisé vos opinions, a prétendu vous expliquer ce que vous deviez penser ?</w:t>
      </w:r>
    </w:p>
    <w:p w14:paraId="6464CD20" w14:textId="77777777" w:rsidR="00E2476B" w:rsidRDefault="00E2476B" w:rsidP="00E2476B">
      <w:pPr>
        <w:pStyle w:val="Textbody"/>
        <w:numPr>
          <w:ilvl w:val="0"/>
          <w:numId w:val="31"/>
        </w:numPr>
      </w:pPr>
      <w:r>
        <w:lastRenderedPageBreak/>
        <w:t>Cessé de vous parler, refusé totalement de discuter avec vous ?</w:t>
      </w:r>
    </w:p>
    <w:p w14:paraId="0A1E1E2B" w14:textId="77777777" w:rsidR="00E2476B" w:rsidRDefault="00E2476B" w:rsidP="00E2476B">
      <w:pPr>
        <w:pStyle w:val="Textbody"/>
        <w:numPr>
          <w:ilvl w:val="0"/>
          <w:numId w:val="31"/>
        </w:numPr>
      </w:pPr>
      <w:r>
        <w:t>Insulté ou injurié en face-à-face, par téléphone, par mail, pas sms ou sur Internet ?</w:t>
      </w:r>
    </w:p>
    <w:p w14:paraId="40780D6B" w14:textId="77777777" w:rsidR="00E2476B" w:rsidRDefault="00E2476B" w:rsidP="00E2476B">
      <w:pPr>
        <w:pStyle w:val="Textbody"/>
        <w:numPr>
          <w:ilvl w:val="0"/>
          <w:numId w:val="31"/>
        </w:numPr>
      </w:pPr>
      <w:r>
        <w:t>Hurlé, tapé du poing sur la table, frappé les murs, cassé des objets, en créant une ambiance tendue ou angoissante ? »</w:t>
      </w:r>
    </w:p>
    <w:p w14:paraId="43088792" w14:textId="77777777" w:rsidR="00E2476B" w:rsidRDefault="00E2476B" w:rsidP="00E2476B"/>
    <w:p w14:paraId="0CED8B33" w14:textId="77777777" w:rsidR="00E2476B" w:rsidRPr="00624346" w:rsidRDefault="00E2476B" w:rsidP="00624346">
      <w:pPr>
        <w:pStyle w:val="Corpsdetexte"/>
      </w:pPr>
    </w:p>
    <w:sectPr w:rsidR="00E2476B" w:rsidRPr="00624346" w:rsidSect="005B5A7B">
      <w:footerReference w:type="default" r:id="rId27"/>
      <w:footnotePr>
        <w:numRestart w:val="eachSect"/>
      </w:footnotePr>
      <w:pgSz w:w="12240" w:h="15840"/>
      <w:pgMar w:top="1418" w:right="1418" w:bottom="1418" w:left="1418" w:header="0" w:footer="720" w:gutter="0"/>
      <w:cols w:space="720"/>
      <w:formProt w:val="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3" w:author="ELISA LEMOINE" w:date="2026-08-29T17:04:00Z" w:initials="EL">
    <w:p w14:paraId="675B563C" w14:textId="77777777" w:rsidR="00E2476B" w:rsidRDefault="00E2476B" w:rsidP="00E2476B">
      <w:pPr>
        <w:pStyle w:val="Commentaire"/>
      </w:pPr>
      <w:r>
        <w:rPr>
          <w:rStyle w:val="Marquedecommentaire"/>
        </w:rPr>
        <w:annotationRef/>
      </w:r>
      <w:r>
        <w:t xml:space="preserve">Reprendre notes bergstrom et adam et costemalle </w:t>
      </w:r>
    </w:p>
  </w:comment>
  <w:comment w:id="24" w:author="ELISA LEMOINE" w:date="2026-08-29T17:06:00Z" w:initials="EL">
    <w:p w14:paraId="36081902" w14:textId="77777777" w:rsidR="00E2476B" w:rsidRDefault="00E2476B" w:rsidP="00E2476B">
      <w:pPr>
        <w:pStyle w:val="Commentaire"/>
      </w:pPr>
      <w:r>
        <w:rPr>
          <w:rStyle w:val="Marquedecommentaire"/>
        </w:rPr>
        <w:annotationRef/>
      </w:r>
      <w:r>
        <w:t>Reprendre adam et costemalle diplôme classe</w:t>
      </w:r>
    </w:p>
  </w:comment>
  <w:comment w:id="71" w:author="Auteur inconnu" w:date="2026-08-17T01:39:00Z" w:initials="Auteur in">
    <w:p w14:paraId="3E4377EF" w14:textId="77777777" w:rsidR="00E2476B" w:rsidRDefault="00E2476B" w:rsidP="00E2476B">
      <w:pPr>
        <w:pStyle w:val="Comment"/>
      </w:pPr>
      <w:r>
        <w:rPr>
          <w:rStyle w:val="Marquedecommentaire"/>
        </w:rPr>
        <w:annotationRef/>
      </w:r>
      <w:r>
        <w:t xml:space="preserve">Rebalancer ward ici ? </w:t>
      </w:r>
      <w:r>
        <w:rPr>
          <w:rFonts w:ascii="Times New Roman" w:eastAsia="Times New Roman" w:hAnsi="Times New Roman" w:cs="Times New Roman"/>
        </w:rPr>
        <w:t>ou une forme d’hétéro-pessimisme (Ward, 2020)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5B563C" w15:done="0"/>
  <w15:commentEx w15:paraId="36081902" w15:done="0"/>
  <w15:commentEx w15:paraId="3E4377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3D8F90" w16cex:dateUtc="2026-08-29T15:04:00Z"/>
  <w16cex:commentExtensible w16cex:durableId="2E3D901D" w16cex:dateUtc="2026-08-29T15: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5B563C" w16cid:durableId="2E3D8F90"/>
  <w16cid:commentId w16cid:paraId="36081902" w16cid:durableId="2E3D901D"/>
  <w16cid:commentId w16cid:paraId="3E4377EF" w16cid:durableId="2E2DA2B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0DBFF" w14:textId="77777777" w:rsidR="00A0279A" w:rsidRDefault="00A0279A">
      <w:pPr>
        <w:spacing w:after="0"/>
      </w:pPr>
      <w:r>
        <w:separator/>
      </w:r>
    </w:p>
  </w:endnote>
  <w:endnote w:type="continuationSeparator" w:id="0">
    <w:p w14:paraId="72CD5B53" w14:textId="77777777" w:rsidR="00A0279A" w:rsidRDefault="00A027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charset w:val="00"/>
    <w:family w:val="auto"/>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Display">
    <w:altName w:val="Cambria"/>
    <w:charset w:val="00"/>
    <w:family w:val="roman"/>
    <w:pitch w:val="variable"/>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F">
    <w:altName w:val="Calibri"/>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PingFang SC">
    <w:charset w:val="00"/>
    <w:family w:val="auto"/>
    <w:pitch w:val="variable"/>
  </w:font>
  <w:font w:name="Lucida Grande">
    <w:altName w:val="Segoe UI"/>
    <w:charset w:val="00"/>
    <w:family w:val="roman"/>
    <w:pitch w:val="variable"/>
  </w:font>
  <w:font w:name="NSimSun">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sans-serif">
    <w:altName w:val="Robot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212318871"/>
      <w:docPartObj>
        <w:docPartGallery w:val="Page Numbers (Bottom of Page)"/>
        <w:docPartUnique/>
      </w:docPartObj>
    </w:sdtPr>
    <w:sdtEndPr/>
    <w:sdtContent>
      <w:p w14:paraId="7E989972" w14:textId="1F20E1BD" w:rsidR="000452A3" w:rsidRPr="000452A3" w:rsidRDefault="000452A3">
        <w:pPr>
          <w:pStyle w:val="Pieddepage"/>
          <w:jc w:val="right"/>
          <w:rPr>
            <w:rFonts w:ascii="Times New Roman" w:hAnsi="Times New Roman" w:cs="Times New Roman"/>
          </w:rPr>
        </w:pPr>
        <w:r w:rsidRPr="000452A3">
          <w:rPr>
            <w:rFonts w:ascii="Times New Roman" w:hAnsi="Times New Roman" w:cs="Times New Roman"/>
          </w:rPr>
          <w:fldChar w:fldCharType="begin"/>
        </w:r>
        <w:r w:rsidRPr="000452A3">
          <w:rPr>
            <w:rFonts w:ascii="Times New Roman" w:hAnsi="Times New Roman" w:cs="Times New Roman"/>
          </w:rPr>
          <w:instrText>PAGE   \* MERGEFORMAT</w:instrText>
        </w:r>
        <w:r w:rsidRPr="000452A3">
          <w:rPr>
            <w:rFonts w:ascii="Times New Roman" w:hAnsi="Times New Roman" w:cs="Times New Roman"/>
          </w:rPr>
          <w:fldChar w:fldCharType="separate"/>
        </w:r>
        <w:r w:rsidRPr="000452A3">
          <w:rPr>
            <w:rFonts w:ascii="Times New Roman" w:hAnsi="Times New Roman" w:cs="Times New Roman"/>
          </w:rPr>
          <w:t>2</w:t>
        </w:r>
        <w:r w:rsidRPr="000452A3">
          <w:rPr>
            <w:rFonts w:ascii="Times New Roman" w:hAnsi="Times New Roman" w:cs="Times New Roman"/>
          </w:rPr>
          <w:fldChar w:fldCharType="end"/>
        </w:r>
      </w:p>
    </w:sdtContent>
  </w:sdt>
  <w:p w14:paraId="6F31B76F" w14:textId="77777777" w:rsidR="000452A3" w:rsidRDefault="000452A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61D7C" w14:textId="77777777" w:rsidR="00A0279A" w:rsidRDefault="00A0279A">
      <w:r>
        <w:separator/>
      </w:r>
    </w:p>
  </w:footnote>
  <w:footnote w:type="continuationSeparator" w:id="0">
    <w:p w14:paraId="69AE479F" w14:textId="77777777" w:rsidR="00A0279A" w:rsidRDefault="00A0279A">
      <w:r>
        <w:continuationSeparator/>
      </w:r>
    </w:p>
  </w:footnote>
  <w:footnote w:id="1">
    <w:p w14:paraId="4415B79D" w14:textId="21CFAAE0" w:rsidR="0036567F" w:rsidRDefault="0036567F">
      <w:pPr>
        <w:pStyle w:val="Notedebasdepage"/>
      </w:pPr>
      <w:r>
        <w:rPr>
          <w:rStyle w:val="Appelnotedebasdep"/>
        </w:rPr>
        <w:footnoteRef/>
      </w:r>
      <w:r>
        <w:t xml:space="preserve"> Nous parlons d’identification, plutôt que d’orientation sexuelle, pour la différencier des attirances et des pratiques et ne pas hiérarchiser le</w:t>
      </w:r>
      <w:r w:rsidR="00BF3B84">
        <w:t>s</w:t>
      </w:r>
      <w:r>
        <w:t xml:space="preserve"> façons de rendre compte de sa sexualité (Trachman, </w:t>
      </w:r>
      <w:proofErr w:type="spellStart"/>
      <w:r>
        <w:t>Lejbowicz</w:t>
      </w:r>
      <w:proofErr w:type="spellEnd"/>
      <w:r>
        <w:t xml:space="preserve"> 2020). </w:t>
      </w:r>
    </w:p>
  </w:footnote>
  <w:footnote w:id="2">
    <w:p w14:paraId="3FFAFE2F" w14:textId="19C6E882" w:rsidR="00BF3B84" w:rsidRDefault="00BF3B84" w:rsidP="00BF3B84">
      <w:pPr>
        <w:pStyle w:val="Notedebasdepage"/>
      </w:pPr>
      <w:r>
        <w:rPr>
          <w:rStyle w:val="Appelnotedebasdep"/>
        </w:rPr>
        <w:footnoteRef/>
      </w:r>
      <w:r>
        <w:t xml:space="preserve"> La notion de </w:t>
      </w:r>
      <w:proofErr w:type="spellStart"/>
      <w:r>
        <w:t>plurisexualité</w:t>
      </w:r>
      <w:proofErr w:type="spellEnd"/>
      <w:r>
        <w:t>, opposée à celle de monosexualité, a pour but de regrouper et de saisir la spécificité des sexualités qui ne sont pas tournées vers un seul sexe ou genre (</w:t>
      </w:r>
      <w:proofErr w:type="spellStart"/>
      <w:r>
        <w:t>Angelides</w:t>
      </w:r>
      <w:proofErr w:type="spellEnd"/>
      <w:r>
        <w:t xml:space="preserve"> 2006). </w:t>
      </w:r>
    </w:p>
  </w:footnote>
  <w:footnote w:id="3">
    <w:p w14:paraId="30682236" w14:textId="4577E18E" w:rsidR="002D488C" w:rsidRDefault="002D488C">
      <w:pPr>
        <w:pStyle w:val="Notedebasdepage"/>
      </w:pPr>
      <w:r>
        <w:rPr>
          <w:rStyle w:val="Appelnotedebasdep"/>
        </w:rPr>
        <w:footnoteRef/>
      </w:r>
      <w:r>
        <w:t xml:space="preserve"> Le choix du conjoint, 1959, Ined. </w:t>
      </w:r>
    </w:p>
  </w:footnote>
  <w:footnote w:id="4">
    <w:p w14:paraId="7F5F50AB" w14:textId="1AB61BAD" w:rsidR="002D488C" w:rsidRDefault="002D488C">
      <w:pPr>
        <w:pStyle w:val="Notedebasdepage"/>
      </w:pPr>
      <w:r>
        <w:rPr>
          <w:rStyle w:val="Appelnotedebasdep"/>
        </w:rPr>
        <w:footnoteRef/>
      </w:r>
      <w:r>
        <w:t xml:space="preserve"> La formation du couple, 1983 – 1985, Ined. </w:t>
      </w:r>
    </w:p>
  </w:footnote>
  <w:footnote w:id="5">
    <w:p w14:paraId="72BD023A" w14:textId="0B47E2AD" w:rsidR="002D488C" w:rsidRDefault="002D488C">
      <w:pPr>
        <w:pStyle w:val="Notedebasdepage"/>
      </w:pPr>
      <w:r>
        <w:rPr>
          <w:rStyle w:val="Appelnotedebasdep"/>
        </w:rPr>
        <w:footnoteRef/>
      </w:r>
      <w:r>
        <w:t xml:space="preserve"> </w:t>
      </w:r>
      <w:r w:rsidRPr="000A3AB6">
        <w:t>Etude des parcours individuels et conjugaux, 2013 – 2014, Ined-Insee.</w:t>
      </w:r>
    </w:p>
  </w:footnote>
  <w:footnote w:id="6">
    <w:p w14:paraId="4D75E6EB" w14:textId="68C5FD5F" w:rsidR="009F5A92" w:rsidRDefault="009F5A92">
      <w:pPr>
        <w:pStyle w:val="Notedebasdepage"/>
      </w:pPr>
      <w:r>
        <w:rPr>
          <w:rStyle w:val="Appelnotedebasdep"/>
        </w:rPr>
        <w:footnoteRef/>
      </w:r>
      <w:r>
        <w:t xml:space="preserve"> E</w:t>
      </w:r>
      <w:r w:rsidRPr="009F5A92">
        <w:t xml:space="preserve">nquêtes Gai Pied Hebdo initiées par Michael Pollak </w:t>
      </w:r>
      <w:r w:rsidR="00B12EA7">
        <w:t xml:space="preserve">et la statisticienne Marie-Ange </w:t>
      </w:r>
      <w:proofErr w:type="spellStart"/>
      <w:r w:rsidR="00B12EA7">
        <w:t>Schiltz</w:t>
      </w:r>
      <w:proofErr w:type="spellEnd"/>
      <w:r w:rsidR="00B12EA7">
        <w:t xml:space="preserve"> </w:t>
      </w:r>
      <w:r w:rsidRPr="009F5A92">
        <w:t>et devenues, par la suite, enquêtes Presse gay</w:t>
      </w:r>
      <w:r w:rsidR="00B12EA7">
        <w:t xml:space="preserve">. </w:t>
      </w:r>
    </w:p>
  </w:footnote>
  <w:footnote w:id="7">
    <w:p w14:paraId="2E6BAF19" w14:textId="5209ED74" w:rsidR="00B12EA7" w:rsidRDefault="00B12EA7">
      <w:pPr>
        <w:pStyle w:val="Notedebasdepage"/>
      </w:pPr>
      <w:r>
        <w:rPr>
          <w:rStyle w:val="Appelnotedebasdep"/>
        </w:rPr>
        <w:footnoteRef/>
      </w:r>
      <w:r>
        <w:t xml:space="preserve"> </w:t>
      </w:r>
      <w:r w:rsidRPr="00B12EA7">
        <w:t>A</w:t>
      </w:r>
      <w:r>
        <w:t>nalyse des comportements sexuels en France (A</w:t>
      </w:r>
      <w:r w:rsidRPr="00B12EA7">
        <w:t>CSF</w:t>
      </w:r>
      <w:r>
        <w:t>)</w:t>
      </w:r>
      <w:r w:rsidRPr="00B12EA7">
        <w:t>, 1992</w:t>
      </w:r>
      <w:r>
        <w:t>, Ined-Inserm.</w:t>
      </w:r>
      <w:r w:rsidRPr="00B12EA7">
        <w:t xml:space="preserve"> </w:t>
      </w:r>
      <w:r>
        <w:t>Contexte de la sexualité en France (C</w:t>
      </w:r>
      <w:r w:rsidRPr="00B12EA7">
        <w:t>SF</w:t>
      </w:r>
      <w:r>
        <w:t>)</w:t>
      </w:r>
      <w:r w:rsidRPr="00B12EA7">
        <w:t>, 2005</w:t>
      </w:r>
      <w:r>
        <w:t xml:space="preserve">, Ined-Inserm. </w:t>
      </w:r>
    </w:p>
  </w:footnote>
  <w:footnote w:id="8">
    <w:p w14:paraId="0F4BAD60" w14:textId="04233D88" w:rsidR="009727C1" w:rsidRDefault="009727C1">
      <w:pPr>
        <w:pStyle w:val="Notedebasdepage"/>
      </w:pPr>
      <w:r>
        <w:rPr>
          <w:rStyle w:val="Appelnotedebasdep"/>
        </w:rPr>
        <w:footnoteRef/>
      </w:r>
      <w:r>
        <w:t xml:space="preserve"> Les analyses principales des caractéristiques socio-démographiques et conjugales, présentées en chapitre I, ont été réalisées en intégrant les personnes présumées hétérosexuelles à la catégorie « Hétéro » puis en les dissociant. Cette distinction ne laisse pas voir de différence significative. </w:t>
      </w:r>
    </w:p>
  </w:footnote>
  <w:footnote w:id="9">
    <w:p w14:paraId="6FB43A10" w14:textId="77777777" w:rsidR="00E2476B" w:rsidRPr="000A3AB6" w:rsidRDefault="00E2476B" w:rsidP="00E2476B">
      <w:pPr>
        <w:pStyle w:val="Notedebasdepage"/>
      </w:pPr>
      <w:r w:rsidRPr="000A3AB6">
        <w:rPr>
          <w:rStyle w:val="Caractresdenotedebasdepage"/>
        </w:rPr>
        <w:footnoteRef/>
      </w:r>
      <w:r w:rsidRPr="000A3AB6">
        <w:t xml:space="preserve"> Enquête sur la vie affective et sexuelle des jeunes adultes, 2022-2023, Ined. </w:t>
      </w:r>
    </w:p>
  </w:footnote>
  <w:footnote w:id="10">
    <w:p w14:paraId="70247DEE" w14:textId="77777777" w:rsidR="00E2476B" w:rsidRDefault="00E2476B" w:rsidP="00E2476B">
      <w:pPr>
        <w:pStyle w:val="Notedebasdepage"/>
      </w:pPr>
      <w:r w:rsidRPr="000A3AB6">
        <w:rPr>
          <w:rStyle w:val="Caractresdenotedebasdepage"/>
        </w:rPr>
        <w:footnoteRef/>
      </w:r>
      <w:r w:rsidRPr="000A3AB6">
        <w:t xml:space="preserve"> Etude des parcours individuels et conjugaux, 2013 – 2014, Ined-Insee.</w:t>
      </w:r>
      <w:r>
        <w:t xml:space="preserve"> </w:t>
      </w:r>
    </w:p>
  </w:footnote>
  <w:footnote w:id="11">
    <w:p w14:paraId="4300190F" w14:textId="77777777" w:rsidR="00E2476B" w:rsidRDefault="00E2476B" w:rsidP="00E2476B">
      <w:pPr>
        <w:pStyle w:val="Notedebasdepage"/>
      </w:pPr>
      <w:r>
        <w:rPr>
          <w:rStyle w:val="Caractresdenotedebasdepage"/>
        </w:rPr>
        <w:footnoteRef/>
      </w:r>
      <w:r>
        <w:t xml:space="preserve"> Enquête « rapport au sexe » (ERAS), 2023, Santé Publique France. </w:t>
      </w:r>
    </w:p>
  </w:footnote>
  <w:footnote w:id="12">
    <w:p w14:paraId="75CE2931" w14:textId="77777777" w:rsidR="00E2476B" w:rsidRDefault="00E2476B" w:rsidP="00E2476B">
      <w:pPr>
        <w:pStyle w:val="Notedebasdepage"/>
      </w:pPr>
      <w:r>
        <w:rPr>
          <w:rStyle w:val="Caractresdenotedebasdepage"/>
        </w:rPr>
        <w:footnoteRef/>
      </w:r>
      <w:r>
        <w:t xml:space="preserve"> Les pourcentages y sont différents du tableau 2b de l’article de Mathieu Trachman et Tania Lejbowicz en raison de la variable prise en compte : nous prenons ici les personnes ayant été en couple de plus de quatre mois dans les douze derniers mois tandis que l’article prend les personnes en couple au moment de l’enquête.</w:t>
      </w:r>
    </w:p>
  </w:footnote>
  <w:footnote w:id="13">
    <w:p w14:paraId="010F275A" w14:textId="77777777" w:rsidR="00E2476B" w:rsidRDefault="00E2476B" w:rsidP="00E2476B">
      <w:pPr>
        <w:pStyle w:val="Notedebasdepage"/>
      </w:pPr>
      <w:r>
        <w:rPr>
          <w:rStyle w:val="Caractresdenotedebasdepage"/>
        </w:rPr>
        <w:footnoteRef/>
      </w:r>
      <w:r>
        <w:t xml:space="preserve"> C’est la modalité 30 - 39 ans qui a été choisie comme modalité de référence du fait de la présence de beaucoup d’étudiant·es dans la première catégorie ainsi que de son effectif plus petit.</w:t>
      </w:r>
    </w:p>
  </w:footnote>
  <w:footnote w:id="14">
    <w:p w14:paraId="3D656690" w14:textId="77777777" w:rsidR="00E2476B" w:rsidRDefault="00E2476B" w:rsidP="00E2476B">
      <w:pPr>
        <w:pStyle w:val="Notedebasdepage"/>
      </w:pPr>
      <w:r>
        <w:rPr>
          <w:rStyle w:val="Caractresdenotedebasdepage"/>
        </w:rPr>
        <w:footnoteRef/>
      </w:r>
      <w:r>
        <w:t xml:space="preserve"> Le champ, en couple de plus de quatre mois au cours des douze derniers mois, inclue des personnes dont la relation s’est terminée récemment. Ce qui explique les cas « pas en couple » dans la variable de statut conjugal au moment de l’enquête. </w:t>
      </w:r>
    </w:p>
  </w:footnote>
  <w:footnote w:id="15">
    <w:p w14:paraId="3D5CE391" w14:textId="77777777" w:rsidR="00E2476B" w:rsidRDefault="00E2476B" w:rsidP="00E2476B">
      <w:pPr>
        <w:pStyle w:val="Textbody"/>
        <w:rPr>
          <w:sz w:val="16"/>
          <w:szCs w:val="16"/>
        </w:rPr>
      </w:pPr>
      <w:r>
        <w:rPr>
          <w:rStyle w:val="Appelnotedebasdep"/>
        </w:rPr>
        <w:footnoteRef/>
      </w:r>
      <w:r>
        <w:rPr>
          <w:sz w:val="18"/>
          <w:szCs w:val="18"/>
        </w:rPr>
        <w:t>Les questions présentées dans le Tableau 6 sont posées à l'ensemble des répondant·es alors que nous nous intéressons aux modes de sociabilités des personnes en couple.</w:t>
      </w:r>
    </w:p>
  </w:footnote>
  <w:footnote w:id="16">
    <w:p w14:paraId="2F93000D" w14:textId="77777777" w:rsidR="00E2476B" w:rsidRDefault="00E2476B" w:rsidP="00E2476B">
      <w:pPr>
        <w:pStyle w:val="Footnote"/>
        <w:jc w:val="both"/>
      </w:pPr>
      <w:r>
        <w:rPr>
          <w:rStyle w:val="Appelnotedebasdep"/>
        </w:rPr>
        <w:footnoteRef/>
      </w:r>
      <w:r>
        <w:t>Certaines questions sont filtrées sur une base plus petite (couples cohabitants, avec enfants, en emploi…) expliquant des effectifs non correspondant au total indiqué par groupe.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22FB"/>
    <w:multiLevelType w:val="multilevel"/>
    <w:tmpl w:val="7A5C91EE"/>
    <w:styleLink w:val="WWNum5"/>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E621F4"/>
    <w:multiLevelType w:val="multilevel"/>
    <w:tmpl w:val="A7D42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448C8"/>
    <w:multiLevelType w:val="multilevel"/>
    <w:tmpl w:val="BD064518"/>
    <w:styleLink w:val="Pasdelist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1918703F"/>
    <w:multiLevelType w:val="multilevel"/>
    <w:tmpl w:val="D9F89E7C"/>
    <w:styleLink w:val="WWNum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F85452"/>
    <w:multiLevelType w:val="multilevel"/>
    <w:tmpl w:val="4C641082"/>
    <w:styleLink w:val="WWNum12"/>
    <w:lvl w:ilvl="0">
      <w:numFmt w:val="bullet"/>
      <w:lvlText w:val="-"/>
      <w:lvlJc w:val="left"/>
      <w:pPr>
        <w:ind w:left="720" w:hanging="360"/>
      </w:pPr>
      <w:rPr>
        <w:rFonts w:ascii="Aptos" w:eastAsia="Aptos" w:hAnsi="Aptos" w:cs="Times New Roman"/>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5" w15:restartNumberingAfterBreak="0">
    <w:nsid w:val="2D025715"/>
    <w:multiLevelType w:val="multilevel"/>
    <w:tmpl w:val="EE7A3C82"/>
    <w:styleLink w:val="WWNum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681ADE"/>
    <w:multiLevelType w:val="multilevel"/>
    <w:tmpl w:val="FBF0EFCC"/>
    <w:styleLink w:val="WWNum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205A88"/>
    <w:multiLevelType w:val="multilevel"/>
    <w:tmpl w:val="C3A2CF0A"/>
    <w:styleLink w:val="WWNum14"/>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9C86C3B"/>
    <w:multiLevelType w:val="multilevel"/>
    <w:tmpl w:val="B84C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D0DFB"/>
    <w:multiLevelType w:val="multilevel"/>
    <w:tmpl w:val="1AA0D928"/>
    <w:styleLink w:val="WWNum8"/>
    <w:lvl w:ilvl="0">
      <w:numFmt w:val="bullet"/>
      <w:lvlText w:val=""/>
      <w:lvlJc w:val="left"/>
      <w:pPr>
        <w:ind w:left="720" w:hanging="360"/>
      </w:pPr>
      <w:rPr>
        <w:rFonts w:ascii="Aptos" w:hAnsi="Aptos"/>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0" w15:restartNumberingAfterBreak="0">
    <w:nsid w:val="3E16180B"/>
    <w:multiLevelType w:val="multilevel"/>
    <w:tmpl w:val="43B2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716EA"/>
    <w:multiLevelType w:val="multilevel"/>
    <w:tmpl w:val="9F40C186"/>
    <w:styleLink w:val="WWNum3"/>
    <w:lvl w:ilvl="0">
      <w:numFmt w:val="bullet"/>
      <w:lvlText w:val=""/>
      <w:lvlJc w:val="left"/>
      <w:pPr>
        <w:ind w:left="720" w:hanging="360"/>
      </w:pPr>
      <w:rPr>
        <w:rFonts w:ascii="Aptos" w:hAnsi="Aptos"/>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2" w15:restartNumberingAfterBreak="0">
    <w:nsid w:val="41BE5BA0"/>
    <w:multiLevelType w:val="multilevel"/>
    <w:tmpl w:val="C5F2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23CB5"/>
    <w:multiLevelType w:val="multilevel"/>
    <w:tmpl w:val="43B87C34"/>
    <w:styleLink w:val="WWNum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19C20FE"/>
    <w:multiLevelType w:val="hybridMultilevel"/>
    <w:tmpl w:val="5566B9E6"/>
    <w:lvl w:ilvl="0" w:tplc="18725752">
      <w:start w:val="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A401897"/>
    <w:multiLevelType w:val="multilevel"/>
    <w:tmpl w:val="1094525C"/>
    <w:styleLink w:val="WWNum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A8A719B"/>
    <w:multiLevelType w:val="multilevel"/>
    <w:tmpl w:val="2B8E75A4"/>
    <w:styleLink w:val="WWNum2"/>
    <w:lvl w:ilvl="0">
      <w:start w:val="1"/>
      <w:numFmt w:val="decimal"/>
      <w:lvlText w:val="%1."/>
      <w:lvlJc w:val="left"/>
      <w:pPr>
        <w:ind w:left="720" w:hanging="360"/>
      </w:p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Aptos" w:hAnsi="Aptos"/>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Aptos" w:hAnsi="Aptos"/>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7" w15:restartNumberingAfterBreak="0">
    <w:nsid w:val="6CD6278E"/>
    <w:multiLevelType w:val="multilevel"/>
    <w:tmpl w:val="5CD03316"/>
    <w:styleLink w:val="WWNum4"/>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D5638F5"/>
    <w:multiLevelType w:val="multilevel"/>
    <w:tmpl w:val="BFD865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2D93ECD"/>
    <w:multiLevelType w:val="multilevel"/>
    <w:tmpl w:val="DF1EFFF2"/>
    <w:styleLink w:val="WWNum7"/>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53720C6"/>
    <w:multiLevelType w:val="multilevel"/>
    <w:tmpl w:val="FC445640"/>
    <w:styleLink w:val="Aucuneliste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76C815DE"/>
    <w:multiLevelType w:val="hybridMultilevel"/>
    <w:tmpl w:val="222C4DD4"/>
    <w:lvl w:ilvl="0" w:tplc="16E22B9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97722BC"/>
    <w:multiLevelType w:val="multilevel"/>
    <w:tmpl w:val="6D8E834E"/>
    <w:styleLink w:val="WWNum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E137610"/>
    <w:multiLevelType w:val="multilevel"/>
    <w:tmpl w:val="2CEA9920"/>
    <w:styleLink w:val="WWNum1"/>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EF844A4"/>
    <w:multiLevelType w:val="multilevel"/>
    <w:tmpl w:val="179C01E8"/>
    <w:styleLink w:val="WWNum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1"/>
  </w:num>
  <w:num w:numId="3">
    <w:abstractNumId w:val="12"/>
  </w:num>
  <w:num w:numId="4">
    <w:abstractNumId w:val="10"/>
  </w:num>
  <w:num w:numId="5">
    <w:abstractNumId w:val="8"/>
  </w:num>
  <w:num w:numId="6">
    <w:abstractNumId w:val="20"/>
  </w:num>
  <w:num w:numId="7">
    <w:abstractNumId w:val="2"/>
  </w:num>
  <w:num w:numId="8">
    <w:abstractNumId w:val="23"/>
  </w:num>
  <w:num w:numId="9">
    <w:abstractNumId w:val="16"/>
  </w:num>
  <w:num w:numId="10">
    <w:abstractNumId w:val="11"/>
  </w:num>
  <w:num w:numId="11">
    <w:abstractNumId w:val="17"/>
  </w:num>
  <w:num w:numId="12">
    <w:abstractNumId w:val="0"/>
  </w:num>
  <w:num w:numId="13">
    <w:abstractNumId w:val="22"/>
  </w:num>
  <w:num w:numId="14">
    <w:abstractNumId w:val="19"/>
  </w:num>
  <w:num w:numId="15">
    <w:abstractNumId w:val="9"/>
  </w:num>
  <w:num w:numId="16">
    <w:abstractNumId w:val="5"/>
  </w:num>
  <w:num w:numId="17">
    <w:abstractNumId w:val="15"/>
  </w:num>
  <w:num w:numId="18">
    <w:abstractNumId w:val="24"/>
  </w:num>
  <w:num w:numId="19">
    <w:abstractNumId w:val="4"/>
  </w:num>
  <w:num w:numId="20">
    <w:abstractNumId w:val="13"/>
  </w:num>
  <w:num w:numId="21">
    <w:abstractNumId w:val="7"/>
  </w:num>
  <w:num w:numId="22">
    <w:abstractNumId w:val="3"/>
  </w:num>
  <w:num w:numId="23">
    <w:abstractNumId w:val="6"/>
  </w:num>
  <w:num w:numId="24">
    <w:abstractNumId w:val="23"/>
    <w:lvlOverride w:ilvl="0">
      <w:startOverride w:val="1"/>
    </w:lvlOverride>
  </w:num>
  <w:num w:numId="25">
    <w:abstractNumId w:val="19"/>
    <w:lvlOverride w:ilvl="0">
      <w:startOverride w:val="2"/>
    </w:lvlOverride>
  </w:num>
  <w:num w:numId="26">
    <w:abstractNumId w:val="13"/>
    <w:lvlOverride w:ilvl="0">
      <w:startOverride w:val="1"/>
    </w:lvlOverride>
  </w:num>
  <w:num w:numId="27">
    <w:abstractNumId w:val="6"/>
    <w:lvlOverride w:ilvl="0">
      <w:startOverride w:val="1"/>
    </w:lvlOverride>
  </w:num>
  <w:num w:numId="28">
    <w:abstractNumId w:val="3"/>
    <w:lvlOverride w:ilvl="0">
      <w:startOverride w:val="1"/>
    </w:lvlOverride>
  </w:num>
  <w:num w:numId="29">
    <w:abstractNumId w:val="7"/>
    <w:lvlOverride w:ilvl="0">
      <w:startOverride w:val="1"/>
    </w:lvlOverride>
  </w:num>
  <w:num w:numId="30">
    <w:abstractNumId w:val="21"/>
  </w:num>
  <w:num w:numId="3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ISA LEMOINE">
    <w15:presenceInfo w15:providerId="AD" w15:userId="S-1-5-21-318910081-1125722703-1235820382-325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autoHyphenation/>
  <w:hyphenationZone w:val="0"/>
  <w:characterSpacingControl w:val="doNotCompress"/>
  <w:hdrShapeDefaults>
    <o:shapedefaults v:ext="edit" spidmax="204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473F2D"/>
    <w:rsid w:val="0000365D"/>
    <w:rsid w:val="00003776"/>
    <w:rsid w:val="00015523"/>
    <w:rsid w:val="000452A3"/>
    <w:rsid w:val="00073297"/>
    <w:rsid w:val="00083B9B"/>
    <w:rsid w:val="000A28BF"/>
    <w:rsid w:val="000A3AB6"/>
    <w:rsid w:val="000F0571"/>
    <w:rsid w:val="00101CA5"/>
    <w:rsid w:val="001033AA"/>
    <w:rsid w:val="00103647"/>
    <w:rsid w:val="001112BE"/>
    <w:rsid w:val="001160F0"/>
    <w:rsid w:val="00133090"/>
    <w:rsid w:val="00144FD7"/>
    <w:rsid w:val="00195121"/>
    <w:rsid w:val="001B056D"/>
    <w:rsid w:val="001B3667"/>
    <w:rsid w:val="00221430"/>
    <w:rsid w:val="002525AA"/>
    <w:rsid w:val="002C3D4F"/>
    <w:rsid w:val="002D36EE"/>
    <w:rsid w:val="002D488C"/>
    <w:rsid w:val="00340BB7"/>
    <w:rsid w:val="0036567F"/>
    <w:rsid w:val="00377AD5"/>
    <w:rsid w:val="00377E7D"/>
    <w:rsid w:val="00391A1C"/>
    <w:rsid w:val="003B083A"/>
    <w:rsid w:val="00424AA7"/>
    <w:rsid w:val="00442C6F"/>
    <w:rsid w:val="00473F2D"/>
    <w:rsid w:val="00483A49"/>
    <w:rsid w:val="004E3956"/>
    <w:rsid w:val="004E6594"/>
    <w:rsid w:val="00507BE6"/>
    <w:rsid w:val="00531E6F"/>
    <w:rsid w:val="00536F93"/>
    <w:rsid w:val="00555E0C"/>
    <w:rsid w:val="00577240"/>
    <w:rsid w:val="00595554"/>
    <w:rsid w:val="005B5A7B"/>
    <w:rsid w:val="005B7AB6"/>
    <w:rsid w:val="005D60B4"/>
    <w:rsid w:val="00620D86"/>
    <w:rsid w:val="00621282"/>
    <w:rsid w:val="00624346"/>
    <w:rsid w:val="0069161D"/>
    <w:rsid w:val="006D78C4"/>
    <w:rsid w:val="00712C8F"/>
    <w:rsid w:val="00716D87"/>
    <w:rsid w:val="0073149E"/>
    <w:rsid w:val="00734292"/>
    <w:rsid w:val="00777584"/>
    <w:rsid w:val="007A2B53"/>
    <w:rsid w:val="007E6527"/>
    <w:rsid w:val="00834B5C"/>
    <w:rsid w:val="00841895"/>
    <w:rsid w:val="00891A31"/>
    <w:rsid w:val="008A44B5"/>
    <w:rsid w:val="008F47E0"/>
    <w:rsid w:val="00915800"/>
    <w:rsid w:val="00924907"/>
    <w:rsid w:val="00942876"/>
    <w:rsid w:val="009727C1"/>
    <w:rsid w:val="009F5A92"/>
    <w:rsid w:val="00A0279A"/>
    <w:rsid w:val="00A1293F"/>
    <w:rsid w:val="00A15216"/>
    <w:rsid w:val="00A3762D"/>
    <w:rsid w:val="00AA4149"/>
    <w:rsid w:val="00AE1280"/>
    <w:rsid w:val="00B12EA7"/>
    <w:rsid w:val="00B27BBC"/>
    <w:rsid w:val="00B30EBD"/>
    <w:rsid w:val="00B35822"/>
    <w:rsid w:val="00B531C4"/>
    <w:rsid w:val="00B73B56"/>
    <w:rsid w:val="00B76678"/>
    <w:rsid w:val="00BC1909"/>
    <w:rsid w:val="00BF1015"/>
    <w:rsid w:val="00BF2C03"/>
    <w:rsid w:val="00BF3B84"/>
    <w:rsid w:val="00C15862"/>
    <w:rsid w:val="00CB22EB"/>
    <w:rsid w:val="00CE65EB"/>
    <w:rsid w:val="00CF132D"/>
    <w:rsid w:val="00D330B9"/>
    <w:rsid w:val="00D3611F"/>
    <w:rsid w:val="00DA72A1"/>
    <w:rsid w:val="00DD05EA"/>
    <w:rsid w:val="00E11B75"/>
    <w:rsid w:val="00E2476B"/>
    <w:rsid w:val="00E90BC1"/>
    <w:rsid w:val="00EA5690"/>
    <w:rsid w:val="00EE42F2"/>
    <w:rsid w:val="00F02EC2"/>
    <w:rsid w:val="00F1581A"/>
    <w:rsid w:val="00F40B14"/>
    <w:rsid w:val="00F420D3"/>
    <w:rsid w:val="00F54FAA"/>
    <w:rsid w:val="00F710AB"/>
    <w:rsid w:val="00F73875"/>
    <w:rsid w:val="00FA0058"/>
    <w:rsid w:val="00FB6B76"/>
    <w:rsid w:val="00FC166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EDD465"/>
  <w15:docId w15:val="{6DDF9596-ACD2-4220-9EF1-36943A2EC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nhideWhenUsed="1"/>
    <w:lsdException w:name="Smart Link" w:semiHidden="1" w:uiPriority="99" w:unhideWhenUsed="1"/>
  </w:latentStyles>
  <w:style w:type="paragraph" w:default="1" w:styleId="Normal">
    <w:name w:val="Normal"/>
    <w:qFormat/>
    <w:pPr>
      <w:spacing w:after="200"/>
    </w:pPr>
  </w:style>
  <w:style w:type="paragraph" w:styleId="Titre1">
    <w:name w:val="heading 1"/>
    <w:basedOn w:val="Normal"/>
    <w:next w:val="Corpsdetexte"/>
    <w:link w:val="Titre1Car"/>
    <w:uiPriority w:val="9"/>
    <w:qFormat/>
    <w:rsid w:val="00E25CD1"/>
    <w:pPr>
      <w:keepNext/>
      <w:keepLines/>
      <w:spacing w:before="360" w:after="80"/>
      <w:outlineLvl w:val="0"/>
    </w:pPr>
    <w:rPr>
      <w:rFonts w:ascii="Times New Roman" w:eastAsiaTheme="majorEastAsia" w:hAnsi="Times New Roman" w:cs="Times New Roman"/>
      <w:color w:val="0F4761" w:themeColor="accent1" w:themeShade="BF"/>
      <w:sz w:val="40"/>
      <w:szCs w:val="40"/>
    </w:rPr>
  </w:style>
  <w:style w:type="paragraph" w:styleId="Titre2">
    <w:name w:val="heading 2"/>
    <w:basedOn w:val="Normal"/>
    <w:next w:val="Corpsdetexte"/>
    <w:link w:val="Titre2Car"/>
    <w:uiPriority w:val="9"/>
    <w:unhideWhenUsed/>
    <w:qFormat/>
    <w:rsid w:val="00E25CD1"/>
    <w:pPr>
      <w:keepNext/>
      <w:keepLines/>
      <w:spacing w:before="160" w:after="80"/>
      <w:outlineLvl w:val="1"/>
    </w:pPr>
    <w:rPr>
      <w:rFonts w:ascii="Times New Roman" w:eastAsiaTheme="majorEastAsia" w:hAnsi="Times New Roman" w:cs="Times New Roman"/>
      <w:color w:val="0F4761" w:themeColor="accent1" w:themeShade="BF"/>
      <w:sz w:val="32"/>
      <w:szCs w:val="32"/>
    </w:rPr>
  </w:style>
  <w:style w:type="paragraph" w:styleId="Titre3">
    <w:name w:val="heading 3"/>
    <w:basedOn w:val="Normal"/>
    <w:next w:val="Corpsdetexte"/>
    <w:link w:val="Titre3Car"/>
    <w:uiPriority w:val="9"/>
    <w:unhideWhenUsed/>
    <w:qFormat/>
    <w:rsid w:val="00E25CD1"/>
    <w:pPr>
      <w:keepNext/>
      <w:keepLines/>
      <w:spacing w:before="160" w:after="80"/>
      <w:outlineLvl w:val="2"/>
    </w:pPr>
    <w:rPr>
      <w:rFonts w:ascii="Times New Roman" w:eastAsiaTheme="majorEastAsia" w:hAnsi="Times New Roman" w:cs="Times New Roman"/>
      <w:color w:val="0F4761" w:themeColor="accent1" w:themeShade="BF"/>
      <w:sz w:val="28"/>
      <w:szCs w:val="28"/>
    </w:rPr>
  </w:style>
  <w:style w:type="paragraph" w:styleId="Titre4">
    <w:name w:val="heading 4"/>
    <w:basedOn w:val="Normal"/>
    <w:next w:val="Corpsdetexte"/>
    <w:link w:val="Titre4Car"/>
    <w:uiPriority w:val="9"/>
    <w:unhideWhenUsed/>
    <w:qFormat/>
    <w:rsid w:val="00E25CD1"/>
    <w:pPr>
      <w:keepNext/>
      <w:keepLines/>
      <w:spacing w:before="80" w:after="40"/>
      <w:outlineLvl w:val="3"/>
    </w:pPr>
    <w:rPr>
      <w:rFonts w:ascii="Times New Roman" w:eastAsiaTheme="majorEastAsia" w:hAnsi="Times New Roman" w:cs="Times New Roman"/>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Car">
    <w:name w:val="Titre Car"/>
    <w:basedOn w:val="Policepardfaut"/>
    <w:link w:val="Titre"/>
    <w:qFormat/>
    <w:rsid w:val="00A10FD9"/>
    <w:rPr>
      <w:rFonts w:asciiTheme="majorHAnsi" w:eastAsiaTheme="majorEastAsia" w:hAnsiTheme="majorHAnsi" w:cstheme="majorBidi"/>
      <w:sz w:val="56"/>
      <w:szCs w:val="56"/>
    </w:rPr>
  </w:style>
  <w:style w:type="character" w:customStyle="1" w:styleId="Sous-titreCar">
    <w:name w:val="Sous-titre Car"/>
    <w:basedOn w:val="Policepardfaut"/>
    <w:link w:val="Sous-titre"/>
    <w:qFormat/>
    <w:rsid w:val="00A10FD9"/>
    <w:rPr>
      <w:rFonts w:eastAsiaTheme="majorEastAsia" w:cstheme="majorBidi"/>
      <w:color w:val="595959" w:themeColor="text1" w:themeTint="A6"/>
      <w:spacing w:val="15"/>
      <w:sz w:val="28"/>
      <w:szCs w:val="28"/>
    </w:rPr>
  </w:style>
  <w:style w:type="character" w:customStyle="1" w:styleId="Titre1Car">
    <w:name w:val="Titre 1 Car"/>
    <w:basedOn w:val="Policepardfaut"/>
    <w:link w:val="Titre1"/>
    <w:qFormat/>
    <w:rsid w:val="00E25CD1"/>
    <w:rPr>
      <w:rFonts w:ascii="Times New Roman" w:eastAsiaTheme="majorEastAsia" w:hAnsi="Times New Roman" w:cs="Times New Roman"/>
      <w:color w:val="0F4761" w:themeColor="accent1" w:themeShade="BF"/>
      <w:sz w:val="40"/>
      <w:szCs w:val="40"/>
    </w:rPr>
  </w:style>
  <w:style w:type="character" w:customStyle="1" w:styleId="Titre2Car">
    <w:name w:val="Titre 2 Car"/>
    <w:basedOn w:val="Policepardfaut"/>
    <w:link w:val="Titre2"/>
    <w:qFormat/>
    <w:rsid w:val="00E25CD1"/>
    <w:rPr>
      <w:rFonts w:ascii="Times New Roman" w:eastAsiaTheme="majorEastAsia" w:hAnsi="Times New Roman" w:cs="Times New Roman"/>
      <w:color w:val="0F4761" w:themeColor="accent1" w:themeShade="BF"/>
      <w:sz w:val="32"/>
      <w:szCs w:val="32"/>
    </w:rPr>
  </w:style>
  <w:style w:type="character" w:customStyle="1" w:styleId="Titre3Car">
    <w:name w:val="Titre 3 Car"/>
    <w:basedOn w:val="Policepardfaut"/>
    <w:link w:val="Titre3"/>
    <w:qFormat/>
    <w:rsid w:val="00E25CD1"/>
    <w:rPr>
      <w:rFonts w:ascii="Times New Roman" w:eastAsiaTheme="majorEastAsia" w:hAnsi="Times New Roman" w:cs="Times New Roman"/>
      <w:color w:val="0F4761" w:themeColor="accent1" w:themeShade="BF"/>
      <w:sz w:val="28"/>
      <w:szCs w:val="28"/>
    </w:rPr>
  </w:style>
  <w:style w:type="character" w:customStyle="1" w:styleId="Titre4Car">
    <w:name w:val="Titre 4 Car"/>
    <w:basedOn w:val="Policepardfaut"/>
    <w:link w:val="Titre4"/>
    <w:qFormat/>
    <w:rsid w:val="00E25CD1"/>
    <w:rPr>
      <w:rFonts w:ascii="Times New Roman" w:eastAsiaTheme="majorEastAsia" w:hAnsi="Times New Roman" w:cs="Times New Roman"/>
      <w:i/>
      <w:iCs/>
      <w:color w:val="0F4761" w:themeColor="accent1" w:themeShade="BF"/>
    </w:rPr>
  </w:style>
  <w:style w:type="character" w:customStyle="1" w:styleId="Titre5Car">
    <w:name w:val="Titre 5 Car"/>
    <w:basedOn w:val="Policepardfaut"/>
    <w:link w:val="Titre5"/>
    <w:qFormat/>
    <w:rsid w:val="00A10FD9"/>
    <w:rPr>
      <w:rFonts w:eastAsiaTheme="majorEastAsia" w:cstheme="majorBidi"/>
      <w:color w:val="0F4761" w:themeColor="accent1" w:themeShade="BF"/>
    </w:rPr>
  </w:style>
  <w:style w:type="character" w:customStyle="1" w:styleId="Titre6Car">
    <w:name w:val="Titre 6 Car"/>
    <w:basedOn w:val="Policepardfaut"/>
    <w:link w:val="Titre6"/>
    <w:qFormat/>
    <w:rsid w:val="00A10FD9"/>
    <w:rPr>
      <w:rFonts w:eastAsiaTheme="majorEastAsia" w:cstheme="majorBidi"/>
      <w:i/>
      <w:iCs/>
      <w:color w:val="595959" w:themeColor="text1" w:themeTint="A6"/>
    </w:rPr>
  </w:style>
  <w:style w:type="character" w:customStyle="1" w:styleId="Titre7Car">
    <w:name w:val="Titre 7 Car"/>
    <w:basedOn w:val="Policepardfaut"/>
    <w:link w:val="Titre7"/>
    <w:qFormat/>
    <w:rsid w:val="00A10FD9"/>
    <w:rPr>
      <w:rFonts w:eastAsiaTheme="majorEastAsia" w:cstheme="majorBidi"/>
      <w:color w:val="595959" w:themeColor="text1" w:themeTint="A6"/>
    </w:rPr>
  </w:style>
  <w:style w:type="character" w:customStyle="1" w:styleId="Titre8Car">
    <w:name w:val="Titre 8 Car"/>
    <w:basedOn w:val="Policepardfaut"/>
    <w:link w:val="Titre8"/>
    <w:qFormat/>
    <w:rsid w:val="00A10FD9"/>
    <w:rPr>
      <w:rFonts w:eastAsiaTheme="majorEastAsia" w:cstheme="majorBidi"/>
      <w:i/>
      <w:iCs/>
      <w:color w:val="272727" w:themeColor="text1" w:themeTint="D8"/>
    </w:rPr>
  </w:style>
  <w:style w:type="character" w:customStyle="1" w:styleId="Titre9Car">
    <w:name w:val="Titre 9 Car"/>
    <w:basedOn w:val="Policepardfaut"/>
    <w:link w:val="Titre9"/>
    <w:qFormat/>
    <w:rsid w:val="00A10FD9"/>
    <w:rPr>
      <w:rFonts w:eastAsiaTheme="majorEastAsia" w:cstheme="majorBidi"/>
      <w:color w:val="272727" w:themeColor="text1" w:themeTint="D8"/>
    </w:rPr>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SectionNumber">
    <w:name w:val="Section Number"/>
    <w:basedOn w:val="LgendeCar"/>
    <w:qFormat/>
  </w:style>
  <w:style w:type="character" w:customStyle="1" w:styleId="Caractresdenotedebasdepage">
    <w:name w:val="Caractères de note de bas de page"/>
    <w:qFormat/>
    <w:rPr>
      <w:vertAlign w:val="superscript"/>
    </w:rPr>
  </w:style>
  <w:style w:type="character" w:customStyle="1" w:styleId="Caractresdenotedebasdepageuser">
    <w:name w:val="Caractères de note de bas de page (user)"/>
    <w:qFormat/>
    <w:rPr>
      <w:vertAlign w:val="superscript"/>
    </w:rPr>
  </w:style>
  <w:style w:type="character" w:styleId="Appelnotedebasdep">
    <w:name w:val="footnote reference"/>
    <w:uiPriority w:val="99"/>
    <w:rPr>
      <w:vertAlign w:val="superscript"/>
    </w:rPr>
  </w:style>
  <w:style w:type="character" w:styleId="Lienhypertexte">
    <w:name w:val="Hyperlink"/>
    <w:basedOn w:val="LgendeCar"/>
    <w:uiPriority w:val="99"/>
    <w:rPr>
      <w:color w:val="156082" w:themeColor="accent1"/>
    </w:rPr>
  </w:style>
  <w:style w:type="character" w:customStyle="1" w:styleId="KeywordTok">
    <w:name w:val="KeywordTok"/>
    <w:basedOn w:val="VerbatimChar"/>
    <w:qFormat/>
    <w:rPr>
      <w:rFonts w:ascii="Consolas" w:hAnsi="Consolas"/>
      <w:b/>
      <w:color w:val="003B4F"/>
      <w:sz w:val="22"/>
      <w:shd w:val="clear" w:color="auto" w:fill="F1F3F5"/>
    </w:rPr>
  </w:style>
  <w:style w:type="character" w:customStyle="1" w:styleId="DataTypeTok">
    <w:name w:val="DataTypeTok"/>
    <w:basedOn w:val="VerbatimChar"/>
    <w:qFormat/>
    <w:rPr>
      <w:rFonts w:ascii="Consolas" w:hAnsi="Consolas"/>
      <w:color w:val="AD0000"/>
      <w:sz w:val="22"/>
      <w:shd w:val="clear" w:color="auto" w:fill="F1F3F5"/>
    </w:rPr>
  </w:style>
  <w:style w:type="character" w:customStyle="1" w:styleId="DecValTok">
    <w:name w:val="DecValTok"/>
    <w:basedOn w:val="VerbatimChar"/>
    <w:qFormat/>
    <w:rPr>
      <w:rFonts w:ascii="Consolas" w:hAnsi="Consolas"/>
      <w:color w:val="AD0000"/>
      <w:sz w:val="22"/>
      <w:shd w:val="clear" w:color="auto" w:fill="F1F3F5"/>
    </w:rPr>
  </w:style>
  <w:style w:type="character" w:customStyle="1" w:styleId="BaseNTok">
    <w:name w:val="BaseNTok"/>
    <w:basedOn w:val="VerbatimChar"/>
    <w:qFormat/>
    <w:rPr>
      <w:rFonts w:ascii="Consolas" w:hAnsi="Consolas"/>
      <w:color w:val="AD0000"/>
      <w:sz w:val="22"/>
      <w:shd w:val="clear" w:color="auto" w:fill="F1F3F5"/>
    </w:rPr>
  </w:style>
  <w:style w:type="character" w:customStyle="1" w:styleId="FloatTok">
    <w:name w:val="FloatTok"/>
    <w:basedOn w:val="VerbatimChar"/>
    <w:qFormat/>
    <w:rPr>
      <w:rFonts w:ascii="Consolas" w:hAnsi="Consolas"/>
      <w:color w:val="AD0000"/>
      <w:sz w:val="22"/>
      <w:shd w:val="clear" w:color="auto" w:fill="F1F3F5"/>
    </w:rPr>
  </w:style>
  <w:style w:type="character" w:customStyle="1" w:styleId="ConstantTok">
    <w:name w:val="ConstantTok"/>
    <w:basedOn w:val="VerbatimChar"/>
    <w:qFormat/>
    <w:rPr>
      <w:rFonts w:ascii="Consolas" w:hAnsi="Consolas"/>
      <w:color w:val="8F5902"/>
      <w:sz w:val="22"/>
      <w:shd w:val="clear" w:color="auto" w:fill="F1F3F5"/>
    </w:rPr>
  </w:style>
  <w:style w:type="character" w:customStyle="1" w:styleId="CharTok">
    <w:name w:val="CharTok"/>
    <w:basedOn w:val="VerbatimChar"/>
    <w:qFormat/>
    <w:rPr>
      <w:rFonts w:ascii="Consolas" w:hAnsi="Consolas"/>
      <w:color w:val="20794D"/>
      <w:sz w:val="22"/>
      <w:shd w:val="clear" w:color="auto" w:fill="F1F3F5"/>
    </w:rPr>
  </w:style>
  <w:style w:type="character" w:customStyle="1" w:styleId="SpecialCharTok">
    <w:name w:val="SpecialCharTok"/>
    <w:basedOn w:val="VerbatimChar"/>
    <w:qFormat/>
    <w:rPr>
      <w:rFonts w:ascii="Consolas" w:hAnsi="Consolas"/>
      <w:color w:val="5E5E5E"/>
      <w:sz w:val="22"/>
      <w:shd w:val="clear" w:color="auto" w:fill="F1F3F5"/>
    </w:rPr>
  </w:style>
  <w:style w:type="character" w:customStyle="1" w:styleId="StringTok">
    <w:name w:val="StringTok"/>
    <w:basedOn w:val="VerbatimChar"/>
    <w:qFormat/>
    <w:rPr>
      <w:rFonts w:ascii="Consolas" w:hAnsi="Consolas"/>
      <w:color w:val="20794D"/>
      <w:sz w:val="22"/>
      <w:shd w:val="clear" w:color="auto" w:fill="F1F3F5"/>
    </w:rPr>
  </w:style>
  <w:style w:type="character" w:customStyle="1" w:styleId="VerbatimStringTok">
    <w:name w:val="VerbatimStringTok"/>
    <w:basedOn w:val="VerbatimChar"/>
    <w:qFormat/>
    <w:rPr>
      <w:rFonts w:ascii="Consolas" w:hAnsi="Consolas"/>
      <w:color w:val="20794D"/>
      <w:sz w:val="22"/>
      <w:shd w:val="clear" w:color="auto" w:fill="F1F3F5"/>
    </w:rPr>
  </w:style>
  <w:style w:type="character" w:customStyle="1" w:styleId="SpecialStringTok">
    <w:name w:val="SpecialStringTok"/>
    <w:basedOn w:val="VerbatimChar"/>
    <w:qFormat/>
    <w:rPr>
      <w:rFonts w:ascii="Consolas" w:hAnsi="Consolas"/>
      <w:color w:val="20794D"/>
      <w:sz w:val="22"/>
      <w:shd w:val="clear" w:color="auto" w:fill="F1F3F5"/>
    </w:rPr>
  </w:style>
  <w:style w:type="character" w:customStyle="1" w:styleId="ImportTok">
    <w:name w:val="ImportTok"/>
    <w:basedOn w:val="VerbatimChar"/>
    <w:qFormat/>
    <w:rPr>
      <w:rFonts w:ascii="Consolas" w:hAnsi="Consolas"/>
      <w:color w:val="00769E"/>
      <w:sz w:val="22"/>
      <w:shd w:val="clear" w:color="auto" w:fill="F1F3F5"/>
    </w:rPr>
  </w:style>
  <w:style w:type="character" w:customStyle="1" w:styleId="CommentTok">
    <w:name w:val="CommentTok"/>
    <w:basedOn w:val="VerbatimChar"/>
    <w:qFormat/>
    <w:rPr>
      <w:rFonts w:ascii="Consolas" w:hAnsi="Consolas"/>
      <w:color w:val="5E5E5E"/>
      <w:sz w:val="22"/>
      <w:shd w:val="clear" w:color="auto" w:fill="F1F3F5"/>
    </w:rPr>
  </w:style>
  <w:style w:type="character" w:customStyle="1" w:styleId="DocumentationTok">
    <w:name w:val="DocumentationTok"/>
    <w:basedOn w:val="VerbatimChar"/>
    <w:qFormat/>
    <w:rPr>
      <w:rFonts w:ascii="Consolas" w:hAnsi="Consolas"/>
      <w:i/>
      <w:color w:val="5E5E5E"/>
      <w:sz w:val="22"/>
      <w:shd w:val="clear" w:color="auto" w:fill="F1F3F5"/>
    </w:rPr>
  </w:style>
  <w:style w:type="character" w:customStyle="1" w:styleId="AnnotationTok">
    <w:name w:val="AnnotationTok"/>
    <w:basedOn w:val="VerbatimChar"/>
    <w:qFormat/>
    <w:rPr>
      <w:rFonts w:ascii="Consolas" w:hAnsi="Consolas"/>
      <w:color w:val="5E5E5E"/>
      <w:sz w:val="22"/>
      <w:shd w:val="clear" w:color="auto" w:fill="F1F3F5"/>
    </w:rPr>
  </w:style>
  <w:style w:type="character" w:customStyle="1" w:styleId="CommentVarTok">
    <w:name w:val="CommentVarTok"/>
    <w:basedOn w:val="VerbatimChar"/>
    <w:qFormat/>
    <w:rPr>
      <w:rFonts w:ascii="Consolas" w:hAnsi="Consolas"/>
      <w:i/>
      <w:color w:val="5E5E5E"/>
      <w:sz w:val="22"/>
      <w:shd w:val="clear" w:color="auto" w:fill="F1F3F5"/>
    </w:rPr>
  </w:style>
  <w:style w:type="character" w:customStyle="1" w:styleId="OtherTok">
    <w:name w:val="OtherTok"/>
    <w:basedOn w:val="VerbatimChar"/>
    <w:qFormat/>
    <w:rPr>
      <w:rFonts w:ascii="Consolas" w:hAnsi="Consolas"/>
      <w:color w:val="003B4F"/>
      <w:sz w:val="22"/>
      <w:shd w:val="clear" w:color="auto" w:fill="F1F3F5"/>
    </w:rPr>
  </w:style>
  <w:style w:type="character" w:customStyle="1" w:styleId="FunctionTok">
    <w:name w:val="FunctionTok"/>
    <w:basedOn w:val="VerbatimChar"/>
    <w:qFormat/>
    <w:rPr>
      <w:rFonts w:ascii="Consolas" w:hAnsi="Consolas"/>
      <w:color w:val="4758AB"/>
      <w:sz w:val="22"/>
      <w:shd w:val="clear" w:color="auto" w:fill="F1F3F5"/>
    </w:rPr>
  </w:style>
  <w:style w:type="character" w:customStyle="1" w:styleId="VariableTok">
    <w:name w:val="VariableTok"/>
    <w:basedOn w:val="VerbatimChar"/>
    <w:qFormat/>
    <w:rPr>
      <w:rFonts w:ascii="Consolas" w:hAnsi="Consolas"/>
      <w:color w:val="111111"/>
      <w:sz w:val="22"/>
      <w:shd w:val="clear" w:color="auto" w:fill="F1F3F5"/>
    </w:rPr>
  </w:style>
  <w:style w:type="character" w:customStyle="1" w:styleId="ControlFlowTok">
    <w:name w:val="ControlFlowTok"/>
    <w:basedOn w:val="VerbatimChar"/>
    <w:qFormat/>
    <w:rPr>
      <w:rFonts w:ascii="Consolas" w:hAnsi="Consolas"/>
      <w:b/>
      <w:color w:val="003B4F"/>
      <w:sz w:val="22"/>
      <w:shd w:val="clear" w:color="auto" w:fill="F1F3F5"/>
    </w:rPr>
  </w:style>
  <w:style w:type="character" w:customStyle="1" w:styleId="OperatorTok">
    <w:name w:val="OperatorTok"/>
    <w:basedOn w:val="VerbatimChar"/>
    <w:qFormat/>
    <w:rPr>
      <w:rFonts w:ascii="Consolas" w:hAnsi="Consolas"/>
      <w:color w:val="5E5E5E"/>
      <w:sz w:val="22"/>
      <w:shd w:val="clear" w:color="auto" w:fill="F1F3F5"/>
    </w:rPr>
  </w:style>
  <w:style w:type="character" w:customStyle="1" w:styleId="BuiltInTok">
    <w:name w:val="BuiltInTok"/>
    <w:basedOn w:val="VerbatimChar"/>
    <w:qFormat/>
    <w:rPr>
      <w:rFonts w:ascii="Consolas" w:hAnsi="Consolas"/>
      <w:color w:val="003B4F"/>
      <w:sz w:val="22"/>
      <w:shd w:val="clear" w:color="auto" w:fill="F1F3F5"/>
    </w:rPr>
  </w:style>
  <w:style w:type="character" w:customStyle="1" w:styleId="ExtensionTok">
    <w:name w:val="ExtensionTok"/>
    <w:basedOn w:val="VerbatimChar"/>
    <w:qFormat/>
    <w:rPr>
      <w:rFonts w:ascii="Consolas" w:hAnsi="Consolas"/>
      <w:color w:val="003B4F"/>
      <w:sz w:val="22"/>
      <w:shd w:val="clear" w:color="auto" w:fill="F1F3F5"/>
    </w:rPr>
  </w:style>
  <w:style w:type="character" w:customStyle="1" w:styleId="PreprocessorTok">
    <w:name w:val="PreprocessorTok"/>
    <w:basedOn w:val="VerbatimChar"/>
    <w:qFormat/>
    <w:rPr>
      <w:rFonts w:ascii="Consolas" w:hAnsi="Consolas"/>
      <w:color w:val="AD0000"/>
      <w:sz w:val="22"/>
      <w:shd w:val="clear" w:color="auto" w:fill="F1F3F5"/>
    </w:rPr>
  </w:style>
  <w:style w:type="character" w:customStyle="1" w:styleId="AttributeTok">
    <w:name w:val="AttributeTok"/>
    <w:basedOn w:val="VerbatimChar"/>
    <w:qFormat/>
    <w:rPr>
      <w:rFonts w:ascii="Consolas" w:hAnsi="Consolas"/>
      <w:color w:val="657422"/>
      <w:sz w:val="22"/>
      <w:shd w:val="clear" w:color="auto" w:fill="F1F3F5"/>
    </w:rPr>
  </w:style>
  <w:style w:type="character" w:customStyle="1" w:styleId="RegionMarkerTok">
    <w:name w:val="RegionMarkerTok"/>
    <w:basedOn w:val="VerbatimChar"/>
    <w:qFormat/>
    <w:rPr>
      <w:rFonts w:ascii="Consolas" w:hAnsi="Consolas"/>
      <w:color w:val="003B4F"/>
      <w:sz w:val="22"/>
      <w:shd w:val="clear" w:color="auto" w:fill="F1F3F5"/>
    </w:rPr>
  </w:style>
  <w:style w:type="character" w:customStyle="1" w:styleId="InformationTok">
    <w:name w:val="InformationTok"/>
    <w:basedOn w:val="VerbatimChar"/>
    <w:qFormat/>
    <w:rPr>
      <w:rFonts w:ascii="Consolas" w:hAnsi="Consolas"/>
      <w:color w:val="5E5E5E"/>
      <w:sz w:val="22"/>
      <w:shd w:val="clear" w:color="auto" w:fill="F1F3F5"/>
    </w:rPr>
  </w:style>
  <w:style w:type="character" w:customStyle="1" w:styleId="WarningTok">
    <w:name w:val="WarningTok"/>
    <w:basedOn w:val="VerbatimChar"/>
    <w:qFormat/>
    <w:rPr>
      <w:rFonts w:ascii="Consolas" w:hAnsi="Consolas"/>
      <w:i/>
      <w:color w:val="5E5E5E"/>
      <w:sz w:val="22"/>
      <w:shd w:val="clear" w:color="auto" w:fill="F1F3F5"/>
    </w:rPr>
  </w:style>
  <w:style w:type="character" w:customStyle="1" w:styleId="AlertTok">
    <w:name w:val="AlertTok"/>
    <w:basedOn w:val="VerbatimChar"/>
    <w:qFormat/>
    <w:rPr>
      <w:rFonts w:ascii="Consolas" w:hAnsi="Consolas"/>
      <w:color w:val="AD0000"/>
      <w:sz w:val="22"/>
      <w:shd w:val="clear" w:color="auto" w:fill="F1F3F5"/>
    </w:rPr>
  </w:style>
  <w:style w:type="character" w:customStyle="1" w:styleId="ErrorTok">
    <w:name w:val="ErrorTok"/>
    <w:basedOn w:val="VerbatimChar"/>
    <w:qFormat/>
    <w:rPr>
      <w:rFonts w:ascii="Consolas" w:hAnsi="Consolas"/>
      <w:color w:val="AD0000"/>
      <w:sz w:val="22"/>
      <w:shd w:val="clear" w:color="auto" w:fill="F1F3F5"/>
    </w:rPr>
  </w:style>
  <w:style w:type="character" w:customStyle="1" w:styleId="NormalTok">
    <w:name w:val="NormalTok"/>
    <w:basedOn w:val="VerbatimChar"/>
    <w:qFormat/>
    <w:rPr>
      <w:rFonts w:ascii="Consolas" w:hAnsi="Consolas"/>
      <w:color w:val="003B4F"/>
      <w:sz w:val="22"/>
      <w:shd w:val="clear" w:color="auto" w:fill="F1F3F5"/>
    </w:rPr>
  </w:style>
  <w:style w:type="character" w:styleId="Marquedecommentaire">
    <w:name w:val="annotation reference"/>
    <w:basedOn w:val="Policepardfaut"/>
    <w:unhideWhenUsed/>
    <w:qFormat/>
    <w:rsid w:val="001F5CE9"/>
    <w:rPr>
      <w:sz w:val="16"/>
      <w:szCs w:val="16"/>
    </w:rPr>
  </w:style>
  <w:style w:type="character" w:customStyle="1" w:styleId="CommentaireCar">
    <w:name w:val="Commentaire Car"/>
    <w:basedOn w:val="Policepardfaut"/>
    <w:qFormat/>
    <w:rsid w:val="001F5CE9"/>
    <w:rPr>
      <w:sz w:val="20"/>
      <w:szCs w:val="20"/>
    </w:rPr>
  </w:style>
  <w:style w:type="character" w:customStyle="1" w:styleId="ObjetducommentaireCar">
    <w:name w:val="Objet du commentaire Car"/>
    <w:basedOn w:val="CommentaireCar"/>
    <w:link w:val="Objetducommentaire"/>
    <w:qFormat/>
    <w:rsid w:val="001F5CE9"/>
    <w:rPr>
      <w:b/>
      <w:bCs/>
      <w:sz w:val="20"/>
      <w:szCs w:val="20"/>
    </w:rPr>
  </w:style>
  <w:style w:type="character" w:customStyle="1" w:styleId="En-tteCar">
    <w:name w:val="En-tête Car"/>
    <w:basedOn w:val="Policepardfaut"/>
    <w:link w:val="En-tte"/>
    <w:qFormat/>
    <w:rsid w:val="00BF0F64"/>
  </w:style>
  <w:style w:type="character" w:customStyle="1" w:styleId="PieddepageCar">
    <w:name w:val="Pied de page Car"/>
    <w:basedOn w:val="Policepardfaut"/>
    <w:link w:val="Pieddepage"/>
    <w:qFormat/>
    <w:rsid w:val="00BF0F64"/>
  </w:style>
  <w:style w:type="character" w:styleId="Mentionnonrsolue">
    <w:name w:val="Unresolved Mention"/>
    <w:basedOn w:val="Policepardfaut"/>
    <w:unhideWhenUsed/>
    <w:qFormat/>
    <w:rsid w:val="00AB1DA0"/>
    <w:rPr>
      <w:color w:val="605E5C"/>
      <w:shd w:val="clear" w:color="auto" w:fill="E1DFDD"/>
    </w:rPr>
  </w:style>
  <w:style w:type="character" w:customStyle="1" w:styleId="ImageCaptionCar">
    <w:name w:val="Image Caption Car"/>
    <w:basedOn w:val="LgendeCar"/>
    <w:link w:val="ImageCaption"/>
    <w:qFormat/>
    <w:rsid w:val="00AB1DA0"/>
    <w:rPr>
      <w:i/>
    </w:rPr>
  </w:style>
  <w:style w:type="character" w:customStyle="1" w:styleId="TableauCar">
    <w:name w:val="Tableau Car"/>
    <w:basedOn w:val="ImageCaptionCar"/>
    <w:link w:val="Tableau"/>
    <w:qFormat/>
    <w:rsid w:val="00AB1DA0"/>
    <w:rPr>
      <w:rFonts w:ascii="Times New Roman" w:hAnsi="Times New Roman" w:cs="Times New Roman"/>
      <w:i/>
    </w:rPr>
  </w:style>
  <w:style w:type="character" w:styleId="Lienhypertextesuivivisit">
    <w:name w:val="FollowedHyperlink"/>
    <w:basedOn w:val="Policepardfaut"/>
    <w:semiHidden/>
    <w:unhideWhenUsed/>
    <w:rsid w:val="00AB1DA0"/>
    <w:rPr>
      <w:color w:val="96607D" w:themeColor="followedHyperlink"/>
      <w:u w:val="single"/>
    </w:rPr>
  </w:style>
  <w:style w:type="character" w:customStyle="1" w:styleId="Sautdindex">
    <w:name w:val="Saut d'index"/>
    <w:qFormat/>
  </w:style>
  <w:style w:type="character" w:customStyle="1" w:styleId="Caractresdenotedefinuser">
    <w:name w:val="Caractères de note de fin (user)"/>
    <w:qFormat/>
    <w:rPr>
      <w:vertAlign w:val="superscript"/>
    </w:rPr>
  </w:style>
  <w:style w:type="character" w:customStyle="1" w:styleId="Caractresdenotedefin">
    <w:name w:val="Caractères de note de fin"/>
    <w:qFormat/>
  </w:style>
  <w:style w:type="character" w:styleId="Appeldenotedefin">
    <w:name w:val="endnote reference"/>
    <w:rPr>
      <w:vertAlign w:val="superscript"/>
    </w:rPr>
  </w:style>
  <w:style w:type="character" w:customStyle="1" w:styleId="Sautdindexuser">
    <w:name w:val="Saut d'index (user)"/>
    <w:qFormat/>
  </w:style>
  <w:style w:type="character" w:styleId="Numrodeligne">
    <w:name w:val="line number"/>
  </w:style>
  <w:style w:type="character" w:styleId="lev">
    <w:name w:val="Strong"/>
    <w:uiPriority w:val="22"/>
    <w:qFormat/>
    <w:rPr>
      <w:b/>
      <w:bCs/>
    </w:rPr>
  </w:style>
  <w:style w:type="character" w:styleId="Accentuation">
    <w:name w:val="Emphasis"/>
    <w:uiPriority w:val="20"/>
    <w:qFormat/>
    <w:rPr>
      <w:i/>
      <w:iCs/>
    </w:r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paragraph" w:styleId="Corpsdetexte">
    <w:name w:val="Body Text"/>
    <w:basedOn w:val="Normal"/>
    <w:qFormat/>
    <w:rsid w:val="0038120B"/>
    <w:pPr>
      <w:spacing w:before="180" w:after="180" w:line="360" w:lineRule="auto"/>
      <w:jc w:val="both"/>
    </w:pPr>
    <w:rPr>
      <w:rFonts w:ascii="Times New Roman" w:hAnsi="Times New Roman" w:cs="Times New Roman"/>
    </w:rPr>
  </w:style>
  <w:style w:type="paragraph" w:styleId="Liste">
    <w:name w:val="List"/>
    <w:basedOn w:val="Corpsdetexte"/>
    <w:rPr>
      <w:rFonts w:cs="Arial Unicode MS"/>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link w:val="Sous-titreCar"/>
    <w:uiPriority w:val="11"/>
    <w:qFormat/>
    <w:rsid w:val="00A10FD9"/>
    <w:rPr>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nhideWhenUsed/>
    <w:qFormat/>
    <w:pPr>
      <w:spacing w:before="100" w:after="100"/>
      <w:ind w:left="480" w:right="480"/>
    </w:pPr>
  </w:style>
  <w:style w:type="paragraph" w:styleId="Notedebasdepage">
    <w:name w:val="footnote text"/>
    <w:basedOn w:val="Normal"/>
    <w:uiPriority w:val="9"/>
    <w:unhideWhenUsed/>
    <w:qFormat/>
    <w:rsid w:val="000A3AB6"/>
    <w:pPr>
      <w:spacing w:after="0"/>
    </w:pPr>
    <w:rPr>
      <w:rFonts w:ascii="Times New Roman" w:hAnsi="Times New Roman" w:cs="Times New Roman"/>
      <w:sz w:val="20"/>
      <w:szCs w:val="20"/>
    </w:rPr>
  </w:style>
  <w:style w:type="paragraph" w:customStyle="1" w:styleId="FootnoteBlockText">
    <w:name w:val="Footnote Block Text"/>
    <w:basedOn w:val="Notedebasdepage"/>
    <w:next w:val="Notedebasdepage"/>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pPr>
      <w:keepNext/>
    </w:pPr>
  </w:style>
  <w:style w:type="paragraph" w:customStyle="1" w:styleId="ImageCaption">
    <w:name w:val="Image Caption"/>
    <w:basedOn w:val="Lgende"/>
    <w:link w:val="ImageCaptionCar"/>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qFormat/>
    <w:pPr>
      <w:shd w:val="clear" w:color="auto" w:fill="F1F3F5"/>
    </w:pPr>
  </w:style>
  <w:style w:type="paragraph" w:styleId="TM1">
    <w:name w:val="toc 1"/>
    <w:basedOn w:val="Normal"/>
    <w:next w:val="Normal"/>
    <w:autoRedefine/>
    <w:uiPriority w:val="39"/>
    <w:unhideWhenUsed/>
    <w:rsid w:val="00E25CD1"/>
    <w:pPr>
      <w:tabs>
        <w:tab w:val="right" w:leader="dot" w:pos="9394"/>
      </w:tabs>
      <w:spacing w:before="240" w:after="100" w:line="360" w:lineRule="auto"/>
    </w:pPr>
  </w:style>
  <w:style w:type="paragraph" w:styleId="TM2">
    <w:name w:val="toc 2"/>
    <w:basedOn w:val="Normal"/>
    <w:next w:val="Normal"/>
    <w:autoRedefine/>
    <w:uiPriority w:val="39"/>
    <w:unhideWhenUsed/>
    <w:rsid w:val="00E25CD1"/>
    <w:pPr>
      <w:tabs>
        <w:tab w:val="right" w:leader="dot" w:pos="9394"/>
      </w:tabs>
      <w:spacing w:before="240" w:after="100" w:line="360" w:lineRule="auto"/>
      <w:ind w:left="240"/>
    </w:pPr>
    <w:rPr>
      <w:rFonts w:ascii="Times New Roman" w:hAnsi="Times New Roman" w:cs="Times New Roman"/>
    </w:rPr>
  </w:style>
  <w:style w:type="paragraph" w:styleId="TM3">
    <w:name w:val="toc 3"/>
    <w:basedOn w:val="Normal"/>
    <w:next w:val="Normal"/>
    <w:autoRedefine/>
    <w:uiPriority w:val="39"/>
    <w:unhideWhenUsed/>
    <w:rsid w:val="00E25CD1"/>
    <w:pPr>
      <w:tabs>
        <w:tab w:val="right" w:leader="dot" w:pos="9394"/>
      </w:tabs>
      <w:spacing w:after="100"/>
      <w:ind w:left="480"/>
    </w:pPr>
    <w:rPr>
      <w:rFonts w:ascii="Times New Roman" w:hAnsi="Times New Roman" w:cs="Times New Roman"/>
    </w:rPr>
  </w:style>
  <w:style w:type="paragraph" w:styleId="Commentaire">
    <w:name w:val="annotation text"/>
    <w:basedOn w:val="Normal"/>
    <w:link w:val="CommentaireCar1"/>
    <w:uiPriority w:val="99"/>
    <w:qFormat/>
    <w:pPr>
      <w:spacing w:before="56" w:after="0"/>
      <w:ind w:left="57" w:right="57"/>
    </w:pPr>
    <w:rPr>
      <w:sz w:val="20"/>
      <w:szCs w:val="20"/>
    </w:rPr>
  </w:style>
  <w:style w:type="paragraph" w:styleId="Objetducommentaire">
    <w:name w:val="annotation subject"/>
    <w:basedOn w:val="Commentaire"/>
    <w:next w:val="Commentaire"/>
    <w:link w:val="ObjetducommentaireCar"/>
    <w:unhideWhenUsed/>
    <w:qFormat/>
    <w:rsid w:val="001F5CE9"/>
    <w:rPr>
      <w:b/>
      <w:bCs/>
    </w:rPr>
  </w:style>
  <w:style w:type="paragraph" w:customStyle="1" w:styleId="En-tteetpieddepage">
    <w:name w:val="En-tête et pied de page"/>
    <w:basedOn w:val="Normal"/>
    <w:qFormat/>
  </w:style>
  <w:style w:type="paragraph" w:customStyle="1" w:styleId="En-tteetpieddepageuser">
    <w:name w:val="En-tête et pied de page (user)"/>
    <w:basedOn w:val="Normal"/>
    <w:qFormat/>
  </w:style>
  <w:style w:type="paragraph" w:styleId="En-tte">
    <w:name w:val="header"/>
    <w:basedOn w:val="Normal"/>
    <w:link w:val="En-tteCar"/>
    <w:unhideWhenUsed/>
    <w:rsid w:val="00BF0F64"/>
    <w:pPr>
      <w:tabs>
        <w:tab w:val="center" w:pos="4536"/>
        <w:tab w:val="right" w:pos="9072"/>
      </w:tabs>
      <w:spacing w:after="0"/>
    </w:pPr>
  </w:style>
  <w:style w:type="paragraph" w:styleId="Pieddepage">
    <w:name w:val="footer"/>
    <w:basedOn w:val="Normal"/>
    <w:link w:val="PieddepageCar"/>
    <w:unhideWhenUsed/>
    <w:rsid w:val="00BF0F64"/>
    <w:pPr>
      <w:tabs>
        <w:tab w:val="center" w:pos="4536"/>
        <w:tab w:val="right" w:pos="9072"/>
      </w:tabs>
      <w:spacing w:after="0"/>
    </w:pPr>
  </w:style>
  <w:style w:type="paragraph" w:customStyle="1" w:styleId="Tableauuser">
    <w:name w:val="Tableau (user)"/>
    <w:basedOn w:val="ImageCaption"/>
    <w:qFormat/>
    <w:rsid w:val="00AB1DA0"/>
    <w:pPr>
      <w:spacing w:before="200"/>
    </w:pPr>
    <w:rPr>
      <w:rFonts w:ascii="Times New Roman" w:hAnsi="Times New Roman" w:cs="Times New Roman"/>
    </w:rPr>
  </w:style>
  <w:style w:type="paragraph" w:customStyle="1" w:styleId="Tableau">
    <w:name w:val="Tableau"/>
    <w:basedOn w:val="Lgende"/>
    <w:link w:val="TableauCar"/>
    <w:qFormat/>
  </w:style>
  <w:style w:type="paragraph" w:customStyle="1" w:styleId="Bibliographie1">
    <w:name w:val="Bibliographie 1"/>
    <w:basedOn w:val="Index"/>
    <w:qFormat/>
    <w:pPr>
      <w:spacing w:after="240" w:line="240" w:lineRule="atLeast"/>
    </w:pPr>
  </w:style>
  <w:style w:type="paragraph" w:styleId="Retraitcorpsdetexte">
    <w:name w:val="Body Text Indent"/>
    <w:basedOn w:val="Corpsdetexte"/>
    <w:pPr>
      <w:ind w:left="283"/>
    </w:pPr>
  </w:style>
  <w:style w:type="numbering" w:customStyle="1" w:styleId="Pasdeliste">
    <w:name w:val="Pas de liste"/>
    <w:unhideWhenUsed/>
    <w:qFormat/>
    <w:pPr>
      <w:numPr>
        <w:numId w:val="7"/>
      </w:numPr>
    </w:pPr>
  </w:style>
  <w:style w:type="numbering" w:customStyle="1" w:styleId="Pasdelisteuser">
    <w:name w:val="Pas de liste (user)"/>
    <w:uiPriority w:val="99"/>
    <w:semiHidden/>
    <w:unhideWhenUsed/>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NormalWeb">
    <w:name w:val="Normal (Web)"/>
    <w:basedOn w:val="Normal"/>
    <w:uiPriority w:val="99"/>
    <w:unhideWhenUsed/>
    <w:rsid w:val="00C15862"/>
    <w:pPr>
      <w:suppressAutoHyphens w:val="0"/>
      <w:spacing w:before="100" w:beforeAutospacing="1" w:after="100" w:afterAutospacing="1"/>
    </w:pPr>
    <w:rPr>
      <w:rFonts w:ascii="Times New Roman" w:eastAsia="Times New Roman" w:hAnsi="Times New Roman" w:cs="Times New Roman"/>
      <w:lang w:eastAsia="fr-FR"/>
    </w:rPr>
  </w:style>
  <w:style w:type="character" w:customStyle="1" w:styleId="highlight">
    <w:name w:val="highlight"/>
    <w:basedOn w:val="Policepardfaut"/>
    <w:rsid w:val="000A3AB6"/>
  </w:style>
  <w:style w:type="character" w:customStyle="1" w:styleId="citation">
    <w:name w:val="citation"/>
    <w:basedOn w:val="Policepardfaut"/>
    <w:rsid w:val="000A3AB6"/>
  </w:style>
  <w:style w:type="character" w:customStyle="1" w:styleId="citation-item">
    <w:name w:val="citation-item"/>
    <w:basedOn w:val="Policepardfaut"/>
    <w:rsid w:val="000A3AB6"/>
  </w:style>
  <w:style w:type="paragraph" w:styleId="Paragraphedeliste">
    <w:name w:val="List Paragraph"/>
    <w:basedOn w:val="Normal"/>
    <w:rsid w:val="00624346"/>
    <w:pPr>
      <w:autoSpaceDN w:val="0"/>
      <w:spacing w:after="0" w:line="360" w:lineRule="auto"/>
      <w:ind w:left="720"/>
      <w:contextualSpacing/>
      <w:jc w:val="both"/>
    </w:pPr>
    <w:rPr>
      <w:rFonts w:ascii="Times New Roman" w:eastAsia="Times New Roman" w:hAnsi="Times New Roman" w:cs="Times New Roman"/>
      <w:color w:val="000000"/>
      <w:lang w:eastAsia="fr-FR"/>
    </w:rPr>
  </w:style>
  <w:style w:type="character" w:styleId="CodeHTML">
    <w:name w:val="HTML Code"/>
    <w:basedOn w:val="Policepardfaut"/>
    <w:uiPriority w:val="99"/>
    <w:semiHidden/>
    <w:unhideWhenUsed/>
    <w:rsid w:val="00EE42F2"/>
    <w:rPr>
      <w:rFonts w:ascii="Courier New" w:eastAsia="Times New Roman" w:hAnsi="Courier New" w:cs="Courier New"/>
      <w:sz w:val="20"/>
      <w:szCs w:val="20"/>
    </w:rPr>
  </w:style>
  <w:style w:type="table" w:styleId="Grilledutableau">
    <w:name w:val="Table Grid"/>
    <w:basedOn w:val="TableauNormal"/>
    <w:rsid w:val="00391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udecadre">
    <w:name w:val="Contenu de cadre"/>
    <w:basedOn w:val="Normal"/>
    <w:qFormat/>
    <w:rsid w:val="005B5A7B"/>
    <w:pPr>
      <w:widowControl w:val="0"/>
      <w:spacing w:after="0"/>
    </w:pPr>
    <w:rPr>
      <w:rFonts w:cs="Calibri"/>
      <w:sz w:val="22"/>
      <w:szCs w:val="22"/>
      <w:lang w:eastAsia="fr-FR" w:bidi="fr-FR"/>
    </w:rPr>
  </w:style>
  <w:style w:type="paragraph" w:customStyle="1" w:styleId="Standard">
    <w:name w:val="Standard"/>
    <w:rsid w:val="00E2476B"/>
    <w:pPr>
      <w:autoSpaceDN w:val="0"/>
      <w:spacing w:after="200"/>
      <w:textAlignment w:val="baseline"/>
    </w:pPr>
    <w:rPr>
      <w:rFonts w:ascii="Aptos" w:eastAsia="Aptos" w:hAnsi="Aptos" w:cs="F"/>
    </w:rPr>
  </w:style>
  <w:style w:type="paragraph" w:customStyle="1" w:styleId="Heading">
    <w:name w:val="Heading"/>
    <w:basedOn w:val="Standard"/>
    <w:next w:val="Textbody"/>
    <w:rsid w:val="00E2476B"/>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rsid w:val="00E2476B"/>
    <w:pPr>
      <w:spacing w:before="180" w:after="180" w:line="360" w:lineRule="auto"/>
      <w:jc w:val="both"/>
    </w:pPr>
    <w:rPr>
      <w:rFonts w:ascii="Times New Roman" w:eastAsia="Times New Roman" w:hAnsi="Times New Roman" w:cs="Times New Roman"/>
    </w:rPr>
  </w:style>
  <w:style w:type="paragraph" w:customStyle="1" w:styleId="Footnote">
    <w:name w:val="Footnote"/>
    <w:basedOn w:val="Standard"/>
    <w:rsid w:val="00E2476B"/>
    <w:pPr>
      <w:spacing w:after="0"/>
    </w:pPr>
    <w:rPr>
      <w:rFonts w:ascii="Times New Roman" w:eastAsia="Times New Roman" w:hAnsi="Times New Roman" w:cs="Times New Roman"/>
      <w:sz w:val="16"/>
      <w:szCs w:val="16"/>
    </w:rPr>
  </w:style>
  <w:style w:type="paragraph" w:customStyle="1" w:styleId="ContentsHeading">
    <w:name w:val="Contents Heading"/>
    <w:basedOn w:val="Titre1"/>
    <w:next w:val="Textbody"/>
    <w:rsid w:val="00E2476B"/>
    <w:pPr>
      <w:autoSpaceDN w:val="0"/>
      <w:spacing w:before="240" w:line="259" w:lineRule="auto"/>
      <w:textAlignment w:val="baseline"/>
    </w:pPr>
    <w:rPr>
      <w:rFonts w:eastAsia="F"/>
      <w:color w:val="0F4761"/>
    </w:rPr>
  </w:style>
  <w:style w:type="paragraph" w:customStyle="1" w:styleId="Contents1">
    <w:name w:val="Contents 1"/>
    <w:basedOn w:val="Standard"/>
    <w:next w:val="Standard"/>
    <w:autoRedefine/>
    <w:rsid w:val="00E2476B"/>
    <w:pPr>
      <w:tabs>
        <w:tab w:val="right" w:leader="dot" w:pos="9394"/>
      </w:tabs>
      <w:spacing w:before="240" w:after="100" w:line="360" w:lineRule="auto"/>
    </w:pPr>
  </w:style>
  <w:style w:type="paragraph" w:customStyle="1" w:styleId="Contents2">
    <w:name w:val="Contents 2"/>
    <w:basedOn w:val="Standard"/>
    <w:next w:val="Standard"/>
    <w:autoRedefine/>
    <w:rsid w:val="00E2476B"/>
    <w:pPr>
      <w:tabs>
        <w:tab w:val="right" w:leader="dot" w:pos="9634"/>
      </w:tabs>
      <w:spacing w:before="240" w:after="100" w:line="360" w:lineRule="auto"/>
      <w:ind w:left="240"/>
    </w:pPr>
    <w:rPr>
      <w:rFonts w:ascii="Times New Roman" w:eastAsia="Times New Roman" w:hAnsi="Times New Roman" w:cs="Times New Roman"/>
    </w:rPr>
  </w:style>
  <w:style w:type="paragraph" w:customStyle="1" w:styleId="Contents3">
    <w:name w:val="Contents 3"/>
    <w:basedOn w:val="Standard"/>
    <w:next w:val="Standard"/>
    <w:autoRedefine/>
    <w:rsid w:val="00E2476B"/>
    <w:pPr>
      <w:tabs>
        <w:tab w:val="right" w:leader="dot" w:pos="9874"/>
      </w:tabs>
      <w:spacing w:after="100"/>
      <w:ind w:left="480"/>
    </w:pPr>
    <w:rPr>
      <w:rFonts w:ascii="Times New Roman" w:eastAsia="Times New Roman" w:hAnsi="Times New Roman" w:cs="Times New Roman"/>
    </w:rPr>
  </w:style>
  <w:style w:type="paragraph" w:customStyle="1" w:styleId="Marginalia">
    <w:name w:val="Marginalia"/>
    <w:basedOn w:val="Standard"/>
    <w:rsid w:val="00E2476B"/>
    <w:pPr>
      <w:spacing w:before="56" w:after="0"/>
      <w:ind w:left="57" w:right="57"/>
    </w:pPr>
    <w:rPr>
      <w:sz w:val="20"/>
      <w:szCs w:val="20"/>
    </w:rPr>
  </w:style>
  <w:style w:type="paragraph" w:customStyle="1" w:styleId="HeaderandFooter">
    <w:name w:val="Header and Footer"/>
    <w:basedOn w:val="Standard"/>
    <w:rsid w:val="00E2476B"/>
  </w:style>
  <w:style w:type="paragraph" w:customStyle="1" w:styleId="Textbodyindent">
    <w:name w:val="Text body indent"/>
    <w:basedOn w:val="Textbody"/>
    <w:rsid w:val="00E2476B"/>
    <w:pPr>
      <w:ind w:left="283"/>
    </w:pPr>
  </w:style>
  <w:style w:type="paragraph" w:customStyle="1" w:styleId="centered">
    <w:name w:val="centered"/>
    <w:basedOn w:val="Standard"/>
    <w:rsid w:val="00E2476B"/>
    <w:pPr>
      <w:suppressAutoHyphens w:val="0"/>
      <w:spacing w:after="0"/>
      <w:jc w:val="center"/>
    </w:pPr>
    <w:rPr>
      <w:rFonts w:eastAsia="F"/>
      <w:lang w:val="en-US"/>
    </w:rPr>
  </w:style>
  <w:style w:type="paragraph" w:styleId="Textedebulles">
    <w:name w:val="Balloon Text"/>
    <w:basedOn w:val="Standard"/>
    <w:link w:val="TextedebullesCar"/>
    <w:rsid w:val="00E2476B"/>
    <w:pPr>
      <w:suppressAutoHyphens w:val="0"/>
      <w:spacing w:after="0"/>
    </w:pPr>
    <w:rPr>
      <w:rFonts w:ascii="Lucida Grande" w:eastAsia="F" w:hAnsi="Lucida Grande" w:cs="Lucida Grande"/>
      <w:sz w:val="18"/>
      <w:szCs w:val="18"/>
      <w:lang w:val="en-US"/>
    </w:rPr>
  </w:style>
  <w:style w:type="character" w:customStyle="1" w:styleId="TextedebullesCar">
    <w:name w:val="Texte de bulles Car"/>
    <w:basedOn w:val="Policepardfaut"/>
    <w:link w:val="Textedebulles"/>
    <w:rsid w:val="00E2476B"/>
    <w:rPr>
      <w:rFonts w:ascii="Lucida Grande" w:eastAsia="F" w:hAnsi="Lucida Grande" w:cs="Lucida Grande"/>
      <w:sz w:val="18"/>
      <w:szCs w:val="18"/>
      <w:lang w:val="en-US"/>
    </w:rPr>
  </w:style>
  <w:style w:type="paragraph" w:customStyle="1" w:styleId="graphictitle">
    <w:name w:val="graphic title"/>
    <w:basedOn w:val="ImageCaption"/>
    <w:next w:val="Standard"/>
    <w:rsid w:val="00E2476B"/>
    <w:pPr>
      <w:suppressAutoHyphens w:val="0"/>
      <w:autoSpaceDN w:val="0"/>
      <w:spacing w:after="0"/>
      <w:jc w:val="center"/>
      <w:textAlignment w:val="baseline"/>
    </w:pPr>
    <w:rPr>
      <w:rFonts w:ascii="Aptos" w:eastAsia="F" w:hAnsi="Aptos" w:cs="F"/>
      <w:b/>
      <w:lang w:val="en-US"/>
    </w:rPr>
  </w:style>
  <w:style w:type="paragraph" w:customStyle="1" w:styleId="tabletitle">
    <w:name w:val="table title"/>
    <w:basedOn w:val="TableCaption"/>
    <w:next w:val="Standard"/>
    <w:rsid w:val="00E2476B"/>
    <w:pPr>
      <w:keepNext w:val="0"/>
      <w:suppressAutoHyphens w:val="0"/>
      <w:autoSpaceDN w:val="0"/>
      <w:spacing w:after="0"/>
      <w:jc w:val="center"/>
      <w:textAlignment w:val="baseline"/>
    </w:pPr>
    <w:rPr>
      <w:rFonts w:ascii="Aptos" w:eastAsia="F" w:hAnsi="Aptos" w:cs="F"/>
      <w:b/>
      <w:lang w:val="en-US"/>
    </w:rPr>
  </w:style>
  <w:style w:type="paragraph" w:customStyle="1" w:styleId="alinea">
    <w:name w:val="alinea"/>
    <w:basedOn w:val="Standard"/>
    <w:rsid w:val="00E2476B"/>
    <w:pPr>
      <w:suppressAutoHyphens w:val="0"/>
      <w:spacing w:before="280" w:after="280"/>
    </w:pPr>
    <w:rPr>
      <w:rFonts w:ascii="Times New Roman" w:eastAsia="Times New Roman" w:hAnsi="Times New Roman" w:cs="Times New Roman"/>
      <w:lang w:eastAsia="fr-FR"/>
    </w:rPr>
  </w:style>
  <w:style w:type="paragraph" w:customStyle="1" w:styleId="Comment">
    <w:name w:val="Comment"/>
    <w:basedOn w:val="Standard"/>
    <w:rsid w:val="00E2476B"/>
    <w:pPr>
      <w:spacing w:before="56" w:after="0"/>
      <w:ind w:left="57" w:right="57"/>
    </w:pPr>
    <w:rPr>
      <w:sz w:val="20"/>
      <w:szCs w:val="20"/>
    </w:rPr>
  </w:style>
  <w:style w:type="paragraph" w:customStyle="1" w:styleId="Framecontents">
    <w:name w:val="Frame contents"/>
    <w:basedOn w:val="Standard"/>
    <w:rsid w:val="00E2476B"/>
  </w:style>
  <w:style w:type="paragraph" w:customStyle="1" w:styleId="Bibliography1">
    <w:name w:val="Bibliography 1"/>
    <w:basedOn w:val="Index"/>
    <w:rsid w:val="00E2476B"/>
    <w:pPr>
      <w:tabs>
        <w:tab w:val="right" w:leader="dot" w:pos="9404"/>
      </w:tabs>
      <w:autoSpaceDN w:val="0"/>
      <w:textAlignment w:val="baseline"/>
    </w:pPr>
    <w:rPr>
      <w:rFonts w:ascii="Aptos" w:eastAsia="Aptos" w:hAnsi="Aptos"/>
    </w:rPr>
  </w:style>
  <w:style w:type="character" w:customStyle="1" w:styleId="FootnoteSymbol">
    <w:name w:val="Footnote Symbol"/>
    <w:rsid w:val="00E2476B"/>
    <w:rPr>
      <w:position w:val="0"/>
      <w:vertAlign w:val="superscript"/>
    </w:rPr>
  </w:style>
  <w:style w:type="character" w:customStyle="1" w:styleId="Footnoteanchor">
    <w:name w:val="Footnote anchor"/>
    <w:rsid w:val="00E2476B"/>
    <w:rPr>
      <w:position w:val="0"/>
      <w:vertAlign w:val="superscript"/>
    </w:rPr>
  </w:style>
  <w:style w:type="character" w:customStyle="1" w:styleId="Internetlink">
    <w:name w:val="Internet link"/>
    <w:basedOn w:val="LgendeCar"/>
    <w:rsid w:val="00E2476B"/>
    <w:rPr>
      <w:color w:val="156082"/>
    </w:rPr>
  </w:style>
  <w:style w:type="character" w:customStyle="1" w:styleId="VisitedInternetLink">
    <w:name w:val="Visited Internet Link"/>
    <w:basedOn w:val="Policepardfaut"/>
    <w:rsid w:val="00E2476B"/>
    <w:rPr>
      <w:color w:val="96607D"/>
      <w:u w:val="single"/>
    </w:rPr>
  </w:style>
  <w:style w:type="character" w:customStyle="1" w:styleId="EndnoteSymbol">
    <w:name w:val="Endnote Symbol"/>
    <w:rsid w:val="00E2476B"/>
    <w:rPr>
      <w:position w:val="0"/>
      <w:vertAlign w:val="superscript"/>
    </w:rPr>
  </w:style>
  <w:style w:type="character" w:customStyle="1" w:styleId="Endnoteanchor">
    <w:name w:val="Endnote anchor"/>
    <w:rsid w:val="00E2476B"/>
    <w:rPr>
      <w:position w:val="0"/>
      <w:vertAlign w:val="superscript"/>
    </w:rPr>
  </w:style>
  <w:style w:type="character" w:customStyle="1" w:styleId="IndexLink">
    <w:name w:val="Index Link"/>
    <w:rsid w:val="00E2476B"/>
  </w:style>
  <w:style w:type="character" w:customStyle="1" w:styleId="Linenumbering">
    <w:name w:val="Line numbering"/>
    <w:rsid w:val="00E2476B"/>
  </w:style>
  <w:style w:type="character" w:customStyle="1" w:styleId="StrongEmphasis">
    <w:name w:val="Strong Emphasis"/>
    <w:rsid w:val="00E2476B"/>
    <w:rPr>
      <w:b/>
      <w:bCs/>
    </w:rPr>
  </w:style>
  <w:style w:type="character" w:styleId="Textedelespacerserv">
    <w:name w:val="Placeholder Text"/>
    <w:basedOn w:val="Policepardfaut"/>
    <w:rsid w:val="00E2476B"/>
    <w:rPr>
      <w:color w:val="808080"/>
    </w:rPr>
  </w:style>
  <w:style w:type="character" w:customStyle="1" w:styleId="lev1">
    <w:name w:val="Élevé1"/>
    <w:basedOn w:val="Policepardfaut"/>
    <w:rsid w:val="00E2476B"/>
    <w:rPr>
      <w:b/>
    </w:rPr>
  </w:style>
  <w:style w:type="character" w:customStyle="1" w:styleId="referenceid">
    <w:name w:val="reference_id"/>
    <w:basedOn w:val="Policepardfaut"/>
    <w:rsid w:val="00E2476B"/>
    <w:rPr>
      <w:position w:val="0"/>
      <w:vertAlign w:val="superscript"/>
    </w:rPr>
  </w:style>
  <w:style w:type="character" w:customStyle="1" w:styleId="petitecap">
    <w:name w:val="petitecap"/>
    <w:basedOn w:val="Policepardfaut"/>
    <w:rsid w:val="00E2476B"/>
  </w:style>
  <w:style w:type="character" w:customStyle="1" w:styleId="ListLabel1">
    <w:name w:val="ListLabel 1"/>
    <w:rsid w:val="00E2476B"/>
  </w:style>
  <w:style w:type="character" w:customStyle="1" w:styleId="ListLabel2">
    <w:name w:val="ListLabel 2"/>
    <w:rsid w:val="00E2476B"/>
  </w:style>
  <w:style w:type="character" w:customStyle="1" w:styleId="ListLabel3">
    <w:name w:val="ListLabel 3"/>
    <w:rsid w:val="00E2476B"/>
  </w:style>
  <w:style w:type="character" w:customStyle="1" w:styleId="ListLabel4">
    <w:name w:val="ListLabel 4"/>
    <w:rsid w:val="00E2476B"/>
  </w:style>
  <w:style w:type="character" w:customStyle="1" w:styleId="ListLabel5">
    <w:name w:val="ListLabel 5"/>
    <w:rsid w:val="00E2476B"/>
  </w:style>
  <w:style w:type="character" w:customStyle="1" w:styleId="ListLabel6">
    <w:name w:val="ListLabel 6"/>
    <w:rsid w:val="00E2476B"/>
  </w:style>
  <w:style w:type="character" w:customStyle="1" w:styleId="ListLabel7">
    <w:name w:val="ListLabel 7"/>
    <w:rsid w:val="00E2476B"/>
  </w:style>
  <w:style w:type="character" w:customStyle="1" w:styleId="ListLabel8">
    <w:name w:val="ListLabel 8"/>
    <w:rsid w:val="00E2476B"/>
  </w:style>
  <w:style w:type="character" w:customStyle="1" w:styleId="ListLabel9">
    <w:name w:val="ListLabel 9"/>
    <w:rsid w:val="00E2476B"/>
  </w:style>
  <w:style w:type="character" w:customStyle="1" w:styleId="ListLabel10">
    <w:name w:val="ListLabel 10"/>
    <w:rsid w:val="00E2476B"/>
  </w:style>
  <w:style w:type="character" w:customStyle="1" w:styleId="ListLabel11">
    <w:name w:val="ListLabel 11"/>
    <w:rsid w:val="00E2476B"/>
    <w:rPr>
      <w:rFonts w:cs="Courier New"/>
    </w:rPr>
  </w:style>
  <w:style w:type="character" w:customStyle="1" w:styleId="ListLabel12">
    <w:name w:val="ListLabel 12"/>
    <w:rsid w:val="00E2476B"/>
  </w:style>
  <w:style w:type="character" w:customStyle="1" w:styleId="ListLabel13">
    <w:name w:val="ListLabel 13"/>
    <w:rsid w:val="00E2476B"/>
    <w:rPr>
      <w:rFonts w:ascii="Aptos" w:eastAsia="Aptos" w:hAnsi="Aptos" w:cs="Aptos"/>
    </w:rPr>
  </w:style>
  <w:style w:type="character" w:customStyle="1" w:styleId="ListLabel14">
    <w:name w:val="ListLabel 14"/>
    <w:rsid w:val="00E2476B"/>
    <w:rPr>
      <w:rFonts w:cs="Courier New"/>
    </w:rPr>
  </w:style>
  <w:style w:type="character" w:customStyle="1" w:styleId="ListLabel15">
    <w:name w:val="ListLabel 15"/>
    <w:rsid w:val="00E2476B"/>
  </w:style>
  <w:style w:type="character" w:customStyle="1" w:styleId="ListLabel16">
    <w:name w:val="ListLabel 16"/>
    <w:rsid w:val="00E2476B"/>
    <w:rPr>
      <w:rFonts w:ascii="Aptos" w:eastAsia="Aptos" w:hAnsi="Aptos" w:cs="Aptos"/>
    </w:rPr>
  </w:style>
  <w:style w:type="character" w:customStyle="1" w:styleId="ListLabel17">
    <w:name w:val="ListLabel 17"/>
    <w:rsid w:val="00E2476B"/>
    <w:rPr>
      <w:rFonts w:cs="Courier New"/>
    </w:rPr>
  </w:style>
  <w:style w:type="character" w:customStyle="1" w:styleId="ListLabel18">
    <w:name w:val="ListLabel 18"/>
    <w:rsid w:val="00E2476B"/>
  </w:style>
  <w:style w:type="character" w:customStyle="1" w:styleId="ListLabel19">
    <w:name w:val="ListLabel 19"/>
    <w:rsid w:val="00E2476B"/>
    <w:rPr>
      <w:rFonts w:ascii="Aptos" w:eastAsia="Aptos" w:hAnsi="Aptos" w:cs="Aptos"/>
    </w:rPr>
  </w:style>
  <w:style w:type="character" w:customStyle="1" w:styleId="ListLabel20">
    <w:name w:val="ListLabel 20"/>
    <w:rsid w:val="00E2476B"/>
    <w:rPr>
      <w:rFonts w:cs="Courier New"/>
    </w:rPr>
  </w:style>
  <w:style w:type="character" w:customStyle="1" w:styleId="ListLabel21">
    <w:name w:val="ListLabel 21"/>
    <w:rsid w:val="00E2476B"/>
  </w:style>
  <w:style w:type="character" w:customStyle="1" w:styleId="ListLabel22">
    <w:name w:val="ListLabel 22"/>
    <w:rsid w:val="00E2476B"/>
    <w:rPr>
      <w:rFonts w:ascii="Aptos" w:eastAsia="Aptos" w:hAnsi="Aptos" w:cs="Aptos"/>
    </w:rPr>
  </w:style>
  <w:style w:type="character" w:customStyle="1" w:styleId="ListLabel23">
    <w:name w:val="ListLabel 23"/>
    <w:rsid w:val="00E2476B"/>
    <w:rPr>
      <w:rFonts w:cs="Courier New"/>
    </w:rPr>
  </w:style>
  <w:style w:type="character" w:customStyle="1" w:styleId="ListLabel24">
    <w:name w:val="ListLabel 24"/>
    <w:rsid w:val="00E2476B"/>
  </w:style>
  <w:style w:type="character" w:customStyle="1" w:styleId="ListLabel25">
    <w:name w:val="ListLabel 25"/>
    <w:rsid w:val="00E2476B"/>
    <w:rPr>
      <w:rFonts w:ascii="Aptos" w:eastAsia="Aptos" w:hAnsi="Aptos" w:cs="Aptos"/>
    </w:rPr>
  </w:style>
  <w:style w:type="character" w:customStyle="1" w:styleId="ListLabel26">
    <w:name w:val="ListLabel 26"/>
    <w:rsid w:val="00E2476B"/>
    <w:rPr>
      <w:rFonts w:cs="Courier New"/>
    </w:rPr>
  </w:style>
  <w:style w:type="character" w:customStyle="1" w:styleId="ListLabel27">
    <w:name w:val="ListLabel 27"/>
    <w:rsid w:val="00E2476B"/>
  </w:style>
  <w:style w:type="character" w:customStyle="1" w:styleId="ListLabel28">
    <w:name w:val="ListLabel 28"/>
    <w:rsid w:val="00E2476B"/>
  </w:style>
  <w:style w:type="character" w:customStyle="1" w:styleId="ListLabel29">
    <w:name w:val="ListLabel 29"/>
    <w:rsid w:val="00E2476B"/>
  </w:style>
  <w:style w:type="character" w:customStyle="1" w:styleId="ListLabel30">
    <w:name w:val="ListLabel 30"/>
    <w:rsid w:val="00E2476B"/>
  </w:style>
  <w:style w:type="character" w:customStyle="1" w:styleId="ListLabel31">
    <w:name w:val="ListLabel 31"/>
    <w:rsid w:val="00E2476B"/>
  </w:style>
  <w:style w:type="character" w:customStyle="1" w:styleId="ListLabel32">
    <w:name w:val="ListLabel 32"/>
    <w:rsid w:val="00E2476B"/>
  </w:style>
  <w:style w:type="character" w:customStyle="1" w:styleId="ListLabel33">
    <w:name w:val="ListLabel 33"/>
    <w:rsid w:val="00E2476B"/>
  </w:style>
  <w:style w:type="character" w:customStyle="1" w:styleId="ListLabel34">
    <w:name w:val="ListLabel 34"/>
    <w:rsid w:val="00E2476B"/>
  </w:style>
  <w:style w:type="character" w:customStyle="1" w:styleId="ListLabel35">
    <w:name w:val="ListLabel 35"/>
    <w:rsid w:val="00E2476B"/>
  </w:style>
  <w:style w:type="character" w:customStyle="1" w:styleId="ListLabel36">
    <w:name w:val="ListLabel 36"/>
    <w:rsid w:val="00E2476B"/>
  </w:style>
  <w:style w:type="character" w:customStyle="1" w:styleId="ListLabel37">
    <w:name w:val="ListLabel 37"/>
    <w:rsid w:val="00E2476B"/>
  </w:style>
  <w:style w:type="character" w:customStyle="1" w:styleId="ListLabel38">
    <w:name w:val="ListLabel 38"/>
    <w:rsid w:val="00E2476B"/>
  </w:style>
  <w:style w:type="character" w:customStyle="1" w:styleId="ListLabel39">
    <w:name w:val="ListLabel 39"/>
    <w:rsid w:val="00E2476B"/>
  </w:style>
  <w:style w:type="character" w:customStyle="1" w:styleId="ListLabel40">
    <w:name w:val="ListLabel 40"/>
    <w:rsid w:val="00E2476B"/>
  </w:style>
  <w:style w:type="character" w:customStyle="1" w:styleId="ListLabel41">
    <w:name w:val="ListLabel 41"/>
    <w:rsid w:val="00E2476B"/>
  </w:style>
  <w:style w:type="character" w:customStyle="1" w:styleId="ListLabel42">
    <w:name w:val="ListLabel 42"/>
    <w:rsid w:val="00E2476B"/>
  </w:style>
  <w:style w:type="character" w:customStyle="1" w:styleId="ListLabel43">
    <w:name w:val="ListLabel 43"/>
    <w:rsid w:val="00E2476B"/>
  </w:style>
  <w:style w:type="character" w:customStyle="1" w:styleId="ListLabel44">
    <w:name w:val="ListLabel 44"/>
    <w:rsid w:val="00E2476B"/>
  </w:style>
  <w:style w:type="character" w:customStyle="1" w:styleId="ListLabel45">
    <w:name w:val="ListLabel 45"/>
    <w:rsid w:val="00E2476B"/>
  </w:style>
  <w:style w:type="character" w:customStyle="1" w:styleId="ListLabel46">
    <w:name w:val="ListLabel 46"/>
    <w:rsid w:val="00E2476B"/>
  </w:style>
  <w:style w:type="character" w:customStyle="1" w:styleId="ListLabel47">
    <w:name w:val="ListLabel 47"/>
    <w:rsid w:val="00E2476B"/>
  </w:style>
  <w:style w:type="character" w:customStyle="1" w:styleId="ListLabel48">
    <w:name w:val="ListLabel 48"/>
    <w:rsid w:val="00E2476B"/>
  </w:style>
  <w:style w:type="character" w:customStyle="1" w:styleId="ListLabel49">
    <w:name w:val="ListLabel 49"/>
    <w:rsid w:val="00E2476B"/>
  </w:style>
  <w:style w:type="character" w:customStyle="1" w:styleId="ListLabel50">
    <w:name w:val="ListLabel 50"/>
    <w:rsid w:val="00E2476B"/>
  </w:style>
  <w:style w:type="character" w:customStyle="1" w:styleId="ListLabel51">
    <w:name w:val="ListLabel 51"/>
    <w:rsid w:val="00E2476B"/>
  </w:style>
  <w:style w:type="character" w:customStyle="1" w:styleId="ListLabel52">
    <w:name w:val="ListLabel 52"/>
    <w:rsid w:val="00E2476B"/>
  </w:style>
  <w:style w:type="character" w:customStyle="1" w:styleId="ListLabel53">
    <w:name w:val="ListLabel 53"/>
    <w:rsid w:val="00E2476B"/>
  </w:style>
  <w:style w:type="character" w:customStyle="1" w:styleId="ListLabel54">
    <w:name w:val="ListLabel 54"/>
    <w:rsid w:val="00E2476B"/>
  </w:style>
  <w:style w:type="character" w:customStyle="1" w:styleId="ListLabel55">
    <w:name w:val="ListLabel 55"/>
    <w:rsid w:val="00E2476B"/>
  </w:style>
  <w:style w:type="character" w:customStyle="1" w:styleId="ListLabel56">
    <w:name w:val="ListLabel 56"/>
    <w:rsid w:val="00E2476B"/>
  </w:style>
  <w:style w:type="character" w:customStyle="1" w:styleId="ListLabel57">
    <w:name w:val="ListLabel 57"/>
    <w:rsid w:val="00E2476B"/>
  </w:style>
  <w:style w:type="character" w:customStyle="1" w:styleId="ListLabel58">
    <w:name w:val="ListLabel 58"/>
    <w:rsid w:val="00E2476B"/>
  </w:style>
  <w:style w:type="character" w:customStyle="1" w:styleId="ListLabel59">
    <w:name w:val="ListLabel 59"/>
    <w:rsid w:val="00E2476B"/>
  </w:style>
  <w:style w:type="character" w:customStyle="1" w:styleId="ListLabel60">
    <w:name w:val="ListLabel 60"/>
    <w:rsid w:val="00E2476B"/>
  </w:style>
  <w:style w:type="character" w:customStyle="1" w:styleId="ListLabel61">
    <w:name w:val="ListLabel 61"/>
    <w:rsid w:val="00E2476B"/>
  </w:style>
  <w:style w:type="character" w:customStyle="1" w:styleId="ListLabel62">
    <w:name w:val="ListLabel 62"/>
    <w:rsid w:val="00E2476B"/>
  </w:style>
  <w:style w:type="character" w:customStyle="1" w:styleId="ListLabel63">
    <w:name w:val="ListLabel 63"/>
    <w:rsid w:val="00E2476B"/>
  </w:style>
  <w:style w:type="character" w:customStyle="1" w:styleId="ListLabel64">
    <w:name w:val="ListLabel 64"/>
    <w:rsid w:val="00E2476B"/>
    <w:rPr>
      <w:rFonts w:ascii="Aptos" w:eastAsia="Aptos" w:hAnsi="Aptos" w:cs="Aptos"/>
    </w:rPr>
  </w:style>
  <w:style w:type="character" w:customStyle="1" w:styleId="ListLabel65">
    <w:name w:val="ListLabel 65"/>
    <w:rsid w:val="00E2476B"/>
    <w:rPr>
      <w:rFonts w:cs="Courier New"/>
    </w:rPr>
  </w:style>
  <w:style w:type="character" w:customStyle="1" w:styleId="ListLabel66">
    <w:name w:val="ListLabel 66"/>
    <w:rsid w:val="00E2476B"/>
  </w:style>
  <w:style w:type="character" w:customStyle="1" w:styleId="ListLabel67">
    <w:name w:val="ListLabel 67"/>
    <w:rsid w:val="00E2476B"/>
    <w:rPr>
      <w:rFonts w:ascii="Aptos" w:eastAsia="Aptos" w:hAnsi="Aptos" w:cs="Aptos"/>
    </w:rPr>
  </w:style>
  <w:style w:type="character" w:customStyle="1" w:styleId="ListLabel68">
    <w:name w:val="ListLabel 68"/>
    <w:rsid w:val="00E2476B"/>
    <w:rPr>
      <w:rFonts w:cs="Courier New"/>
    </w:rPr>
  </w:style>
  <w:style w:type="character" w:customStyle="1" w:styleId="ListLabel69">
    <w:name w:val="ListLabel 69"/>
    <w:rsid w:val="00E2476B"/>
  </w:style>
  <w:style w:type="character" w:customStyle="1" w:styleId="ListLabel70">
    <w:name w:val="ListLabel 70"/>
    <w:rsid w:val="00E2476B"/>
    <w:rPr>
      <w:rFonts w:ascii="Aptos" w:eastAsia="Aptos" w:hAnsi="Aptos" w:cs="Aptos"/>
    </w:rPr>
  </w:style>
  <w:style w:type="character" w:customStyle="1" w:styleId="ListLabel71">
    <w:name w:val="ListLabel 71"/>
    <w:rsid w:val="00E2476B"/>
    <w:rPr>
      <w:rFonts w:cs="Courier New"/>
    </w:rPr>
  </w:style>
  <w:style w:type="character" w:customStyle="1" w:styleId="ListLabel72">
    <w:name w:val="ListLabel 72"/>
    <w:rsid w:val="00E2476B"/>
  </w:style>
  <w:style w:type="character" w:customStyle="1" w:styleId="ListLabel73">
    <w:name w:val="ListLabel 73"/>
    <w:rsid w:val="00E2476B"/>
  </w:style>
  <w:style w:type="character" w:customStyle="1" w:styleId="ListLabel74">
    <w:name w:val="ListLabel 74"/>
    <w:rsid w:val="00E2476B"/>
  </w:style>
  <w:style w:type="character" w:customStyle="1" w:styleId="ListLabel75">
    <w:name w:val="ListLabel 75"/>
    <w:rsid w:val="00E2476B"/>
  </w:style>
  <w:style w:type="character" w:customStyle="1" w:styleId="ListLabel76">
    <w:name w:val="ListLabel 76"/>
    <w:rsid w:val="00E2476B"/>
  </w:style>
  <w:style w:type="character" w:customStyle="1" w:styleId="ListLabel77">
    <w:name w:val="ListLabel 77"/>
    <w:rsid w:val="00E2476B"/>
  </w:style>
  <w:style w:type="character" w:customStyle="1" w:styleId="ListLabel78">
    <w:name w:val="ListLabel 78"/>
    <w:rsid w:val="00E2476B"/>
  </w:style>
  <w:style w:type="character" w:customStyle="1" w:styleId="ListLabel79">
    <w:name w:val="ListLabel 79"/>
    <w:rsid w:val="00E2476B"/>
  </w:style>
  <w:style w:type="character" w:customStyle="1" w:styleId="ListLabel80">
    <w:name w:val="ListLabel 80"/>
    <w:rsid w:val="00E2476B"/>
  </w:style>
  <w:style w:type="character" w:customStyle="1" w:styleId="ListLabel81">
    <w:name w:val="ListLabel 81"/>
    <w:rsid w:val="00E2476B"/>
  </w:style>
  <w:style w:type="character" w:customStyle="1" w:styleId="ListLabel82">
    <w:name w:val="ListLabel 82"/>
    <w:rsid w:val="00E2476B"/>
  </w:style>
  <w:style w:type="character" w:customStyle="1" w:styleId="ListLabel83">
    <w:name w:val="ListLabel 83"/>
    <w:rsid w:val="00E2476B"/>
  </w:style>
  <w:style w:type="character" w:customStyle="1" w:styleId="ListLabel84">
    <w:name w:val="ListLabel 84"/>
    <w:rsid w:val="00E2476B"/>
  </w:style>
  <w:style w:type="character" w:customStyle="1" w:styleId="ListLabel85">
    <w:name w:val="ListLabel 85"/>
    <w:rsid w:val="00E2476B"/>
  </w:style>
  <w:style w:type="character" w:customStyle="1" w:styleId="ListLabel86">
    <w:name w:val="ListLabel 86"/>
    <w:rsid w:val="00E2476B"/>
  </w:style>
  <w:style w:type="character" w:customStyle="1" w:styleId="ListLabel87">
    <w:name w:val="ListLabel 87"/>
    <w:rsid w:val="00E2476B"/>
  </w:style>
  <w:style w:type="character" w:customStyle="1" w:styleId="ListLabel88">
    <w:name w:val="ListLabel 88"/>
    <w:rsid w:val="00E2476B"/>
  </w:style>
  <w:style w:type="character" w:customStyle="1" w:styleId="ListLabel89">
    <w:name w:val="ListLabel 89"/>
    <w:rsid w:val="00E2476B"/>
  </w:style>
  <w:style w:type="character" w:customStyle="1" w:styleId="ListLabel90">
    <w:name w:val="ListLabel 90"/>
    <w:rsid w:val="00E2476B"/>
  </w:style>
  <w:style w:type="character" w:customStyle="1" w:styleId="ListLabel91">
    <w:name w:val="ListLabel 91"/>
    <w:rsid w:val="00E2476B"/>
  </w:style>
  <w:style w:type="character" w:customStyle="1" w:styleId="ListLabel92">
    <w:name w:val="ListLabel 92"/>
    <w:rsid w:val="00E2476B"/>
  </w:style>
  <w:style w:type="character" w:customStyle="1" w:styleId="ListLabel93">
    <w:name w:val="ListLabel 93"/>
    <w:rsid w:val="00E2476B"/>
  </w:style>
  <w:style w:type="character" w:customStyle="1" w:styleId="ListLabel94">
    <w:name w:val="ListLabel 94"/>
    <w:rsid w:val="00E2476B"/>
  </w:style>
  <w:style w:type="character" w:customStyle="1" w:styleId="ListLabel95">
    <w:name w:val="ListLabel 95"/>
    <w:rsid w:val="00E2476B"/>
  </w:style>
  <w:style w:type="character" w:customStyle="1" w:styleId="ListLabel96">
    <w:name w:val="ListLabel 96"/>
    <w:rsid w:val="00E2476B"/>
  </w:style>
  <w:style w:type="character" w:customStyle="1" w:styleId="ListLabel97">
    <w:name w:val="ListLabel 97"/>
    <w:rsid w:val="00E2476B"/>
  </w:style>
  <w:style w:type="character" w:customStyle="1" w:styleId="ListLabel98">
    <w:name w:val="ListLabel 98"/>
    <w:rsid w:val="00E2476B"/>
  </w:style>
  <w:style w:type="character" w:customStyle="1" w:styleId="ListLabel99">
    <w:name w:val="ListLabel 99"/>
    <w:rsid w:val="00E2476B"/>
  </w:style>
  <w:style w:type="character" w:customStyle="1" w:styleId="ListLabel100">
    <w:name w:val="ListLabel 100"/>
    <w:rsid w:val="00E2476B"/>
    <w:rPr>
      <w:rFonts w:ascii="Aptos" w:eastAsia="Aptos" w:hAnsi="Aptos" w:cs="Times New Roman"/>
    </w:rPr>
  </w:style>
  <w:style w:type="character" w:customStyle="1" w:styleId="ListLabel101">
    <w:name w:val="ListLabel 101"/>
    <w:rsid w:val="00E2476B"/>
    <w:rPr>
      <w:rFonts w:cs="Courier New"/>
    </w:rPr>
  </w:style>
  <w:style w:type="character" w:customStyle="1" w:styleId="ListLabel102">
    <w:name w:val="ListLabel 102"/>
    <w:rsid w:val="00E2476B"/>
  </w:style>
  <w:style w:type="character" w:customStyle="1" w:styleId="ListLabel103">
    <w:name w:val="ListLabel 103"/>
    <w:rsid w:val="00E2476B"/>
    <w:rPr>
      <w:rFonts w:ascii="Aptos" w:eastAsia="Aptos" w:hAnsi="Aptos" w:cs="Aptos"/>
    </w:rPr>
  </w:style>
  <w:style w:type="character" w:customStyle="1" w:styleId="ListLabel104">
    <w:name w:val="ListLabel 104"/>
    <w:rsid w:val="00E2476B"/>
    <w:rPr>
      <w:rFonts w:cs="Courier New"/>
    </w:rPr>
  </w:style>
  <w:style w:type="character" w:customStyle="1" w:styleId="ListLabel105">
    <w:name w:val="ListLabel 105"/>
    <w:rsid w:val="00E2476B"/>
  </w:style>
  <w:style w:type="character" w:customStyle="1" w:styleId="ListLabel106">
    <w:name w:val="ListLabel 106"/>
    <w:rsid w:val="00E2476B"/>
    <w:rPr>
      <w:rFonts w:ascii="Aptos" w:eastAsia="Aptos" w:hAnsi="Aptos" w:cs="Aptos"/>
    </w:rPr>
  </w:style>
  <w:style w:type="character" w:customStyle="1" w:styleId="ListLabel107">
    <w:name w:val="ListLabel 107"/>
    <w:rsid w:val="00E2476B"/>
    <w:rPr>
      <w:rFonts w:cs="Courier New"/>
    </w:rPr>
  </w:style>
  <w:style w:type="character" w:customStyle="1" w:styleId="ListLabel108">
    <w:name w:val="ListLabel 108"/>
    <w:rsid w:val="00E2476B"/>
  </w:style>
  <w:style w:type="character" w:customStyle="1" w:styleId="ListLabel109">
    <w:name w:val="ListLabel 109"/>
    <w:rsid w:val="00E2476B"/>
  </w:style>
  <w:style w:type="character" w:customStyle="1" w:styleId="ListLabel110">
    <w:name w:val="ListLabel 110"/>
    <w:rsid w:val="00E2476B"/>
  </w:style>
  <w:style w:type="character" w:customStyle="1" w:styleId="ListLabel111">
    <w:name w:val="ListLabel 111"/>
    <w:rsid w:val="00E2476B"/>
  </w:style>
  <w:style w:type="character" w:customStyle="1" w:styleId="ListLabel112">
    <w:name w:val="ListLabel 112"/>
    <w:rsid w:val="00E2476B"/>
  </w:style>
  <w:style w:type="character" w:customStyle="1" w:styleId="ListLabel113">
    <w:name w:val="ListLabel 113"/>
    <w:rsid w:val="00E2476B"/>
  </w:style>
  <w:style w:type="character" w:customStyle="1" w:styleId="ListLabel114">
    <w:name w:val="ListLabel 114"/>
    <w:rsid w:val="00E2476B"/>
  </w:style>
  <w:style w:type="character" w:customStyle="1" w:styleId="ListLabel115">
    <w:name w:val="ListLabel 115"/>
    <w:rsid w:val="00E2476B"/>
  </w:style>
  <w:style w:type="character" w:customStyle="1" w:styleId="ListLabel116">
    <w:name w:val="ListLabel 116"/>
    <w:rsid w:val="00E2476B"/>
  </w:style>
  <w:style w:type="character" w:customStyle="1" w:styleId="ListLabel117">
    <w:name w:val="ListLabel 117"/>
    <w:rsid w:val="00E2476B"/>
  </w:style>
  <w:style w:type="character" w:customStyle="1" w:styleId="ListLabel118">
    <w:name w:val="ListLabel 118"/>
    <w:rsid w:val="00E2476B"/>
    <w:rPr>
      <w:i w:val="0"/>
    </w:rPr>
  </w:style>
  <w:style w:type="character" w:customStyle="1" w:styleId="ListLabel119">
    <w:name w:val="ListLabel 119"/>
    <w:rsid w:val="00E2476B"/>
  </w:style>
  <w:style w:type="character" w:customStyle="1" w:styleId="ListLabel120">
    <w:name w:val="ListLabel 120"/>
    <w:rsid w:val="00E2476B"/>
  </w:style>
  <w:style w:type="character" w:customStyle="1" w:styleId="ListLabel121">
    <w:name w:val="ListLabel 121"/>
    <w:rsid w:val="00E2476B"/>
  </w:style>
  <w:style w:type="character" w:customStyle="1" w:styleId="ListLabel122">
    <w:name w:val="ListLabel 122"/>
    <w:rsid w:val="00E2476B"/>
  </w:style>
  <w:style w:type="character" w:customStyle="1" w:styleId="ListLabel123">
    <w:name w:val="ListLabel 123"/>
    <w:rsid w:val="00E2476B"/>
  </w:style>
  <w:style w:type="character" w:customStyle="1" w:styleId="ListLabel124">
    <w:name w:val="ListLabel 124"/>
    <w:rsid w:val="00E2476B"/>
  </w:style>
  <w:style w:type="character" w:customStyle="1" w:styleId="ListLabel125">
    <w:name w:val="ListLabel 125"/>
    <w:rsid w:val="00E2476B"/>
  </w:style>
  <w:style w:type="character" w:customStyle="1" w:styleId="ListLabel126">
    <w:name w:val="ListLabel 126"/>
    <w:rsid w:val="00E2476B"/>
  </w:style>
  <w:style w:type="character" w:customStyle="1" w:styleId="ListLabel127">
    <w:name w:val="ListLabel 127"/>
    <w:rsid w:val="00E2476B"/>
  </w:style>
  <w:style w:type="character" w:customStyle="1" w:styleId="ListLabel128">
    <w:name w:val="ListLabel 128"/>
    <w:rsid w:val="00E2476B"/>
  </w:style>
  <w:style w:type="character" w:customStyle="1" w:styleId="ListLabel129">
    <w:name w:val="ListLabel 129"/>
    <w:rsid w:val="00E2476B"/>
  </w:style>
  <w:style w:type="character" w:customStyle="1" w:styleId="ListLabel130">
    <w:name w:val="ListLabel 130"/>
    <w:rsid w:val="00E2476B"/>
  </w:style>
  <w:style w:type="character" w:customStyle="1" w:styleId="ListLabel131">
    <w:name w:val="ListLabel 131"/>
    <w:rsid w:val="00E2476B"/>
  </w:style>
  <w:style w:type="character" w:customStyle="1" w:styleId="ListLabel132">
    <w:name w:val="ListLabel 132"/>
    <w:rsid w:val="00E2476B"/>
  </w:style>
  <w:style w:type="character" w:customStyle="1" w:styleId="ListLabel133">
    <w:name w:val="ListLabel 133"/>
    <w:rsid w:val="00E2476B"/>
  </w:style>
  <w:style w:type="character" w:customStyle="1" w:styleId="ListLabel134">
    <w:name w:val="ListLabel 134"/>
    <w:rsid w:val="00E2476B"/>
  </w:style>
  <w:style w:type="character" w:customStyle="1" w:styleId="ListLabel135">
    <w:name w:val="ListLabel 135"/>
    <w:rsid w:val="00E2476B"/>
  </w:style>
  <w:style w:type="character" w:customStyle="1" w:styleId="ListLabel136">
    <w:name w:val="ListLabel 136"/>
    <w:rsid w:val="00E2476B"/>
  </w:style>
  <w:style w:type="character" w:customStyle="1" w:styleId="ListLabel137">
    <w:name w:val="ListLabel 137"/>
    <w:rsid w:val="00E2476B"/>
  </w:style>
  <w:style w:type="character" w:customStyle="1" w:styleId="ListLabel138">
    <w:name w:val="ListLabel 138"/>
    <w:rsid w:val="00E2476B"/>
  </w:style>
  <w:style w:type="character" w:customStyle="1" w:styleId="ListLabel139">
    <w:name w:val="ListLabel 139"/>
    <w:rsid w:val="00E2476B"/>
  </w:style>
  <w:style w:type="character" w:customStyle="1" w:styleId="ListLabel140">
    <w:name w:val="ListLabel 140"/>
    <w:rsid w:val="00E2476B"/>
  </w:style>
  <w:style w:type="character" w:customStyle="1" w:styleId="ListLabel141">
    <w:name w:val="ListLabel 141"/>
    <w:rsid w:val="00E2476B"/>
  </w:style>
  <w:style w:type="character" w:customStyle="1" w:styleId="ListLabel142">
    <w:name w:val="ListLabel 142"/>
    <w:rsid w:val="00E2476B"/>
  </w:style>
  <w:style w:type="character" w:customStyle="1" w:styleId="ListLabel143">
    <w:name w:val="ListLabel 143"/>
    <w:rsid w:val="00E2476B"/>
  </w:style>
  <w:style w:type="character" w:customStyle="1" w:styleId="ListLabel144">
    <w:name w:val="ListLabel 144"/>
    <w:rsid w:val="00E2476B"/>
  </w:style>
  <w:style w:type="numbering" w:customStyle="1" w:styleId="Aucuneliste1">
    <w:name w:val="Aucune liste1"/>
    <w:basedOn w:val="Aucuneliste"/>
    <w:rsid w:val="00E2476B"/>
    <w:pPr>
      <w:numPr>
        <w:numId w:val="6"/>
      </w:numPr>
    </w:pPr>
  </w:style>
  <w:style w:type="numbering" w:customStyle="1" w:styleId="WWNum1">
    <w:name w:val="WWNum1"/>
    <w:basedOn w:val="Aucuneliste"/>
    <w:rsid w:val="00E2476B"/>
    <w:pPr>
      <w:numPr>
        <w:numId w:val="8"/>
      </w:numPr>
    </w:pPr>
  </w:style>
  <w:style w:type="numbering" w:customStyle="1" w:styleId="WWNum2">
    <w:name w:val="WWNum2"/>
    <w:basedOn w:val="Aucuneliste"/>
    <w:rsid w:val="00E2476B"/>
    <w:pPr>
      <w:numPr>
        <w:numId w:val="9"/>
      </w:numPr>
    </w:pPr>
  </w:style>
  <w:style w:type="numbering" w:customStyle="1" w:styleId="WWNum3">
    <w:name w:val="WWNum3"/>
    <w:basedOn w:val="Aucuneliste"/>
    <w:rsid w:val="00E2476B"/>
    <w:pPr>
      <w:numPr>
        <w:numId w:val="10"/>
      </w:numPr>
    </w:pPr>
  </w:style>
  <w:style w:type="numbering" w:customStyle="1" w:styleId="WWNum4">
    <w:name w:val="WWNum4"/>
    <w:basedOn w:val="Aucuneliste"/>
    <w:rsid w:val="00E2476B"/>
    <w:pPr>
      <w:numPr>
        <w:numId w:val="11"/>
      </w:numPr>
    </w:pPr>
  </w:style>
  <w:style w:type="numbering" w:customStyle="1" w:styleId="WWNum5">
    <w:name w:val="WWNum5"/>
    <w:basedOn w:val="Aucuneliste"/>
    <w:rsid w:val="00E2476B"/>
    <w:pPr>
      <w:numPr>
        <w:numId w:val="12"/>
      </w:numPr>
    </w:pPr>
  </w:style>
  <w:style w:type="numbering" w:customStyle="1" w:styleId="WWNum6">
    <w:name w:val="WWNum6"/>
    <w:basedOn w:val="Aucuneliste"/>
    <w:rsid w:val="00E2476B"/>
    <w:pPr>
      <w:numPr>
        <w:numId w:val="13"/>
      </w:numPr>
    </w:pPr>
  </w:style>
  <w:style w:type="numbering" w:customStyle="1" w:styleId="WWNum7">
    <w:name w:val="WWNum7"/>
    <w:basedOn w:val="Aucuneliste"/>
    <w:rsid w:val="00E2476B"/>
    <w:pPr>
      <w:numPr>
        <w:numId w:val="14"/>
      </w:numPr>
    </w:pPr>
  </w:style>
  <w:style w:type="numbering" w:customStyle="1" w:styleId="WWNum8">
    <w:name w:val="WWNum8"/>
    <w:basedOn w:val="Aucuneliste"/>
    <w:rsid w:val="00E2476B"/>
    <w:pPr>
      <w:numPr>
        <w:numId w:val="15"/>
      </w:numPr>
    </w:pPr>
  </w:style>
  <w:style w:type="numbering" w:customStyle="1" w:styleId="WWNum9">
    <w:name w:val="WWNum9"/>
    <w:basedOn w:val="Aucuneliste"/>
    <w:rsid w:val="00E2476B"/>
    <w:pPr>
      <w:numPr>
        <w:numId w:val="16"/>
      </w:numPr>
    </w:pPr>
  </w:style>
  <w:style w:type="numbering" w:customStyle="1" w:styleId="WWNum10">
    <w:name w:val="WWNum10"/>
    <w:basedOn w:val="Aucuneliste"/>
    <w:rsid w:val="00E2476B"/>
    <w:pPr>
      <w:numPr>
        <w:numId w:val="17"/>
      </w:numPr>
    </w:pPr>
  </w:style>
  <w:style w:type="numbering" w:customStyle="1" w:styleId="WWNum11">
    <w:name w:val="WWNum11"/>
    <w:basedOn w:val="Aucuneliste"/>
    <w:rsid w:val="00E2476B"/>
    <w:pPr>
      <w:numPr>
        <w:numId w:val="18"/>
      </w:numPr>
    </w:pPr>
  </w:style>
  <w:style w:type="numbering" w:customStyle="1" w:styleId="WWNum12">
    <w:name w:val="WWNum12"/>
    <w:basedOn w:val="Aucuneliste"/>
    <w:rsid w:val="00E2476B"/>
    <w:pPr>
      <w:numPr>
        <w:numId w:val="19"/>
      </w:numPr>
    </w:pPr>
  </w:style>
  <w:style w:type="numbering" w:customStyle="1" w:styleId="WWNum13">
    <w:name w:val="WWNum13"/>
    <w:basedOn w:val="Aucuneliste"/>
    <w:rsid w:val="00E2476B"/>
    <w:pPr>
      <w:numPr>
        <w:numId w:val="20"/>
      </w:numPr>
    </w:pPr>
  </w:style>
  <w:style w:type="numbering" w:customStyle="1" w:styleId="WWNum14">
    <w:name w:val="WWNum14"/>
    <w:basedOn w:val="Aucuneliste"/>
    <w:rsid w:val="00E2476B"/>
    <w:pPr>
      <w:numPr>
        <w:numId w:val="21"/>
      </w:numPr>
    </w:pPr>
  </w:style>
  <w:style w:type="numbering" w:customStyle="1" w:styleId="WWNum15">
    <w:name w:val="WWNum15"/>
    <w:basedOn w:val="Aucuneliste"/>
    <w:rsid w:val="00E2476B"/>
    <w:pPr>
      <w:numPr>
        <w:numId w:val="22"/>
      </w:numPr>
    </w:pPr>
  </w:style>
  <w:style w:type="numbering" w:customStyle="1" w:styleId="WWNum16">
    <w:name w:val="WWNum16"/>
    <w:basedOn w:val="Aucuneliste"/>
    <w:rsid w:val="00E2476B"/>
    <w:pPr>
      <w:numPr>
        <w:numId w:val="23"/>
      </w:numPr>
    </w:pPr>
  </w:style>
  <w:style w:type="character" w:customStyle="1" w:styleId="CommentaireCar1">
    <w:name w:val="Commentaire Car1"/>
    <w:basedOn w:val="Policepardfaut"/>
    <w:link w:val="Commentaire"/>
    <w:uiPriority w:val="99"/>
    <w:rsid w:val="00E2476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000836">
      <w:bodyDiv w:val="1"/>
      <w:marLeft w:val="0"/>
      <w:marRight w:val="0"/>
      <w:marTop w:val="0"/>
      <w:marBottom w:val="0"/>
      <w:divBdr>
        <w:top w:val="none" w:sz="0" w:space="0" w:color="auto"/>
        <w:left w:val="none" w:sz="0" w:space="0" w:color="auto"/>
        <w:bottom w:val="none" w:sz="0" w:space="0" w:color="auto"/>
        <w:right w:val="none" w:sz="0" w:space="0" w:color="auto"/>
      </w:divBdr>
    </w:div>
    <w:div w:id="198713872">
      <w:bodyDiv w:val="1"/>
      <w:marLeft w:val="0"/>
      <w:marRight w:val="0"/>
      <w:marTop w:val="0"/>
      <w:marBottom w:val="0"/>
      <w:divBdr>
        <w:top w:val="none" w:sz="0" w:space="0" w:color="auto"/>
        <w:left w:val="none" w:sz="0" w:space="0" w:color="auto"/>
        <w:bottom w:val="none" w:sz="0" w:space="0" w:color="auto"/>
        <w:right w:val="none" w:sz="0" w:space="0" w:color="auto"/>
      </w:divBdr>
    </w:div>
    <w:div w:id="235869372">
      <w:bodyDiv w:val="1"/>
      <w:marLeft w:val="0"/>
      <w:marRight w:val="0"/>
      <w:marTop w:val="0"/>
      <w:marBottom w:val="0"/>
      <w:divBdr>
        <w:top w:val="none" w:sz="0" w:space="0" w:color="auto"/>
        <w:left w:val="none" w:sz="0" w:space="0" w:color="auto"/>
        <w:bottom w:val="none" w:sz="0" w:space="0" w:color="auto"/>
        <w:right w:val="none" w:sz="0" w:space="0" w:color="auto"/>
      </w:divBdr>
    </w:div>
    <w:div w:id="421223607">
      <w:bodyDiv w:val="1"/>
      <w:marLeft w:val="0"/>
      <w:marRight w:val="0"/>
      <w:marTop w:val="0"/>
      <w:marBottom w:val="0"/>
      <w:divBdr>
        <w:top w:val="none" w:sz="0" w:space="0" w:color="auto"/>
        <w:left w:val="none" w:sz="0" w:space="0" w:color="auto"/>
        <w:bottom w:val="none" w:sz="0" w:space="0" w:color="auto"/>
        <w:right w:val="none" w:sz="0" w:space="0" w:color="auto"/>
      </w:divBdr>
    </w:div>
    <w:div w:id="429203965">
      <w:bodyDiv w:val="1"/>
      <w:marLeft w:val="0"/>
      <w:marRight w:val="0"/>
      <w:marTop w:val="0"/>
      <w:marBottom w:val="0"/>
      <w:divBdr>
        <w:top w:val="none" w:sz="0" w:space="0" w:color="auto"/>
        <w:left w:val="none" w:sz="0" w:space="0" w:color="auto"/>
        <w:bottom w:val="none" w:sz="0" w:space="0" w:color="auto"/>
        <w:right w:val="none" w:sz="0" w:space="0" w:color="auto"/>
      </w:divBdr>
    </w:div>
    <w:div w:id="733432022">
      <w:bodyDiv w:val="1"/>
      <w:marLeft w:val="0"/>
      <w:marRight w:val="0"/>
      <w:marTop w:val="0"/>
      <w:marBottom w:val="0"/>
      <w:divBdr>
        <w:top w:val="none" w:sz="0" w:space="0" w:color="auto"/>
        <w:left w:val="none" w:sz="0" w:space="0" w:color="auto"/>
        <w:bottom w:val="none" w:sz="0" w:space="0" w:color="auto"/>
        <w:right w:val="none" w:sz="0" w:space="0" w:color="auto"/>
      </w:divBdr>
    </w:div>
    <w:div w:id="827939627">
      <w:bodyDiv w:val="1"/>
      <w:marLeft w:val="0"/>
      <w:marRight w:val="0"/>
      <w:marTop w:val="0"/>
      <w:marBottom w:val="0"/>
      <w:divBdr>
        <w:top w:val="none" w:sz="0" w:space="0" w:color="auto"/>
        <w:left w:val="none" w:sz="0" w:space="0" w:color="auto"/>
        <w:bottom w:val="none" w:sz="0" w:space="0" w:color="auto"/>
        <w:right w:val="none" w:sz="0" w:space="0" w:color="auto"/>
      </w:divBdr>
    </w:div>
    <w:div w:id="845367761">
      <w:bodyDiv w:val="1"/>
      <w:marLeft w:val="0"/>
      <w:marRight w:val="0"/>
      <w:marTop w:val="0"/>
      <w:marBottom w:val="0"/>
      <w:divBdr>
        <w:top w:val="none" w:sz="0" w:space="0" w:color="auto"/>
        <w:left w:val="none" w:sz="0" w:space="0" w:color="auto"/>
        <w:bottom w:val="none" w:sz="0" w:space="0" w:color="auto"/>
        <w:right w:val="none" w:sz="0" w:space="0" w:color="auto"/>
      </w:divBdr>
    </w:div>
    <w:div w:id="966470650">
      <w:bodyDiv w:val="1"/>
      <w:marLeft w:val="0"/>
      <w:marRight w:val="0"/>
      <w:marTop w:val="0"/>
      <w:marBottom w:val="0"/>
      <w:divBdr>
        <w:top w:val="none" w:sz="0" w:space="0" w:color="auto"/>
        <w:left w:val="none" w:sz="0" w:space="0" w:color="auto"/>
        <w:bottom w:val="none" w:sz="0" w:space="0" w:color="auto"/>
        <w:right w:val="none" w:sz="0" w:space="0" w:color="auto"/>
      </w:divBdr>
    </w:div>
    <w:div w:id="1012295828">
      <w:bodyDiv w:val="1"/>
      <w:marLeft w:val="0"/>
      <w:marRight w:val="0"/>
      <w:marTop w:val="0"/>
      <w:marBottom w:val="0"/>
      <w:divBdr>
        <w:top w:val="none" w:sz="0" w:space="0" w:color="auto"/>
        <w:left w:val="none" w:sz="0" w:space="0" w:color="auto"/>
        <w:bottom w:val="none" w:sz="0" w:space="0" w:color="auto"/>
        <w:right w:val="none" w:sz="0" w:space="0" w:color="auto"/>
      </w:divBdr>
    </w:div>
    <w:div w:id="1048803546">
      <w:bodyDiv w:val="1"/>
      <w:marLeft w:val="0"/>
      <w:marRight w:val="0"/>
      <w:marTop w:val="0"/>
      <w:marBottom w:val="0"/>
      <w:divBdr>
        <w:top w:val="none" w:sz="0" w:space="0" w:color="auto"/>
        <w:left w:val="none" w:sz="0" w:space="0" w:color="auto"/>
        <w:bottom w:val="none" w:sz="0" w:space="0" w:color="auto"/>
        <w:right w:val="none" w:sz="0" w:space="0" w:color="auto"/>
      </w:divBdr>
    </w:div>
    <w:div w:id="1074742509">
      <w:bodyDiv w:val="1"/>
      <w:marLeft w:val="0"/>
      <w:marRight w:val="0"/>
      <w:marTop w:val="0"/>
      <w:marBottom w:val="0"/>
      <w:divBdr>
        <w:top w:val="none" w:sz="0" w:space="0" w:color="auto"/>
        <w:left w:val="none" w:sz="0" w:space="0" w:color="auto"/>
        <w:bottom w:val="none" w:sz="0" w:space="0" w:color="auto"/>
        <w:right w:val="none" w:sz="0" w:space="0" w:color="auto"/>
      </w:divBdr>
    </w:div>
    <w:div w:id="1469594599">
      <w:bodyDiv w:val="1"/>
      <w:marLeft w:val="0"/>
      <w:marRight w:val="0"/>
      <w:marTop w:val="0"/>
      <w:marBottom w:val="0"/>
      <w:divBdr>
        <w:top w:val="none" w:sz="0" w:space="0" w:color="auto"/>
        <w:left w:val="none" w:sz="0" w:space="0" w:color="auto"/>
        <w:bottom w:val="none" w:sz="0" w:space="0" w:color="auto"/>
        <w:right w:val="none" w:sz="0" w:space="0" w:color="auto"/>
      </w:divBdr>
    </w:div>
    <w:div w:id="1492914681">
      <w:bodyDiv w:val="1"/>
      <w:marLeft w:val="0"/>
      <w:marRight w:val="0"/>
      <w:marTop w:val="0"/>
      <w:marBottom w:val="0"/>
      <w:divBdr>
        <w:top w:val="none" w:sz="0" w:space="0" w:color="auto"/>
        <w:left w:val="none" w:sz="0" w:space="0" w:color="auto"/>
        <w:bottom w:val="none" w:sz="0" w:space="0" w:color="auto"/>
        <w:right w:val="none" w:sz="0" w:space="0" w:color="auto"/>
      </w:divBdr>
    </w:div>
    <w:div w:id="1576629850">
      <w:bodyDiv w:val="1"/>
      <w:marLeft w:val="0"/>
      <w:marRight w:val="0"/>
      <w:marTop w:val="0"/>
      <w:marBottom w:val="0"/>
      <w:divBdr>
        <w:top w:val="none" w:sz="0" w:space="0" w:color="auto"/>
        <w:left w:val="none" w:sz="0" w:space="0" w:color="auto"/>
        <w:bottom w:val="none" w:sz="0" w:space="0" w:color="auto"/>
        <w:right w:val="none" w:sz="0" w:space="0" w:color="auto"/>
      </w:divBdr>
      <w:divsChild>
        <w:div w:id="373190342">
          <w:marLeft w:val="0"/>
          <w:marRight w:val="0"/>
          <w:marTop w:val="0"/>
          <w:marBottom w:val="0"/>
          <w:divBdr>
            <w:top w:val="none" w:sz="0" w:space="0" w:color="auto"/>
            <w:left w:val="none" w:sz="0" w:space="0" w:color="auto"/>
            <w:bottom w:val="none" w:sz="0" w:space="0" w:color="auto"/>
            <w:right w:val="none" w:sz="0" w:space="0" w:color="auto"/>
          </w:divBdr>
          <w:divsChild>
            <w:div w:id="704335341">
              <w:marLeft w:val="0"/>
              <w:marRight w:val="0"/>
              <w:marTop w:val="0"/>
              <w:marBottom w:val="0"/>
              <w:divBdr>
                <w:top w:val="none" w:sz="0" w:space="0" w:color="auto"/>
                <w:left w:val="none" w:sz="0" w:space="0" w:color="auto"/>
                <w:bottom w:val="none" w:sz="0" w:space="0" w:color="auto"/>
                <w:right w:val="none" w:sz="0" w:space="0" w:color="auto"/>
              </w:divBdr>
            </w:div>
          </w:divsChild>
        </w:div>
        <w:div w:id="621964146">
          <w:marLeft w:val="0"/>
          <w:marRight w:val="0"/>
          <w:marTop w:val="0"/>
          <w:marBottom w:val="0"/>
          <w:divBdr>
            <w:top w:val="none" w:sz="0" w:space="0" w:color="auto"/>
            <w:left w:val="none" w:sz="0" w:space="0" w:color="auto"/>
            <w:bottom w:val="none" w:sz="0" w:space="0" w:color="auto"/>
            <w:right w:val="none" w:sz="0" w:space="0" w:color="auto"/>
          </w:divBdr>
          <w:divsChild>
            <w:div w:id="1714118123">
              <w:marLeft w:val="0"/>
              <w:marRight w:val="0"/>
              <w:marTop w:val="0"/>
              <w:marBottom w:val="0"/>
              <w:divBdr>
                <w:top w:val="none" w:sz="0" w:space="0" w:color="auto"/>
                <w:left w:val="none" w:sz="0" w:space="0" w:color="auto"/>
                <w:bottom w:val="none" w:sz="0" w:space="0" w:color="auto"/>
                <w:right w:val="none" w:sz="0" w:space="0" w:color="auto"/>
              </w:divBdr>
            </w:div>
          </w:divsChild>
        </w:div>
        <w:div w:id="50691383">
          <w:marLeft w:val="0"/>
          <w:marRight w:val="0"/>
          <w:marTop w:val="0"/>
          <w:marBottom w:val="0"/>
          <w:divBdr>
            <w:top w:val="none" w:sz="0" w:space="0" w:color="auto"/>
            <w:left w:val="none" w:sz="0" w:space="0" w:color="auto"/>
            <w:bottom w:val="none" w:sz="0" w:space="0" w:color="auto"/>
            <w:right w:val="none" w:sz="0" w:space="0" w:color="auto"/>
          </w:divBdr>
          <w:divsChild>
            <w:div w:id="227570366">
              <w:marLeft w:val="0"/>
              <w:marRight w:val="0"/>
              <w:marTop w:val="0"/>
              <w:marBottom w:val="0"/>
              <w:divBdr>
                <w:top w:val="none" w:sz="0" w:space="0" w:color="auto"/>
                <w:left w:val="none" w:sz="0" w:space="0" w:color="auto"/>
                <w:bottom w:val="none" w:sz="0" w:space="0" w:color="auto"/>
                <w:right w:val="none" w:sz="0" w:space="0" w:color="auto"/>
              </w:divBdr>
            </w:div>
          </w:divsChild>
        </w:div>
        <w:div w:id="5069409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5200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482200">
          <w:blockQuote w:val="1"/>
          <w:marLeft w:val="720"/>
          <w:marRight w:val="720"/>
          <w:marTop w:val="100"/>
          <w:marBottom w:val="100"/>
          <w:divBdr>
            <w:top w:val="none" w:sz="0" w:space="0" w:color="auto"/>
            <w:left w:val="none" w:sz="0" w:space="0" w:color="auto"/>
            <w:bottom w:val="none" w:sz="0" w:space="0" w:color="auto"/>
            <w:right w:val="none" w:sz="0" w:space="0" w:color="auto"/>
          </w:divBdr>
        </w:div>
        <w:div w:id="804661312">
          <w:marLeft w:val="0"/>
          <w:marRight w:val="0"/>
          <w:marTop w:val="0"/>
          <w:marBottom w:val="0"/>
          <w:divBdr>
            <w:top w:val="none" w:sz="0" w:space="0" w:color="auto"/>
            <w:left w:val="none" w:sz="0" w:space="0" w:color="auto"/>
            <w:bottom w:val="none" w:sz="0" w:space="0" w:color="auto"/>
            <w:right w:val="none" w:sz="0" w:space="0" w:color="auto"/>
          </w:divBdr>
          <w:divsChild>
            <w:div w:id="15683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52102">
      <w:bodyDiv w:val="1"/>
      <w:marLeft w:val="0"/>
      <w:marRight w:val="0"/>
      <w:marTop w:val="0"/>
      <w:marBottom w:val="0"/>
      <w:divBdr>
        <w:top w:val="none" w:sz="0" w:space="0" w:color="auto"/>
        <w:left w:val="none" w:sz="0" w:space="0" w:color="auto"/>
        <w:bottom w:val="none" w:sz="0" w:space="0" w:color="auto"/>
        <w:right w:val="none" w:sz="0" w:space="0" w:color="auto"/>
      </w:divBdr>
    </w:div>
    <w:div w:id="1746679540">
      <w:bodyDiv w:val="1"/>
      <w:marLeft w:val="0"/>
      <w:marRight w:val="0"/>
      <w:marTop w:val="0"/>
      <w:marBottom w:val="0"/>
      <w:divBdr>
        <w:top w:val="none" w:sz="0" w:space="0" w:color="auto"/>
        <w:left w:val="none" w:sz="0" w:space="0" w:color="auto"/>
        <w:bottom w:val="none" w:sz="0" w:space="0" w:color="auto"/>
        <w:right w:val="none" w:sz="0" w:space="0" w:color="auto"/>
      </w:divBdr>
    </w:div>
    <w:div w:id="1787626612">
      <w:bodyDiv w:val="1"/>
      <w:marLeft w:val="0"/>
      <w:marRight w:val="0"/>
      <w:marTop w:val="0"/>
      <w:marBottom w:val="0"/>
      <w:divBdr>
        <w:top w:val="none" w:sz="0" w:space="0" w:color="auto"/>
        <w:left w:val="none" w:sz="0" w:space="0" w:color="auto"/>
        <w:bottom w:val="none" w:sz="0" w:space="0" w:color="auto"/>
        <w:right w:val="none" w:sz="0" w:space="0" w:color="auto"/>
      </w:divBdr>
      <w:divsChild>
        <w:div w:id="1684162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963199">
      <w:bodyDiv w:val="1"/>
      <w:marLeft w:val="0"/>
      <w:marRight w:val="0"/>
      <w:marTop w:val="0"/>
      <w:marBottom w:val="0"/>
      <w:divBdr>
        <w:top w:val="none" w:sz="0" w:space="0" w:color="auto"/>
        <w:left w:val="none" w:sz="0" w:space="0" w:color="auto"/>
        <w:bottom w:val="none" w:sz="0" w:space="0" w:color="auto"/>
        <w:right w:val="none" w:sz="0" w:space="0" w:color="auto"/>
      </w:divBdr>
    </w:div>
    <w:div w:id="2065323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5.png"/><Relationship Id="rId25" Type="http://schemas.openxmlformats.org/officeDocument/2006/relationships/hyperlink" Target="https://www.zotero.org/google-docs/?cNZpTI"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www.zotero.org/google-docs/?0i39a6"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7314A-C821-44B1-A9DB-841CE7E44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7276</TotalTime>
  <Pages>129</Pages>
  <Words>44247</Words>
  <Characters>243361</Characters>
  <Application>Microsoft Office Word</Application>
  <DocSecurity>0</DocSecurity>
  <Lines>2028</Lines>
  <Paragraphs>574</Paragraphs>
  <ScaleCrop>false</ScaleCrop>
  <HeadingPairs>
    <vt:vector size="2" baseType="variant">
      <vt:variant>
        <vt:lpstr>Titre</vt:lpstr>
      </vt:variant>
      <vt:variant>
        <vt:i4>1</vt:i4>
      </vt:variant>
    </vt:vector>
  </HeadingPairs>
  <TitlesOfParts>
    <vt:vector size="1" baseType="lpstr">
      <vt:lpstr>Mémoire – Partie I</vt:lpstr>
    </vt:vector>
  </TitlesOfParts>
  <Company/>
  <LinksUpToDate>false</LinksUpToDate>
  <CharactersWithSpaces>287034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 Partie I</dc:title>
  <dc:subject/>
  <dc:creator>Elisa Lemoine</dc:creator>
  <dc:description/>
  <cp:lastModifiedBy>ELISA LEMOINE</cp:lastModifiedBy>
  <cp:revision>30</cp:revision>
  <cp:lastPrinted>2026-08-04T14:12:00Z</cp:lastPrinted>
  <dcterms:created xsi:type="dcterms:W3CDTF">2026-08-04T14:53:00Z</dcterms:created>
  <dcterms:modified xsi:type="dcterms:W3CDTF">2026-08-31T15:47:00Z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id="bEnvAlRY"/&gt;&lt;style id="http://www.zotero.org/styles/le-tapuscrit-author-date" hasBibliography="1" bibliographyStyleHasBeenSet="1"/&gt;&lt;prefs&gt;&lt;pref name="fieldType" value="ReferenceMark"/&gt;&lt;/prefs&gt;&lt;/dat</vt:lpwstr>
  </property>
  <property fmtid="{D5CDD505-2E9C-101B-9397-08002B2CF9AE}" pid="3" name="ZOTERO_PREF_2">
    <vt:lpwstr>a&gt;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date">
    <vt:lpwstr>1 août 2026</vt:lpwstr>
  </property>
  <property fmtid="{D5CDD505-2E9C-101B-9397-08002B2CF9AE}" pid="9" name="date-format">
    <vt:lpwstr>long</vt:lpwstr>
  </property>
  <property fmtid="{D5CDD505-2E9C-101B-9397-08002B2CF9AE}" pid="10" name="editor">
    <vt:lpwstr/>
  </property>
  <property fmtid="{D5CDD505-2E9C-101B-9397-08002B2CF9AE}" pid="11" name="execute">
    <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 situations conjugales bisexuelles</vt:lpwstr>
  </property>
  <property fmtid="{D5CDD505-2E9C-101B-9397-08002B2CF9AE}" pid="18" name="toc-title">
    <vt:lpwstr>Table des matières</vt:lpwstr>
  </property>
  <property fmtid="{D5CDD505-2E9C-101B-9397-08002B2CF9AE}" pid="19" name="toc_depth">
    <vt:lpwstr>5</vt:lpwstr>
  </property>
</Properties>
</file>