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1EED" w14:textId="3B14A663" w:rsidR="007118E3" w:rsidRDefault="00B20AF8">
      <w:pPr>
        <w:pStyle w:val="Titre"/>
        <w:rPr>
          <w:rFonts w:ascii="Times New Roman" w:hAnsi="Times New Roman"/>
        </w:rPr>
      </w:pPr>
      <w:r>
        <w:rPr>
          <w:rFonts w:ascii="Times New Roman" w:hAnsi="Times New Roman"/>
        </w:rPr>
        <w:t>Mémoire – Chapitre II</w:t>
      </w:r>
      <w:r w:rsidR="005D5189">
        <w:rPr>
          <w:rFonts w:ascii="Times New Roman" w:hAnsi="Times New Roman"/>
        </w:rPr>
        <w:t>I</w:t>
      </w:r>
    </w:p>
    <w:p w14:paraId="035F51BA" w14:textId="62F6722D" w:rsidR="007118E3" w:rsidRDefault="005D5189">
      <w:pPr>
        <w:pStyle w:val="Sous-titre"/>
        <w:rPr>
          <w:rFonts w:ascii="Times New Roman" w:hAnsi="Times New Roman"/>
        </w:rPr>
      </w:pPr>
      <w:r>
        <w:rPr>
          <w:rFonts w:ascii="Times New Roman" w:hAnsi="Times New Roman"/>
        </w:rPr>
        <w:t>Violences conjugales</w:t>
      </w:r>
    </w:p>
    <w:p w14:paraId="7ACF080F" w14:textId="77777777" w:rsidR="007118E3" w:rsidRDefault="00B20AF8">
      <w:pPr>
        <w:pStyle w:val="Author"/>
        <w:rPr>
          <w:rFonts w:ascii="Times New Roman" w:hAnsi="Times New Roman"/>
        </w:rPr>
      </w:pPr>
      <w:r>
        <w:rPr>
          <w:rFonts w:ascii="Times New Roman" w:hAnsi="Times New Roman"/>
        </w:rPr>
        <w:t>Elisa Lemoine</w:t>
      </w:r>
    </w:p>
    <w:p w14:paraId="50DC131D" w14:textId="09ACE694" w:rsidR="000244D8" w:rsidRDefault="00B20AF8">
      <w:pPr>
        <w:pStyle w:val="TM1"/>
        <w:tabs>
          <w:tab w:val="right" w:leader="dot" w:pos="9394"/>
        </w:tabs>
        <w:rPr>
          <w:rFonts w:asciiTheme="minorHAnsi" w:eastAsiaTheme="minorEastAsia" w:hAnsiTheme="minorHAnsi" w:cstheme="minorBidi"/>
          <w:noProof/>
          <w:sz w:val="22"/>
          <w:szCs w:val="22"/>
          <w:lang w:eastAsia="fr-FR"/>
        </w:rPr>
      </w:pPr>
      <w:r>
        <w:rPr>
          <w:rFonts w:ascii="Aptos Display" w:hAnsi="Aptos Display"/>
        </w:rPr>
        <w:fldChar w:fldCharType="begin"/>
      </w:r>
      <w:r>
        <w:instrText xml:space="preserve"> TOC \o "1-3" \u \h </w:instrText>
      </w:r>
      <w:r>
        <w:rPr>
          <w:rFonts w:ascii="Aptos Display" w:hAnsi="Aptos Display"/>
        </w:rPr>
        <w:fldChar w:fldCharType="separate"/>
      </w:r>
      <w:hyperlink w:anchor="_Toc238741943" w:history="1">
        <w:r w:rsidR="000244D8" w:rsidRPr="0088518E">
          <w:rPr>
            <w:rStyle w:val="Lienhypertexte"/>
            <w:noProof/>
          </w:rPr>
          <w:t>Chapitre III : Violences conjugales</w:t>
        </w:r>
        <w:r w:rsidR="000244D8">
          <w:rPr>
            <w:noProof/>
          </w:rPr>
          <w:tab/>
        </w:r>
        <w:r w:rsidR="000244D8">
          <w:rPr>
            <w:noProof/>
          </w:rPr>
          <w:fldChar w:fldCharType="begin"/>
        </w:r>
        <w:r w:rsidR="000244D8">
          <w:rPr>
            <w:noProof/>
          </w:rPr>
          <w:instrText xml:space="preserve"> PAGEREF _Toc238741943 \h </w:instrText>
        </w:r>
        <w:r w:rsidR="000244D8">
          <w:rPr>
            <w:noProof/>
          </w:rPr>
        </w:r>
        <w:r w:rsidR="000244D8">
          <w:rPr>
            <w:noProof/>
          </w:rPr>
          <w:fldChar w:fldCharType="separate"/>
        </w:r>
        <w:r w:rsidR="00B70020">
          <w:rPr>
            <w:noProof/>
          </w:rPr>
          <w:t>2</w:t>
        </w:r>
        <w:r w:rsidR="000244D8">
          <w:rPr>
            <w:noProof/>
          </w:rPr>
          <w:fldChar w:fldCharType="end"/>
        </w:r>
      </w:hyperlink>
    </w:p>
    <w:p w14:paraId="25D61747" w14:textId="05C2816E" w:rsidR="000244D8" w:rsidRDefault="000244D8">
      <w:pPr>
        <w:pStyle w:val="TM2"/>
        <w:tabs>
          <w:tab w:val="left" w:pos="660"/>
          <w:tab w:val="right" w:leader="dot" w:pos="9394"/>
        </w:tabs>
        <w:rPr>
          <w:rFonts w:asciiTheme="minorHAnsi" w:eastAsiaTheme="minorEastAsia" w:hAnsiTheme="minorHAnsi" w:cstheme="minorBidi"/>
          <w:noProof/>
          <w:sz w:val="22"/>
          <w:szCs w:val="22"/>
          <w:lang w:eastAsia="fr-FR"/>
        </w:rPr>
      </w:pPr>
      <w:hyperlink w:anchor="_Toc238741944" w:history="1">
        <w:r w:rsidRPr="0088518E">
          <w:rPr>
            <w:rStyle w:val="Lienhypertexte"/>
            <w:noProof/>
          </w:rPr>
          <w:t>I.</w:t>
        </w:r>
        <w:r>
          <w:rPr>
            <w:rFonts w:asciiTheme="minorHAnsi" w:eastAsiaTheme="minorEastAsia" w:hAnsiTheme="minorHAnsi" w:cstheme="minorBidi"/>
            <w:noProof/>
            <w:sz w:val="22"/>
            <w:szCs w:val="22"/>
            <w:lang w:eastAsia="fr-FR"/>
          </w:rPr>
          <w:tab/>
        </w:r>
        <w:r w:rsidRPr="0088518E">
          <w:rPr>
            <w:rStyle w:val="Lienhypertexte"/>
            <w:noProof/>
          </w:rPr>
          <w:t>La place de la bisexualité dans les recherches sur les violences conjugales</w:t>
        </w:r>
        <w:r>
          <w:rPr>
            <w:noProof/>
          </w:rPr>
          <w:tab/>
        </w:r>
        <w:r>
          <w:rPr>
            <w:noProof/>
          </w:rPr>
          <w:fldChar w:fldCharType="begin"/>
        </w:r>
        <w:r>
          <w:rPr>
            <w:noProof/>
          </w:rPr>
          <w:instrText xml:space="preserve"> PAGEREF _Toc238741944 \h </w:instrText>
        </w:r>
        <w:r>
          <w:rPr>
            <w:noProof/>
          </w:rPr>
        </w:r>
        <w:r>
          <w:rPr>
            <w:noProof/>
          </w:rPr>
          <w:fldChar w:fldCharType="separate"/>
        </w:r>
        <w:r w:rsidR="00B70020">
          <w:rPr>
            <w:noProof/>
          </w:rPr>
          <w:t>2</w:t>
        </w:r>
        <w:r>
          <w:rPr>
            <w:noProof/>
          </w:rPr>
          <w:fldChar w:fldCharType="end"/>
        </w:r>
      </w:hyperlink>
    </w:p>
    <w:p w14:paraId="2147CD2C" w14:textId="2804D218"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45" w:history="1">
        <w:r w:rsidRPr="0088518E">
          <w:rPr>
            <w:rStyle w:val="Lienhypertexte"/>
            <w:noProof/>
          </w:rPr>
          <w:t>L’asymétrie des violences conjugales</w:t>
        </w:r>
        <w:r>
          <w:rPr>
            <w:noProof/>
          </w:rPr>
          <w:tab/>
        </w:r>
        <w:r>
          <w:rPr>
            <w:noProof/>
          </w:rPr>
          <w:fldChar w:fldCharType="begin"/>
        </w:r>
        <w:r>
          <w:rPr>
            <w:noProof/>
          </w:rPr>
          <w:instrText xml:space="preserve"> PAGEREF _Toc238741945 \h </w:instrText>
        </w:r>
        <w:r>
          <w:rPr>
            <w:noProof/>
          </w:rPr>
        </w:r>
        <w:r>
          <w:rPr>
            <w:noProof/>
          </w:rPr>
          <w:fldChar w:fldCharType="separate"/>
        </w:r>
        <w:r w:rsidR="00B70020">
          <w:rPr>
            <w:noProof/>
          </w:rPr>
          <w:t>2</w:t>
        </w:r>
        <w:r>
          <w:rPr>
            <w:noProof/>
          </w:rPr>
          <w:fldChar w:fldCharType="end"/>
        </w:r>
      </w:hyperlink>
    </w:p>
    <w:p w14:paraId="5A96C44F" w14:textId="06A7507C"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46" w:history="1">
        <w:r w:rsidRPr="0088518E">
          <w:rPr>
            <w:rStyle w:val="Lienhypertexte"/>
            <w:noProof/>
          </w:rPr>
          <w:t>Le genre et la sexualité dans l’étude des violences conjugales</w:t>
        </w:r>
        <w:r>
          <w:rPr>
            <w:noProof/>
          </w:rPr>
          <w:tab/>
        </w:r>
        <w:r>
          <w:rPr>
            <w:noProof/>
          </w:rPr>
          <w:fldChar w:fldCharType="begin"/>
        </w:r>
        <w:r>
          <w:rPr>
            <w:noProof/>
          </w:rPr>
          <w:instrText xml:space="preserve"> PAGEREF _Toc238741946 \h </w:instrText>
        </w:r>
        <w:r>
          <w:rPr>
            <w:noProof/>
          </w:rPr>
        </w:r>
        <w:r>
          <w:rPr>
            <w:noProof/>
          </w:rPr>
          <w:fldChar w:fldCharType="separate"/>
        </w:r>
        <w:r w:rsidR="00B70020">
          <w:rPr>
            <w:noProof/>
          </w:rPr>
          <w:t>3</w:t>
        </w:r>
        <w:r>
          <w:rPr>
            <w:noProof/>
          </w:rPr>
          <w:fldChar w:fldCharType="end"/>
        </w:r>
      </w:hyperlink>
    </w:p>
    <w:p w14:paraId="64F5F4CC" w14:textId="0754589C"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47" w:history="1">
        <w:r w:rsidRPr="0088518E">
          <w:rPr>
            <w:rStyle w:val="Lienhypertexte"/>
            <w:noProof/>
          </w:rPr>
          <w:t>Repenser la place de la bisexualité dans les violences conjugales</w:t>
        </w:r>
        <w:r>
          <w:rPr>
            <w:noProof/>
          </w:rPr>
          <w:tab/>
        </w:r>
        <w:r>
          <w:rPr>
            <w:noProof/>
          </w:rPr>
          <w:fldChar w:fldCharType="begin"/>
        </w:r>
        <w:r>
          <w:rPr>
            <w:noProof/>
          </w:rPr>
          <w:instrText xml:space="preserve"> PAGEREF _Toc238741947 \h </w:instrText>
        </w:r>
        <w:r>
          <w:rPr>
            <w:noProof/>
          </w:rPr>
        </w:r>
        <w:r>
          <w:rPr>
            <w:noProof/>
          </w:rPr>
          <w:fldChar w:fldCharType="separate"/>
        </w:r>
        <w:r w:rsidR="00B70020">
          <w:rPr>
            <w:noProof/>
          </w:rPr>
          <w:t>4</w:t>
        </w:r>
        <w:r>
          <w:rPr>
            <w:noProof/>
          </w:rPr>
          <w:fldChar w:fldCharType="end"/>
        </w:r>
      </w:hyperlink>
    </w:p>
    <w:p w14:paraId="4ABD17BE" w14:textId="7F290D0D" w:rsidR="000244D8" w:rsidRDefault="000244D8">
      <w:pPr>
        <w:pStyle w:val="TM2"/>
        <w:tabs>
          <w:tab w:val="left" w:pos="660"/>
          <w:tab w:val="right" w:leader="dot" w:pos="9394"/>
        </w:tabs>
        <w:rPr>
          <w:rFonts w:asciiTheme="minorHAnsi" w:eastAsiaTheme="minorEastAsia" w:hAnsiTheme="minorHAnsi" w:cstheme="minorBidi"/>
          <w:noProof/>
          <w:sz w:val="22"/>
          <w:szCs w:val="22"/>
          <w:lang w:eastAsia="fr-FR"/>
        </w:rPr>
      </w:pPr>
      <w:hyperlink w:anchor="_Toc238741948" w:history="1">
        <w:r w:rsidRPr="0088518E">
          <w:rPr>
            <w:rStyle w:val="Lienhypertexte"/>
            <w:noProof/>
          </w:rPr>
          <w:t>II.</w:t>
        </w:r>
        <w:r>
          <w:rPr>
            <w:rFonts w:asciiTheme="minorHAnsi" w:eastAsiaTheme="minorEastAsia" w:hAnsiTheme="minorHAnsi" w:cstheme="minorBidi"/>
            <w:noProof/>
            <w:sz w:val="22"/>
            <w:szCs w:val="22"/>
            <w:lang w:eastAsia="fr-FR"/>
          </w:rPr>
          <w:tab/>
        </w:r>
        <w:r w:rsidRPr="0088518E">
          <w:rPr>
            <w:rStyle w:val="Lienhypertexte"/>
            <w:noProof/>
          </w:rPr>
          <w:t>La mesure des violences conjugales et les liens avec la bisexualité dans l’enquête Virage</w:t>
        </w:r>
        <w:r>
          <w:rPr>
            <w:noProof/>
          </w:rPr>
          <w:tab/>
        </w:r>
        <w:r>
          <w:rPr>
            <w:noProof/>
          </w:rPr>
          <w:fldChar w:fldCharType="begin"/>
        </w:r>
        <w:r>
          <w:rPr>
            <w:noProof/>
          </w:rPr>
          <w:instrText xml:space="preserve"> PAGEREF _Toc238741948 \h </w:instrText>
        </w:r>
        <w:r>
          <w:rPr>
            <w:noProof/>
          </w:rPr>
        </w:r>
        <w:r>
          <w:rPr>
            <w:noProof/>
          </w:rPr>
          <w:fldChar w:fldCharType="separate"/>
        </w:r>
        <w:r w:rsidR="00B70020">
          <w:rPr>
            <w:noProof/>
          </w:rPr>
          <w:t>6</w:t>
        </w:r>
        <w:r>
          <w:rPr>
            <w:noProof/>
          </w:rPr>
          <w:fldChar w:fldCharType="end"/>
        </w:r>
      </w:hyperlink>
    </w:p>
    <w:p w14:paraId="5344A180" w14:textId="01E8430E"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49" w:history="1">
        <w:r w:rsidRPr="0088518E">
          <w:rPr>
            <w:rStyle w:val="Lienhypertexte"/>
            <w:noProof/>
          </w:rPr>
          <w:t>La mesure des violences dans le couple au cours des douze mois précédant l’enquête</w:t>
        </w:r>
        <w:r>
          <w:rPr>
            <w:noProof/>
          </w:rPr>
          <w:tab/>
        </w:r>
        <w:r>
          <w:rPr>
            <w:noProof/>
          </w:rPr>
          <w:fldChar w:fldCharType="begin"/>
        </w:r>
        <w:r>
          <w:rPr>
            <w:noProof/>
          </w:rPr>
          <w:instrText xml:space="preserve"> PAGEREF _Toc238741949 \h </w:instrText>
        </w:r>
        <w:r>
          <w:rPr>
            <w:noProof/>
          </w:rPr>
        </w:r>
        <w:r>
          <w:rPr>
            <w:noProof/>
          </w:rPr>
          <w:fldChar w:fldCharType="separate"/>
        </w:r>
        <w:r w:rsidR="00B70020">
          <w:rPr>
            <w:noProof/>
          </w:rPr>
          <w:t>6</w:t>
        </w:r>
        <w:r>
          <w:rPr>
            <w:noProof/>
          </w:rPr>
          <w:fldChar w:fldCharType="end"/>
        </w:r>
      </w:hyperlink>
    </w:p>
    <w:p w14:paraId="0AF47E4D" w14:textId="192DAB03"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50" w:history="1">
        <w:r w:rsidRPr="0088518E">
          <w:rPr>
            <w:rStyle w:val="Lienhypertexte"/>
            <w:noProof/>
          </w:rPr>
          <w:t>Les indicateurs construits a posteriori</w:t>
        </w:r>
        <w:r>
          <w:rPr>
            <w:noProof/>
          </w:rPr>
          <w:tab/>
        </w:r>
        <w:r>
          <w:rPr>
            <w:noProof/>
          </w:rPr>
          <w:fldChar w:fldCharType="begin"/>
        </w:r>
        <w:r>
          <w:rPr>
            <w:noProof/>
          </w:rPr>
          <w:instrText xml:space="preserve"> PAGEREF _Toc238741950 \h </w:instrText>
        </w:r>
        <w:r>
          <w:rPr>
            <w:noProof/>
          </w:rPr>
        </w:r>
        <w:r>
          <w:rPr>
            <w:noProof/>
          </w:rPr>
          <w:fldChar w:fldCharType="separate"/>
        </w:r>
        <w:r w:rsidR="00B70020">
          <w:rPr>
            <w:noProof/>
          </w:rPr>
          <w:t>8</w:t>
        </w:r>
        <w:r>
          <w:rPr>
            <w:noProof/>
          </w:rPr>
          <w:fldChar w:fldCharType="end"/>
        </w:r>
      </w:hyperlink>
    </w:p>
    <w:p w14:paraId="609DF86F" w14:textId="776D71E4"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51" w:history="1">
        <w:r w:rsidRPr="0088518E">
          <w:rPr>
            <w:rStyle w:val="Lienhypertexte"/>
            <w:noProof/>
          </w:rPr>
          <w:t>Violence conjugale et bisexualité dans l’enquête</w:t>
        </w:r>
        <w:r>
          <w:rPr>
            <w:noProof/>
          </w:rPr>
          <w:tab/>
        </w:r>
        <w:r>
          <w:rPr>
            <w:noProof/>
          </w:rPr>
          <w:fldChar w:fldCharType="begin"/>
        </w:r>
        <w:r>
          <w:rPr>
            <w:noProof/>
          </w:rPr>
          <w:instrText xml:space="preserve"> PAGEREF _Toc238741951 \h </w:instrText>
        </w:r>
        <w:r>
          <w:rPr>
            <w:noProof/>
          </w:rPr>
        </w:r>
        <w:r>
          <w:rPr>
            <w:noProof/>
          </w:rPr>
          <w:fldChar w:fldCharType="separate"/>
        </w:r>
        <w:r w:rsidR="00B70020">
          <w:rPr>
            <w:noProof/>
          </w:rPr>
          <w:t>9</w:t>
        </w:r>
        <w:r>
          <w:rPr>
            <w:noProof/>
          </w:rPr>
          <w:fldChar w:fldCharType="end"/>
        </w:r>
      </w:hyperlink>
    </w:p>
    <w:p w14:paraId="27509776" w14:textId="5B5223A3" w:rsidR="000244D8" w:rsidRDefault="000244D8">
      <w:pPr>
        <w:pStyle w:val="TM2"/>
        <w:tabs>
          <w:tab w:val="left" w:pos="880"/>
          <w:tab w:val="right" w:leader="dot" w:pos="9394"/>
        </w:tabs>
        <w:rPr>
          <w:rFonts w:asciiTheme="minorHAnsi" w:eastAsiaTheme="minorEastAsia" w:hAnsiTheme="minorHAnsi" w:cstheme="minorBidi"/>
          <w:noProof/>
          <w:sz w:val="22"/>
          <w:szCs w:val="22"/>
          <w:lang w:eastAsia="fr-FR"/>
        </w:rPr>
      </w:pPr>
      <w:hyperlink w:anchor="_Toc238741952" w:history="1">
        <w:r w:rsidRPr="0088518E">
          <w:rPr>
            <w:rStyle w:val="Lienhypertexte"/>
            <w:noProof/>
          </w:rPr>
          <w:t>III.</w:t>
        </w:r>
        <w:r>
          <w:rPr>
            <w:rFonts w:asciiTheme="minorHAnsi" w:eastAsiaTheme="minorEastAsia" w:hAnsiTheme="minorHAnsi" w:cstheme="minorBidi"/>
            <w:noProof/>
            <w:sz w:val="22"/>
            <w:szCs w:val="22"/>
            <w:lang w:eastAsia="fr-FR"/>
          </w:rPr>
          <w:tab/>
        </w:r>
        <w:r w:rsidRPr="0088518E">
          <w:rPr>
            <w:rStyle w:val="Lienhypertexte"/>
            <w:noProof/>
          </w:rPr>
          <w:t>Les configurations des violences conjugales déclarées par les personnes bisexuelles</w:t>
        </w:r>
        <w:r>
          <w:rPr>
            <w:noProof/>
          </w:rPr>
          <w:tab/>
        </w:r>
        <w:r>
          <w:rPr>
            <w:noProof/>
          </w:rPr>
          <w:fldChar w:fldCharType="begin"/>
        </w:r>
        <w:r>
          <w:rPr>
            <w:noProof/>
          </w:rPr>
          <w:instrText xml:space="preserve"> PAGEREF _Toc238741952 \h </w:instrText>
        </w:r>
        <w:r>
          <w:rPr>
            <w:noProof/>
          </w:rPr>
        </w:r>
        <w:r>
          <w:rPr>
            <w:noProof/>
          </w:rPr>
          <w:fldChar w:fldCharType="separate"/>
        </w:r>
        <w:r w:rsidR="00B70020">
          <w:rPr>
            <w:noProof/>
          </w:rPr>
          <w:t>9</w:t>
        </w:r>
        <w:r>
          <w:rPr>
            <w:noProof/>
          </w:rPr>
          <w:fldChar w:fldCharType="end"/>
        </w:r>
      </w:hyperlink>
    </w:p>
    <w:p w14:paraId="59CF5B3D" w14:textId="744D12B2"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53" w:history="1">
        <w:r w:rsidRPr="0088518E">
          <w:rPr>
            <w:rStyle w:val="Lienhypertexte"/>
            <w:noProof/>
          </w:rPr>
          <w:t>La surexposition aux violences psychologiques chez les femmes bisexuelles</w:t>
        </w:r>
        <w:r>
          <w:rPr>
            <w:noProof/>
          </w:rPr>
          <w:tab/>
        </w:r>
        <w:r>
          <w:rPr>
            <w:noProof/>
          </w:rPr>
          <w:fldChar w:fldCharType="begin"/>
        </w:r>
        <w:r>
          <w:rPr>
            <w:noProof/>
          </w:rPr>
          <w:instrText xml:space="preserve"> PAGEREF _Toc238741953 \h </w:instrText>
        </w:r>
        <w:r>
          <w:rPr>
            <w:noProof/>
          </w:rPr>
        </w:r>
        <w:r>
          <w:rPr>
            <w:noProof/>
          </w:rPr>
          <w:fldChar w:fldCharType="separate"/>
        </w:r>
        <w:r w:rsidR="00B70020">
          <w:rPr>
            <w:noProof/>
          </w:rPr>
          <w:t>9</w:t>
        </w:r>
        <w:r>
          <w:rPr>
            <w:noProof/>
          </w:rPr>
          <w:fldChar w:fldCharType="end"/>
        </w:r>
      </w:hyperlink>
    </w:p>
    <w:p w14:paraId="02EC170B" w14:textId="7EA24EC6"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54" w:history="1">
        <w:r w:rsidRPr="0088518E">
          <w:rPr>
            <w:rStyle w:val="Lienhypertexte"/>
            <w:noProof/>
          </w:rPr>
          <w:t>Les facteurs de risques associés à la bisexualité</w:t>
        </w:r>
        <w:r>
          <w:rPr>
            <w:noProof/>
          </w:rPr>
          <w:tab/>
        </w:r>
        <w:r>
          <w:rPr>
            <w:noProof/>
          </w:rPr>
          <w:fldChar w:fldCharType="begin"/>
        </w:r>
        <w:r>
          <w:rPr>
            <w:noProof/>
          </w:rPr>
          <w:instrText xml:space="preserve"> PAGEREF _Toc238741954 \h </w:instrText>
        </w:r>
        <w:r>
          <w:rPr>
            <w:noProof/>
          </w:rPr>
        </w:r>
        <w:r>
          <w:rPr>
            <w:noProof/>
          </w:rPr>
          <w:fldChar w:fldCharType="separate"/>
        </w:r>
        <w:r w:rsidR="00B70020">
          <w:rPr>
            <w:noProof/>
          </w:rPr>
          <w:t>18</w:t>
        </w:r>
        <w:r>
          <w:rPr>
            <w:noProof/>
          </w:rPr>
          <w:fldChar w:fldCharType="end"/>
        </w:r>
      </w:hyperlink>
    </w:p>
    <w:p w14:paraId="363CB958" w14:textId="429B3E9D" w:rsidR="000244D8" w:rsidRDefault="000244D8">
      <w:pPr>
        <w:pStyle w:val="TM3"/>
        <w:tabs>
          <w:tab w:val="right" w:leader="dot" w:pos="9394"/>
        </w:tabs>
        <w:rPr>
          <w:rFonts w:asciiTheme="minorHAnsi" w:eastAsiaTheme="minorEastAsia" w:hAnsiTheme="minorHAnsi" w:cstheme="minorBidi"/>
          <w:noProof/>
          <w:sz w:val="22"/>
          <w:szCs w:val="22"/>
          <w:lang w:eastAsia="fr-FR"/>
        </w:rPr>
      </w:pPr>
      <w:hyperlink w:anchor="_Toc238741955" w:history="1">
        <w:r w:rsidRPr="0088518E">
          <w:rPr>
            <w:rStyle w:val="Lienhypertexte"/>
            <w:noProof/>
          </w:rPr>
          <w:t>La bisexualité dans l’exercice et la perception des violences</w:t>
        </w:r>
        <w:r>
          <w:rPr>
            <w:noProof/>
          </w:rPr>
          <w:tab/>
        </w:r>
        <w:r>
          <w:rPr>
            <w:noProof/>
          </w:rPr>
          <w:fldChar w:fldCharType="begin"/>
        </w:r>
        <w:r>
          <w:rPr>
            <w:noProof/>
          </w:rPr>
          <w:instrText xml:space="preserve"> PAGEREF _Toc238741955 \h </w:instrText>
        </w:r>
        <w:r>
          <w:rPr>
            <w:noProof/>
          </w:rPr>
        </w:r>
        <w:r>
          <w:rPr>
            <w:noProof/>
          </w:rPr>
          <w:fldChar w:fldCharType="separate"/>
        </w:r>
        <w:r w:rsidR="00B70020">
          <w:rPr>
            <w:noProof/>
          </w:rPr>
          <w:t>21</w:t>
        </w:r>
        <w:r>
          <w:rPr>
            <w:noProof/>
          </w:rPr>
          <w:fldChar w:fldCharType="end"/>
        </w:r>
      </w:hyperlink>
    </w:p>
    <w:p w14:paraId="529F2F39" w14:textId="06C522C5" w:rsidR="000244D8" w:rsidRDefault="000244D8">
      <w:pPr>
        <w:pStyle w:val="TM2"/>
        <w:tabs>
          <w:tab w:val="right" w:leader="dot" w:pos="9394"/>
        </w:tabs>
        <w:rPr>
          <w:rFonts w:asciiTheme="minorHAnsi" w:eastAsiaTheme="minorEastAsia" w:hAnsiTheme="minorHAnsi" w:cstheme="minorBidi"/>
          <w:noProof/>
          <w:sz w:val="22"/>
          <w:szCs w:val="22"/>
          <w:lang w:eastAsia="fr-FR"/>
        </w:rPr>
      </w:pPr>
      <w:hyperlink w:anchor="_Toc238741956" w:history="1">
        <w:r w:rsidRPr="0088518E">
          <w:rPr>
            <w:rStyle w:val="Lienhypertexte"/>
            <w:noProof/>
          </w:rPr>
          <w:t>Conclusion</w:t>
        </w:r>
        <w:r>
          <w:rPr>
            <w:noProof/>
          </w:rPr>
          <w:tab/>
        </w:r>
        <w:r>
          <w:rPr>
            <w:noProof/>
          </w:rPr>
          <w:fldChar w:fldCharType="begin"/>
        </w:r>
        <w:r>
          <w:rPr>
            <w:noProof/>
          </w:rPr>
          <w:instrText xml:space="preserve"> PAGEREF _Toc238741956 \h </w:instrText>
        </w:r>
        <w:r>
          <w:rPr>
            <w:noProof/>
          </w:rPr>
        </w:r>
        <w:r>
          <w:rPr>
            <w:noProof/>
          </w:rPr>
          <w:fldChar w:fldCharType="separate"/>
        </w:r>
        <w:r w:rsidR="00B70020">
          <w:rPr>
            <w:noProof/>
          </w:rPr>
          <w:t>25</w:t>
        </w:r>
        <w:r>
          <w:rPr>
            <w:noProof/>
          </w:rPr>
          <w:fldChar w:fldCharType="end"/>
        </w:r>
      </w:hyperlink>
    </w:p>
    <w:p w14:paraId="3FE38EC6" w14:textId="750AD231" w:rsidR="000244D8" w:rsidRDefault="000244D8">
      <w:pPr>
        <w:pStyle w:val="TM1"/>
        <w:tabs>
          <w:tab w:val="right" w:leader="dot" w:pos="9394"/>
        </w:tabs>
        <w:rPr>
          <w:rFonts w:asciiTheme="minorHAnsi" w:eastAsiaTheme="minorEastAsia" w:hAnsiTheme="minorHAnsi" w:cstheme="minorBidi"/>
          <w:noProof/>
          <w:sz w:val="22"/>
          <w:szCs w:val="22"/>
          <w:lang w:eastAsia="fr-FR"/>
        </w:rPr>
      </w:pPr>
      <w:hyperlink w:anchor="_Toc238741957" w:history="1">
        <w:r w:rsidRPr="0088518E">
          <w:rPr>
            <w:rStyle w:val="Lienhypertexte"/>
            <w:noProof/>
          </w:rPr>
          <w:t>Bibliographie</w:t>
        </w:r>
        <w:r>
          <w:rPr>
            <w:noProof/>
          </w:rPr>
          <w:tab/>
        </w:r>
        <w:r>
          <w:rPr>
            <w:noProof/>
          </w:rPr>
          <w:fldChar w:fldCharType="begin"/>
        </w:r>
        <w:r>
          <w:rPr>
            <w:noProof/>
          </w:rPr>
          <w:instrText xml:space="preserve"> PAGEREF _Toc238741957 \h </w:instrText>
        </w:r>
        <w:r>
          <w:rPr>
            <w:noProof/>
          </w:rPr>
        </w:r>
        <w:r>
          <w:rPr>
            <w:noProof/>
          </w:rPr>
          <w:fldChar w:fldCharType="separate"/>
        </w:r>
        <w:r w:rsidR="00B70020">
          <w:rPr>
            <w:noProof/>
          </w:rPr>
          <w:t>26</w:t>
        </w:r>
        <w:r>
          <w:rPr>
            <w:noProof/>
          </w:rPr>
          <w:fldChar w:fldCharType="end"/>
        </w:r>
      </w:hyperlink>
    </w:p>
    <w:p w14:paraId="17E91F71" w14:textId="083D645A" w:rsidR="000244D8" w:rsidRDefault="000244D8">
      <w:pPr>
        <w:pStyle w:val="TM1"/>
        <w:tabs>
          <w:tab w:val="right" w:leader="dot" w:pos="9394"/>
        </w:tabs>
        <w:rPr>
          <w:rFonts w:asciiTheme="minorHAnsi" w:eastAsiaTheme="minorEastAsia" w:hAnsiTheme="minorHAnsi" w:cstheme="minorBidi"/>
          <w:noProof/>
          <w:sz w:val="22"/>
          <w:szCs w:val="22"/>
          <w:lang w:eastAsia="fr-FR"/>
        </w:rPr>
      </w:pPr>
      <w:hyperlink w:anchor="_Toc238741958" w:history="1">
        <w:r w:rsidRPr="0088518E">
          <w:rPr>
            <w:rStyle w:val="Lienhypertexte"/>
            <w:noProof/>
          </w:rPr>
          <w:t>Annexes</w:t>
        </w:r>
        <w:r>
          <w:rPr>
            <w:noProof/>
          </w:rPr>
          <w:tab/>
        </w:r>
        <w:r>
          <w:rPr>
            <w:noProof/>
          </w:rPr>
          <w:fldChar w:fldCharType="begin"/>
        </w:r>
        <w:r>
          <w:rPr>
            <w:noProof/>
          </w:rPr>
          <w:instrText xml:space="preserve"> PAGEREF _Toc238741958 \h </w:instrText>
        </w:r>
        <w:r>
          <w:rPr>
            <w:noProof/>
          </w:rPr>
        </w:r>
        <w:r>
          <w:rPr>
            <w:noProof/>
          </w:rPr>
          <w:fldChar w:fldCharType="separate"/>
        </w:r>
        <w:r w:rsidR="00B70020">
          <w:rPr>
            <w:noProof/>
          </w:rPr>
          <w:t>29</w:t>
        </w:r>
        <w:r>
          <w:rPr>
            <w:noProof/>
          </w:rPr>
          <w:fldChar w:fldCharType="end"/>
        </w:r>
      </w:hyperlink>
    </w:p>
    <w:p w14:paraId="33AACC50" w14:textId="6567FFE6" w:rsidR="007118E3" w:rsidRDefault="00B20AF8">
      <w:pPr>
        <w:pStyle w:val="Titre1"/>
      </w:pPr>
      <w:r>
        <w:fldChar w:fldCharType="end"/>
      </w:r>
      <w:bookmarkStart w:id="0" w:name="_Toc237679772"/>
    </w:p>
    <w:p w14:paraId="3A6CFAD8" w14:textId="77777777" w:rsidR="007118E3" w:rsidRDefault="007118E3">
      <w:pPr>
        <w:pStyle w:val="Titre1"/>
      </w:pPr>
    </w:p>
    <w:p w14:paraId="01E00BE3" w14:textId="77777777" w:rsidR="007118E3" w:rsidRDefault="007118E3">
      <w:pPr>
        <w:pStyle w:val="Titre1"/>
      </w:pPr>
    </w:p>
    <w:p w14:paraId="0B34A7A9" w14:textId="77777777" w:rsidR="007118E3" w:rsidRDefault="007118E3">
      <w:pPr>
        <w:pStyle w:val="Textbody"/>
      </w:pPr>
    </w:p>
    <w:p w14:paraId="0EE23FB2" w14:textId="18B25234" w:rsidR="000244D8" w:rsidRDefault="000244D8">
      <w:pPr>
        <w:pStyle w:val="Titre1"/>
      </w:pPr>
      <w:bookmarkStart w:id="1" w:name="_Toc238741943"/>
    </w:p>
    <w:p w14:paraId="0C0853C2" w14:textId="77777777" w:rsidR="000244D8" w:rsidRPr="000244D8" w:rsidRDefault="000244D8" w:rsidP="000244D8">
      <w:pPr>
        <w:pStyle w:val="Textbody"/>
      </w:pPr>
    </w:p>
    <w:p w14:paraId="01A9FBD9" w14:textId="3681FC2A" w:rsidR="001566E2" w:rsidRPr="00824B13" w:rsidRDefault="00B20AF8" w:rsidP="000244D8">
      <w:pPr>
        <w:pStyle w:val="Titre1"/>
      </w:pPr>
      <w:r>
        <w:lastRenderedPageBreak/>
        <w:t>Chapitre II</w:t>
      </w:r>
      <w:r w:rsidR="004D095E">
        <w:t>I</w:t>
      </w:r>
      <w:r>
        <w:t xml:space="preserve"> : </w:t>
      </w:r>
      <w:bookmarkEnd w:id="0"/>
      <w:r w:rsidR="005D5189">
        <w:t>Violences conjugales</w:t>
      </w:r>
      <w:bookmarkEnd w:id="1"/>
    </w:p>
    <w:p w14:paraId="6C0882D1" w14:textId="2BC65EF7" w:rsidR="00A722C2" w:rsidRDefault="00A722C2" w:rsidP="00A722C2">
      <w:pPr>
        <w:pStyle w:val="Titre2"/>
        <w:numPr>
          <w:ilvl w:val="0"/>
          <w:numId w:val="33"/>
        </w:numPr>
      </w:pPr>
      <w:bookmarkStart w:id="2" w:name="_Toc238741944"/>
      <w:r>
        <w:t>La place de la bisexualité dans les recherches sur les violences conjugales</w:t>
      </w:r>
      <w:bookmarkEnd w:id="2"/>
      <w:r>
        <w:t xml:space="preserve"> </w:t>
      </w:r>
    </w:p>
    <w:p w14:paraId="78096B5F" w14:textId="5774D5D1" w:rsidR="00DB4AE2" w:rsidRDefault="00DB4AE2" w:rsidP="00DB4AE2">
      <w:pPr>
        <w:pStyle w:val="Titre3"/>
      </w:pPr>
      <w:bookmarkStart w:id="3" w:name="_Toc238741945"/>
      <w:r>
        <w:t>L’asymétrie des violences conjugales</w:t>
      </w:r>
      <w:bookmarkEnd w:id="3"/>
      <w:r>
        <w:t xml:space="preserve"> </w:t>
      </w:r>
    </w:p>
    <w:p w14:paraId="53867988" w14:textId="4C3EC32B" w:rsidR="00A35696" w:rsidRDefault="00A35696" w:rsidP="00A35696">
      <w:pPr>
        <w:pStyle w:val="Textbody"/>
        <w:rPr>
          <w:color w:val="000000"/>
          <w:lang w:eastAsia="fr-FR"/>
        </w:rPr>
      </w:pPr>
      <w:r>
        <w:t xml:space="preserve">Les recherches quantitatives sur les violences conjugales ont débuté dès la fin des années 1960 aux Etats-Unis et sont apparues au début des années 2000 en France. </w:t>
      </w:r>
      <w:r w:rsidR="00AB4705">
        <w:t>Les violences conjugales</w:t>
      </w:r>
      <w:r>
        <w:t xml:space="preserve"> sont </w:t>
      </w:r>
      <w:r w:rsidRPr="00425D6D">
        <w:rPr>
          <w:color w:val="000000"/>
          <w:lang w:eastAsia="fr-FR"/>
        </w:rPr>
        <w:t xml:space="preserve">aujourd'hui </w:t>
      </w:r>
      <w:r>
        <w:rPr>
          <w:color w:val="000000"/>
          <w:lang w:eastAsia="fr-FR"/>
        </w:rPr>
        <w:t>communément admises comme étant</w:t>
      </w:r>
      <w:r w:rsidRPr="00425D6D">
        <w:rPr>
          <w:color w:val="000000"/>
          <w:lang w:eastAsia="fr-FR"/>
        </w:rPr>
        <w:t xml:space="preserve"> exercées en majorité par des hommes sur des femmes, concern</w:t>
      </w:r>
      <w:r>
        <w:rPr>
          <w:color w:val="000000"/>
          <w:lang w:eastAsia="fr-FR"/>
        </w:rPr>
        <w:t>a</w:t>
      </w:r>
      <w:r w:rsidRPr="00425D6D">
        <w:rPr>
          <w:color w:val="000000"/>
          <w:lang w:eastAsia="fr-FR"/>
        </w:rPr>
        <w:t>nt tous les milieux sociaux et revêt</w:t>
      </w:r>
      <w:r>
        <w:rPr>
          <w:color w:val="000000"/>
          <w:lang w:eastAsia="fr-FR"/>
        </w:rPr>
        <w:t>a</w:t>
      </w:r>
      <w:r w:rsidRPr="00425D6D">
        <w:rPr>
          <w:color w:val="000000"/>
          <w:lang w:eastAsia="fr-FR"/>
        </w:rPr>
        <w:t>nt des formes variées : physiques, psychologiques, sexuelles. Ces constats s'inscrivent dans une longue histoire de luttes pour la reconnaissance des violences faites aux femmes comme problème public</w:t>
      </w:r>
      <w:r>
        <w:rPr>
          <w:color w:val="000000"/>
          <w:lang w:eastAsia="fr-FR"/>
        </w:rPr>
        <w:t xml:space="preserve"> et de mesure du phénomène</w:t>
      </w:r>
      <w:r w:rsidRPr="00425D6D">
        <w:rPr>
          <w:color w:val="000000"/>
          <w:lang w:eastAsia="fr-FR"/>
        </w:rPr>
        <w:t xml:space="preserve">. </w:t>
      </w:r>
      <w:r>
        <w:rPr>
          <w:color w:val="000000"/>
          <w:lang w:eastAsia="fr-FR"/>
        </w:rPr>
        <w:t>Les dix dernières années les travaux se sont inscrits dans le cadre plus général des violences de genre qui rendent compte de l’organisation des rapports de domination des hommes sur les femmes (</w:t>
      </w:r>
      <w:proofErr w:type="spellStart"/>
      <w:r>
        <w:rPr>
          <w:color w:val="000000"/>
          <w:lang w:eastAsia="fr-FR"/>
        </w:rPr>
        <w:t>Cavalin</w:t>
      </w:r>
      <w:proofErr w:type="spellEnd"/>
      <w:r>
        <w:rPr>
          <w:color w:val="000000"/>
          <w:lang w:eastAsia="fr-FR"/>
        </w:rPr>
        <w:t xml:space="preserve"> </w:t>
      </w:r>
      <w:r w:rsidR="00AB4705">
        <w:rPr>
          <w:color w:val="000000"/>
          <w:lang w:eastAsia="fr-FR"/>
        </w:rPr>
        <w:t xml:space="preserve">2013 ; </w:t>
      </w:r>
      <w:r>
        <w:rPr>
          <w:color w:val="000000"/>
          <w:lang w:eastAsia="fr-FR"/>
        </w:rPr>
        <w:t>Brown</w:t>
      </w:r>
      <w:r w:rsidR="00AB4705">
        <w:rPr>
          <w:color w:val="000000"/>
          <w:lang w:eastAsia="fr-FR"/>
        </w:rPr>
        <w:t xml:space="preserve"> et al 2020</w:t>
      </w:r>
      <w:r>
        <w:rPr>
          <w:color w:val="000000"/>
          <w:lang w:eastAsia="fr-FR"/>
        </w:rPr>
        <w:t xml:space="preserve">). </w:t>
      </w:r>
    </w:p>
    <w:p w14:paraId="3975BB1E" w14:textId="432E98CF" w:rsidR="00804135" w:rsidRDefault="00321002" w:rsidP="00A35696">
      <w:pPr>
        <w:pStyle w:val="Textbody"/>
        <w:rPr>
          <w:color w:val="000000"/>
          <w:lang w:eastAsia="fr-FR"/>
        </w:rPr>
      </w:pPr>
      <w:r w:rsidRPr="00321002">
        <w:rPr>
          <w:color w:val="000000"/>
          <w:lang w:eastAsia="fr-FR"/>
        </w:rPr>
        <w:t xml:space="preserve">Cette reconnaissance est passée, entre autres, par la mesure du phénomène. Les États-Unis ont été pionniers dans ces opérations de quantification, d'abord intégrées au champ de la violence familiale. Les National Family Violence </w:t>
      </w:r>
      <w:proofErr w:type="spellStart"/>
      <w:r w:rsidRPr="00321002">
        <w:rPr>
          <w:color w:val="000000"/>
          <w:lang w:eastAsia="fr-FR"/>
        </w:rPr>
        <w:t>Surveys</w:t>
      </w:r>
      <w:proofErr w:type="spellEnd"/>
      <w:r w:rsidRPr="00321002">
        <w:rPr>
          <w:color w:val="000000"/>
          <w:lang w:eastAsia="fr-FR"/>
        </w:rPr>
        <w:t xml:space="preserve"> (NFVS) menés dès la fin des années 1960 par Murray </w:t>
      </w:r>
      <w:proofErr w:type="spellStart"/>
      <w:r w:rsidRPr="00321002">
        <w:rPr>
          <w:color w:val="000000"/>
          <w:lang w:eastAsia="fr-FR"/>
        </w:rPr>
        <w:t>Straus</w:t>
      </w:r>
      <w:proofErr w:type="spellEnd"/>
      <w:r w:rsidRPr="00321002">
        <w:rPr>
          <w:color w:val="000000"/>
          <w:lang w:eastAsia="fr-FR"/>
        </w:rPr>
        <w:t xml:space="preserve"> et Richard </w:t>
      </w:r>
      <w:proofErr w:type="spellStart"/>
      <w:r w:rsidRPr="00321002">
        <w:rPr>
          <w:color w:val="000000"/>
          <w:lang w:eastAsia="fr-FR"/>
        </w:rPr>
        <w:t>Gelles</w:t>
      </w:r>
      <w:proofErr w:type="spellEnd"/>
      <w:r w:rsidRPr="00321002">
        <w:rPr>
          <w:color w:val="000000"/>
          <w:lang w:eastAsia="fr-FR"/>
        </w:rPr>
        <w:t xml:space="preserve"> ouvrent la voie à la mesure des violences entre conjoint·es. Les résultats de ces enquêtes nationales divisent : concluant à une symétrie de genre dans la violence au sein du couple, ils vont à l'encontre des observations des travailleur·ses de terrain et des enquêtes qualitatives auprès des structures d'accueil. C'est le début d'un débat opposant approches familiales et approches féministes des violences</w:t>
      </w:r>
      <w:r w:rsidR="00804135">
        <w:rPr>
          <w:color w:val="000000"/>
          <w:lang w:eastAsia="fr-FR"/>
        </w:rPr>
        <w:t xml:space="preserve">. </w:t>
      </w:r>
      <w:r w:rsidRPr="00321002">
        <w:rPr>
          <w:color w:val="000000"/>
          <w:lang w:eastAsia="fr-FR"/>
        </w:rPr>
        <w:t xml:space="preserve"> </w:t>
      </w:r>
    </w:p>
    <w:p w14:paraId="20FCC8C0" w14:textId="20B55E94" w:rsidR="00804135" w:rsidRDefault="00321002" w:rsidP="00A35696">
      <w:pPr>
        <w:pStyle w:val="Textbody"/>
        <w:rPr>
          <w:color w:val="000000"/>
          <w:lang w:eastAsia="fr-FR"/>
        </w:rPr>
      </w:pPr>
      <w:r w:rsidRPr="00321002">
        <w:rPr>
          <w:color w:val="000000"/>
          <w:lang w:eastAsia="fr-FR"/>
        </w:rPr>
        <w:t xml:space="preserve">La symétrie apparente dans les études en population générale s'explique principalement par l'incapacité des outils existants à </w:t>
      </w:r>
      <w:r w:rsidR="00674C7C">
        <w:rPr>
          <w:color w:val="000000"/>
          <w:lang w:eastAsia="fr-FR"/>
        </w:rPr>
        <w:t xml:space="preserve">distinguer les violences. </w:t>
      </w:r>
      <w:r w:rsidR="00804135" w:rsidRPr="00804135">
        <w:rPr>
          <w:color w:val="000000"/>
          <w:lang w:eastAsia="fr-FR"/>
        </w:rPr>
        <w:t xml:space="preserve">Les </w:t>
      </w:r>
      <w:proofErr w:type="spellStart"/>
      <w:r w:rsidR="00804135">
        <w:rPr>
          <w:i/>
          <w:iCs/>
          <w:color w:val="000000"/>
        </w:rPr>
        <w:t>Conflict</w:t>
      </w:r>
      <w:proofErr w:type="spellEnd"/>
      <w:r w:rsidR="00804135">
        <w:rPr>
          <w:i/>
          <w:iCs/>
          <w:color w:val="000000"/>
        </w:rPr>
        <w:t xml:space="preserve"> </w:t>
      </w:r>
      <w:proofErr w:type="spellStart"/>
      <w:r w:rsidR="00804135">
        <w:rPr>
          <w:i/>
          <w:iCs/>
          <w:color w:val="000000"/>
        </w:rPr>
        <w:t>Tactics</w:t>
      </w:r>
      <w:proofErr w:type="spellEnd"/>
      <w:r w:rsidR="00804135">
        <w:rPr>
          <w:i/>
          <w:iCs/>
          <w:color w:val="000000"/>
        </w:rPr>
        <w:t xml:space="preserve"> </w:t>
      </w:r>
      <w:proofErr w:type="spellStart"/>
      <w:r w:rsidR="00804135">
        <w:rPr>
          <w:i/>
          <w:iCs/>
          <w:color w:val="000000"/>
        </w:rPr>
        <w:t>Scales</w:t>
      </w:r>
      <w:proofErr w:type="spellEnd"/>
      <w:r w:rsidR="00804135">
        <w:rPr>
          <w:i/>
          <w:iCs/>
          <w:color w:val="000000"/>
        </w:rPr>
        <w:t xml:space="preserve"> </w:t>
      </w:r>
      <w:r w:rsidR="00804135" w:rsidRPr="00804135">
        <w:rPr>
          <w:color w:val="000000"/>
        </w:rPr>
        <w:t>(</w:t>
      </w:r>
      <w:r w:rsidR="00804135" w:rsidRPr="00804135">
        <w:rPr>
          <w:color w:val="000000"/>
          <w:lang w:eastAsia="fr-FR"/>
        </w:rPr>
        <w:t>CTS</w:t>
      </w:r>
      <w:r w:rsidR="00804135">
        <w:rPr>
          <w:color w:val="000000"/>
          <w:lang w:eastAsia="fr-FR"/>
        </w:rPr>
        <w:t>),</w:t>
      </w:r>
      <w:r w:rsidR="00804135" w:rsidRPr="00804135">
        <w:rPr>
          <w:color w:val="000000"/>
        </w:rPr>
        <w:t xml:space="preserve"> </w:t>
      </w:r>
      <w:r w:rsidR="00804135">
        <w:rPr>
          <w:color w:val="000000"/>
        </w:rPr>
        <w:t xml:space="preserve">développées par </w:t>
      </w:r>
      <w:proofErr w:type="spellStart"/>
      <w:r w:rsidR="00804135">
        <w:rPr>
          <w:color w:val="000000"/>
        </w:rPr>
        <w:t>Straus</w:t>
      </w:r>
      <w:proofErr w:type="spellEnd"/>
      <w:r w:rsidR="00804135">
        <w:rPr>
          <w:color w:val="000000"/>
        </w:rPr>
        <w:t>,</w:t>
      </w:r>
      <w:r w:rsidR="00804135" w:rsidRPr="00804135">
        <w:rPr>
          <w:color w:val="000000"/>
          <w:lang w:eastAsia="fr-FR"/>
        </w:rPr>
        <w:t xml:space="preserve"> </w:t>
      </w:r>
      <w:r w:rsidR="00804135">
        <w:rPr>
          <w:color w:val="000000"/>
        </w:rPr>
        <w:t xml:space="preserve">en présentant la violence comme issue d'un conflit de couple, </w:t>
      </w:r>
      <w:r w:rsidR="00804135" w:rsidRPr="00804135">
        <w:rPr>
          <w:color w:val="000000"/>
          <w:lang w:eastAsia="fr-FR"/>
        </w:rPr>
        <w:t xml:space="preserve">produisent systématiquement des prévalences élevées d'actes violents avec une distribution proche entre hommes et femmes. </w:t>
      </w:r>
      <w:r w:rsidR="00804135">
        <w:rPr>
          <w:color w:val="000000"/>
        </w:rPr>
        <w:t xml:space="preserve">Ces échelles naturalisent une conception de la relation intime comme espace de conflits symétriques. </w:t>
      </w:r>
      <w:r w:rsidR="00804135">
        <w:rPr>
          <w:color w:val="000000"/>
          <w:lang w:eastAsia="fr-FR"/>
        </w:rPr>
        <w:t>Michael</w:t>
      </w:r>
      <w:r w:rsidR="00804135" w:rsidRPr="00321002">
        <w:rPr>
          <w:color w:val="000000"/>
          <w:lang w:eastAsia="fr-FR"/>
        </w:rPr>
        <w:t xml:space="preserve"> Johnson </w:t>
      </w:r>
      <w:r w:rsidR="00804135">
        <w:rPr>
          <w:color w:val="000000"/>
          <w:lang w:eastAsia="fr-FR"/>
        </w:rPr>
        <w:t xml:space="preserve">va </w:t>
      </w:r>
      <w:r w:rsidR="00804135" w:rsidRPr="00321002">
        <w:rPr>
          <w:color w:val="000000"/>
          <w:lang w:eastAsia="fr-FR"/>
        </w:rPr>
        <w:t>développe</w:t>
      </w:r>
      <w:r w:rsidR="00804135">
        <w:rPr>
          <w:color w:val="000000"/>
          <w:lang w:eastAsia="fr-FR"/>
        </w:rPr>
        <w:t>r</w:t>
      </w:r>
      <w:r w:rsidR="00804135" w:rsidRPr="00321002">
        <w:rPr>
          <w:color w:val="000000"/>
          <w:lang w:eastAsia="fr-FR"/>
        </w:rPr>
        <w:t xml:space="preserve"> une typologie devenue centrale</w:t>
      </w:r>
      <w:r w:rsidR="00804135">
        <w:rPr>
          <w:color w:val="000000"/>
          <w:lang w:eastAsia="fr-FR"/>
        </w:rPr>
        <w:t xml:space="preserve"> dans l’approche féministe des violences</w:t>
      </w:r>
      <w:r w:rsidR="00804135" w:rsidRPr="00321002">
        <w:rPr>
          <w:color w:val="000000"/>
          <w:lang w:eastAsia="fr-FR"/>
        </w:rPr>
        <w:t xml:space="preserve"> : d'un côté le « terrorisme conjugal », violence genrée exercée par des hommes sur des femmes dans une logique de contrôle et de domination, de l'autre les « </w:t>
      </w:r>
      <w:r w:rsidR="00804135" w:rsidRPr="00321002">
        <w:rPr>
          <w:color w:val="000000"/>
          <w:lang w:eastAsia="fr-FR"/>
        </w:rPr>
        <w:lastRenderedPageBreak/>
        <w:t>violences situationnelles », commises aussi bien par des hommes que par des femmes.</w:t>
      </w:r>
      <w:r w:rsidR="00804135">
        <w:rPr>
          <w:color w:val="000000"/>
          <w:lang w:eastAsia="fr-FR"/>
        </w:rPr>
        <w:t xml:space="preserve"> </w:t>
      </w:r>
      <w:r w:rsidR="00804135">
        <w:rPr>
          <w:color w:val="000000"/>
        </w:rPr>
        <w:t xml:space="preserve">La notion de terrorisme conjugal recoupe en partie ce que </w:t>
      </w:r>
      <w:r w:rsidR="00804135" w:rsidRPr="00804135">
        <w:t xml:space="preserve">Stark </w:t>
      </w:r>
      <w:r w:rsidR="00804135">
        <w:rPr>
          <w:color w:val="000000"/>
        </w:rPr>
        <w:t xml:space="preserve">appelle </w:t>
      </w:r>
      <w:r w:rsidR="00804135" w:rsidRPr="00804135">
        <w:t>contrôle coercitif</w:t>
      </w:r>
      <w:r w:rsidR="00804135">
        <w:rPr>
          <w:color w:val="000000"/>
        </w:rPr>
        <w:t xml:space="preserve">. Des formes de violences qui ne reposent pas exclusivement sur la violence physique, où les stratégies masculines impliquent du contrôle, de l’isolement, de l’intimidation. C’est une conception </w:t>
      </w:r>
      <w:r w:rsidR="00674C7C">
        <w:rPr>
          <w:color w:val="000000"/>
        </w:rPr>
        <w:t xml:space="preserve">politique </w:t>
      </w:r>
      <w:r w:rsidR="00804135">
        <w:rPr>
          <w:color w:val="000000"/>
        </w:rPr>
        <w:t>des violences de genre</w:t>
      </w:r>
      <w:r w:rsidR="00674C7C">
        <w:rPr>
          <w:color w:val="000000"/>
        </w:rPr>
        <w:t>, un ensemble d’inégalités préexistent à la mise en place du</w:t>
      </w:r>
      <w:r w:rsidR="00804135" w:rsidRPr="00804135">
        <w:rPr>
          <w:color w:val="000000"/>
        </w:rPr>
        <w:t xml:space="preserve"> contrôle coercitif</w:t>
      </w:r>
      <w:r w:rsidR="00804135">
        <w:rPr>
          <w:color w:val="000000"/>
        </w:rPr>
        <w:t xml:space="preserve">. </w:t>
      </w:r>
    </w:p>
    <w:p w14:paraId="74734D62" w14:textId="68FA1F11" w:rsidR="00321002" w:rsidRDefault="00321002" w:rsidP="00A35696">
      <w:pPr>
        <w:pStyle w:val="Textbody"/>
        <w:rPr>
          <w:color w:val="000000"/>
          <w:lang w:eastAsia="fr-FR"/>
        </w:rPr>
      </w:pPr>
      <w:r w:rsidRPr="00321002">
        <w:rPr>
          <w:color w:val="000000"/>
          <w:lang w:eastAsia="fr-FR"/>
        </w:rPr>
        <w:t xml:space="preserve">A partir des données du </w:t>
      </w:r>
      <w:r w:rsidR="00804135" w:rsidRPr="00804135">
        <w:rPr>
          <w:i/>
          <w:iCs/>
          <w:color w:val="000000"/>
        </w:rPr>
        <w:t xml:space="preserve">Crime Survey for </w:t>
      </w:r>
      <w:proofErr w:type="spellStart"/>
      <w:r w:rsidR="00804135" w:rsidRPr="00804135">
        <w:rPr>
          <w:i/>
          <w:iCs/>
          <w:color w:val="000000"/>
        </w:rPr>
        <w:t>England</w:t>
      </w:r>
      <w:proofErr w:type="spellEnd"/>
      <w:r w:rsidR="00804135" w:rsidRPr="00804135">
        <w:rPr>
          <w:i/>
          <w:iCs/>
          <w:color w:val="000000"/>
        </w:rPr>
        <w:t xml:space="preserve"> and Wales</w:t>
      </w:r>
      <w:r w:rsidR="00804135">
        <w:rPr>
          <w:color w:val="000000"/>
        </w:rPr>
        <w:t xml:space="preserve"> (</w:t>
      </w:r>
      <w:r w:rsidRPr="00321002">
        <w:rPr>
          <w:color w:val="000000"/>
          <w:lang w:eastAsia="fr-FR"/>
        </w:rPr>
        <w:t>CSEW</w:t>
      </w:r>
      <w:r w:rsidR="00804135">
        <w:rPr>
          <w:color w:val="000000"/>
          <w:lang w:eastAsia="fr-FR"/>
        </w:rPr>
        <w:t>)</w:t>
      </w:r>
      <w:r w:rsidRPr="00321002">
        <w:rPr>
          <w:color w:val="000000"/>
          <w:lang w:eastAsia="fr-FR"/>
        </w:rPr>
        <w:t xml:space="preserve">, Andy </w:t>
      </w:r>
      <w:proofErr w:type="spellStart"/>
      <w:r w:rsidRPr="00321002">
        <w:rPr>
          <w:color w:val="000000"/>
          <w:lang w:eastAsia="fr-FR"/>
        </w:rPr>
        <w:t>Myhill</w:t>
      </w:r>
      <w:proofErr w:type="spellEnd"/>
      <w:r w:rsidRPr="00321002">
        <w:rPr>
          <w:color w:val="000000"/>
          <w:lang w:eastAsia="fr-FR"/>
        </w:rPr>
        <w:t xml:space="preserve"> construit deux indicateurs de mesure du contrôle coercitif : le fait d'avoir été répétitivement dévalorisé·e et d'avoir été effrayé·e par des menaces. Les résultats sont sans ambiguïté : </w:t>
      </w:r>
      <w:r>
        <w:rPr>
          <w:color w:val="000000"/>
          <w:lang w:eastAsia="fr-FR"/>
        </w:rPr>
        <w:t>l</w:t>
      </w:r>
      <w:r w:rsidRPr="00321002">
        <w:rPr>
          <w:color w:val="000000"/>
          <w:lang w:eastAsia="fr-FR"/>
        </w:rPr>
        <w:t>a symétrie de genre disparaît dès lors qu'on mesure la violence comme processus d'emprise plutôt que comme un ensemble d'actes discrets (</w:t>
      </w:r>
      <w:proofErr w:type="spellStart"/>
      <w:r w:rsidRPr="00321002">
        <w:rPr>
          <w:color w:val="000000"/>
          <w:lang w:eastAsia="fr-FR"/>
        </w:rPr>
        <w:t>Myhill</w:t>
      </w:r>
      <w:proofErr w:type="spellEnd"/>
      <w:r w:rsidRPr="00321002">
        <w:rPr>
          <w:color w:val="000000"/>
          <w:lang w:eastAsia="fr-FR"/>
        </w:rPr>
        <w:t xml:space="preserve"> 2017). Le contrôle coercitif résiste à la mise en questionnaire parce qu'il est continu, diffus, et ne se réduit pas à des actes dénombrables. Atteindre le continu en additionnant des actes discrets est une impossibilité de principe.</w:t>
      </w:r>
    </w:p>
    <w:p w14:paraId="38208792" w14:textId="3305300B" w:rsidR="00DB4AE2" w:rsidRDefault="00804135" w:rsidP="00A35696">
      <w:pPr>
        <w:pStyle w:val="Textbody"/>
        <w:rPr>
          <w:color w:val="000000"/>
          <w:lang w:eastAsia="fr-FR"/>
        </w:rPr>
      </w:pPr>
      <w:r>
        <w:rPr>
          <w:color w:val="000000"/>
          <w:lang w:eastAsia="fr-FR"/>
        </w:rPr>
        <w:t xml:space="preserve">La distinction entre violences situationnelles et contrôle coercitif / terrorisme conjugal </w:t>
      </w:r>
      <w:r w:rsidR="00321002" w:rsidRPr="00321002">
        <w:rPr>
          <w:color w:val="000000"/>
          <w:lang w:eastAsia="fr-FR"/>
        </w:rPr>
        <w:t>est le présupposé théorique à la base des grandes enquêtes françaises dédiées aux violences, l'Enveff (2000) et Virage (2015). Ces enquêtes ne sont pas les seules à mesurer les violences conjugales en France : les enquêtes de victimation CVS menées annuellement par l'INSEE depuis 2007 et les enquêtes sur les comportements sexuels y contribuent également, avec des outils et des cadrages différents.</w:t>
      </w:r>
    </w:p>
    <w:p w14:paraId="13EA7090" w14:textId="0C4F7B1F" w:rsidR="00DB4AE2" w:rsidRPr="00DB4AE2" w:rsidRDefault="00DB4AE2" w:rsidP="00DB4AE2">
      <w:pPr>
        <w:pStyle w:val="Titre3"/>
      </w:pPr>
      <w:bookmarkStart w:id="4" w:name="_Toc238741946"/>
      <w:r>
        <w:t>Le genre et la sexualité dans l’étude des violences conjugales</w:t>
      </w:r>
      <w:bookmarkEnd w:id="4"/>
      <w:r>
        <w:t xml:space="preserve"> </w:t>
      </w:r>
    </w:p>
    <w:p w14:paraId="475CD1F0" w14:textId="387F37F0" w:rsidR="004273E6" w:rsidRPr="003C1466" w:rsidRDefault="004273E6" w:rsidP="004273E6">
      <w:pPr>
        <w:pStyle w:val="NormalWeb"/>
        <w:spacing w:before="240" w:beforeAutospacing="0" w:after="240" w:afterAutospacing="0" w:line="360" w:lineRule="auto"/>
        <w:jc w:val="both"/>
      </w:pPr>
      <w:r>
        <w:rPr>
          <w:color w:val="000000"/>
        </w:rPr>
        <w:t>La</w:t>
      </w:r>
      <w:r w:rsidRPr="003C1466">
        <w:rPr>
          <w:color w:val="000000"/>
        </w:rPr>
        <w:t xml:space="preserve"> </w:t>
      </w:r>
      <w:r>
        <w:rPr>
          <w:color w:val="000000"/>
        </w:rPr>
        <w:t>lutte contre l’épidémie de sida, puis contre l’homophobie et la transphobie ont permis l’émergence d’études spécifiques aux populations LGBT</w:t>
      </w:r>
      <w:r w:rsidR="00674C7C">
        <w:rPr>
          <w:color w:val="000000"/>
        </w:rPr>
        <w:t>, qui</w:t>
      </w:r>
      <w:r>
        <w:rPr>
          <w:color w:val="000000"/>
        </w:rPr>
        <w:t xml:space="preserve"> déclarent plus de violences que les autres et sont dans des situations de vulnérabilité à risque sur la santé (</w:t>
      </w:r>
      <w:proofErr w:type="spellStart"/>
      <w:r>
        <w:rPr>
          <w:color w:val="000000"/>
        </w:rPr>
        <w:t>Trachman</w:t>
      </w:r>
      <w:proofErr w:type="spellEnd"/>
      <w:r>
        <w:rPr>
          <w:color w:val="000000"/>
        </w:rPr>
        <w:t>, Lejbowicz 2020).</w:t>
      </w:r>
      <w:r w:rsidRPr="003C1466">
        <w:rPr>
          <w:color w:val="000000"/>
        </w:rPr>
        <w:t xml:space="preserve"> </w:t>
      </w:r>
    </w:p>
    <w:p w14:paraId="60C2EB94" w14:textId="23E0C32F" w:rsidR="004273E6" w:rsidRDefault="004273E6" w:rsidP="00A35696">
      <w:pPr>
        <w:pStyle w:val="Textbody"/>
        <w:rPr>
          <w:color w:val="000000"/>
          <w:lang w:eastAsia="fr-FR"/>
        </w:rPr>
      </w:pPr>
      <w:r>
        <w:rPr>
          <w:color w:val="000000"/>
        </w:rPr>
        <w:t xml:space="preserve">Le volet Virage LGBT est la première enquête dédiée aux violences ciblant spécifiquement les minorités sexuelles et de genre. Mesurer l’exposition aux violences d’un groupe minoritaire suppose de reconnaître des expériences spécifiques à ces groupes. Dans le cas de l’homo-bisexualité, cela suppose de reconnaître que les modes de vie, pratiques et identifications sexuelles minoritaires engendrent des violences spécifiques dans toutes les sphères de la vie. </w:t>
      </w:r>
      <w:r w:rsidRPr="003C1466">
        <w:rPr>
          <w:color w:val="000000"/>
        </w:rPr>
        <w:t xml:space="preserve">Comme le formule Patrizia </w:t>
      </w:r>
      <w:proofErr w:type="spellStart"/>
      <w:r w:rsidRPr="003C1466">
        <w:rPr>
          <w:color w:val="000000"/>
        </w:rPr>
        <w:t>Romito</w:t>
      </w:r>
      <w:proofErr w:type="spellEnd"/>
      <w:r w:rsidRPr="003C1466">
        <w:rPr>
          <w:color w:val="000000"/>
        </w:rPr>
        <w:t>, le manque de données dans un domaine est un choix politique, appelée la « politique de la donnée absente » (</w:t>
      </w:r>
      <w:proofErr w:type="spellStart"/>
      <w:r w:rsidRPr="003C1466">
        <w:rPr>
          <w:color w:val="000000"/>
        </w:rPr>
        <w:t>Chetcuti-Osorovitz</w:t>
      </w:r>
      <w:proofErr w:type="spellEnd"/>
      <w:r w:rsidRPr="003C1466">
        <w:rPr>
          <w:color w:val="000000"/>
        </w:rPr>
        <w:t xml:space="preserve"> et </w:t>
      </w:r>
      <w:proofErr w:type="spellStart"/>
      <w:r w:rsidRPr="003C1466">
        <w:rPr>
          <w:color w:val="000000"/>
        </w:rPr>
        <w:t>Jaspard</w:t>
      </w:r>
      <w:proofErr w:type="spellEnd"/>
      <w:r w:rsidRPr="003C1466">
        <w:rPr>
          <w:color w:val="000000"/>
        </w:rPr>
        <w:t xml:space="preserve"> 2007).</w:t>
      </w:r>
      <w:r>
        <w:rPr>
          <w:color w:val="000000"/>
        </w:rPr>
        <w:t xml:space="preserve"> </w:t>
      </w:r>
      <w:r w:rsidR="002333E9">
        <w:rPr>
          <w:color w:val="000000"/>
          <w:lang w:eastAsia="fr-FR"/>
        </w:rPr>
        <w:t xml:space="preserve">Les violences déclarées </w:t>
      </w:r>
      <w:r w:rsidR="002333E9">
        <w:rPr>
          <w:color w:val="000000"/>
          <w:lang w:eastAsia="fr-FR"/>
        </w:rPr>
        <w:lastRenderedPageBreak/>
        <w:t xml:space="preserve">par les LGBT ont trait à l’homophobie et la transphobie et c’est cet angle qui est adopté dans l’étude des violences (au travail, dans la famille, dans l’espace public, à l’école), plutôt que celui des violences conjugales. </w:t>
      </w:r>
    </w:p>
    <w:p w14:paraId="731CE65D" w14:textId="22D44BC9" w:rsidR="004273E6" w:rsidRDefault="002333E9" w:rsidP="00A35696">
      <w:pPr>
        <w:pStyle w:val="Textbody"/>
        <w:rPr>
          <w:color w:val="000000"/>
          <w:lang w:eastAsia="fr-FR"/>
        </w:rPr>
      </w:pPr>
      <w:r>
        <w:rPr>
          <w:color w:val="000000"/>
          <w:lang w:eastAsia="fr-FR"/>
        </w:rPr>
        <w:t>Pourtant, il a été montré que les actes violents ont des significations différentes selon les personnes qui les exercent et celles qui les subissent. Ainsi, l</w:t>
      </w:r>
      <w:r w:rsidR="00A35696">
        <w:rPr>
          <w:color w:val="000000"/>
          <w:lang w:eastAsia="fr-FR"/>
        </w:rPr>
        <w:t>es violences dans les couples de même sexe</w:t>
      </w:r>
      <w:r w:rsidR="004273E6">
        <w:rPr>
          <w:color w:val="000000"/>
          <w:lang w:eastAsia="fr-FR"/>
        </w:rPr>
        <w:t>, intéressantes pour comprendre les violences de genre,</w:t>
      </w:r>
      <w:r w:rsidR="00A35696">
        <w:rPr>
          <w:color w:val="000000"/>
          <w:lang w:eastAsia="fr-FR"/>
        </w:rPr>
        <w:t xml:space="preserve"> sont étudiées dans </w:t>
      </w:r>
      <w:r>
        <w:rPr>
          <w:color w:val="000000"/>
          <w:lang w:eastAsia="fr-FR"/>
        </w:rPr>
        <w:t>les pays anglophones</w:t>
      </w:r>
      <w:r w:rsidR="00A35696">
        <w:rPr>
          <w:color w:val="000000"/>
          <w:lang w:eastAsia="fr-FR"/>
        </w:rPr>
        <w:t xml:space="preserve"> mais la recherche française s’y intéresse peu (</w:t>
      </w:r>
      <w:r w:rsidR="00674C7C">
        <w:rPr>
          <w:color w:val="000000"/>
          <w:lang w:eastAsia="fr-FR"/>
        </w:rPr>
        <w:t>Lejbowicz</w:t>
      </w:r>
      <w:r w:rsidR="00A35696">
        <w:rPr>
          <w:color w:val="000000"/>
          <w:lang w:eastAsia="fr-FR"/>
        </w:rPr>
        <w:t xml:space="preserve">, 2022). </w:t>
      </w:r>
      <w:r w:rsidR="00E73CBC">
        <w:rPr>
          <w:color w:val="000000"/>
          <w:lang w:eastAsia="fr-FR"/>
        </w:rPr>
        <w:t>En</w:t>
      </w:r>
      <w:r w:rsidR="004273E6" w:rsidRPr="004273E6">
        <w:rPr>
          <w:color w:val="000000"/>
          <w:lang w:eastAsia="fr-FR"/>
        </w:rPr>
        <w:t xml:space="preserve"> fusionnant les bases PG et LGBT</w:t>
      </w:r>
      <w:r w:rsidR="00E73CBC">
        <w:rPr>
          <w:color w:val="000000"/>
          <w:lang w:eastAsia="fr-FR"/>
        </w:rPr>
        <w:t>, Tania Lejbowicz a montré</w:t>
      </w:r>
      <w:r w:rsidR="004273E6" w:rsidRPr="004273E6">
        <w:rPr>
          <w:color w:val="000000"/>
          <w:lang w:eastAsia="fr-FR"/>
        </w:rPr>
        <w:t xml:space="preserve"> que les violences exercées par des femmes sur d’autres femmes sont de moindre intensité et relèvent moins souvent de violences corporelles que celles exercées par les hommes. Un résultat expliqué par l’approche féministe de l’appropriation du corps comme forme de contrôle et de domination des hommes sur les femmes, par l’apprentissage genré des violences et par des organisations conjugales différentes. Le deuxième résultat de son travail est que, dans le cas de violence</w:t>
      </w:r>
      <w:r w:rsidR="00674C7C">
        <w:rPr>
          <w:color w:val="000000"/>
          <w:lang w:eastAsia="fr-FR"/>
        </w:rPr>
        <w:t>s</w:t>
      </w:r>
      <w:r w:rsidR="004273E6" w:rsidRPr="004273E6">
        <w:rPr>
          <w:color w:val="000000"/>
          <w:lang w:eastAsia="fr-FR"/>
        </w:rPr>
        <w:t xml:space="preserve"> exercée</w:t>
      </w:r>
      <w:r w:rsidR="00674C7C">
        <w:rPr>
          <w:color w:val="000000"/>
          <w:lang w:eastAsia="fr-FR"/>
        </w:rPr>
        <w:t>s</w:t>
      </w:r>
      <w:r w:rsidR="004273E6" w:rsidRPr="004273E6">
        <w:rPr>
          <w:color w:val="000000"/>
          <w:lang w:eastAsia="fr-FR"/>
        </w:rPr>
        <w:t xml:space="preserve"> par les hommes, les hétérosexuelles déclarent davantage de violences physiques alors que les lesbiennes et bisexuelles davantage de violences sexuelles. Ce résultat invite à dépasser l’unique approche des prévalences, pour penser non seulement l’exposition mais la perception des actes violents selon l’identification sexuelle. La distance à l’hétérosexualité faciliterait les écarts aux normes conjugales et sexuelles, modifiant la perception des rapports de domination dans les relations avec les hommes.</w:t>
      </w:r>
    </w:p>
    <w:p w14:paraId="41D9E396" w14:textId="0F1E0BB8" w:rsidR="00DB4AE2" w:rsidRPr="00DB4AE2" w:rsidRDefault="00DB4AE2" w:rsidP="00DB4AE2">
      <w:pPr>
        <w:pStyle w:val="Titre3"/>
      </w:pPr>
      <w:bookmarkStart w:id="5" w:name="_Toc238741947"/>
      <w:r>
        <w:t xml:space="preserve">Repenser la place de la bisexualité </w:t>
      </w:r>
      <w:r w:rsidR="004619A4">
        <w:t>dans les violences conjugales</w:t>
      </w:r>
      <w:bookmarkEnd w:id="5"/>
      <w:r w:rsidR="004619A4">
        <w:t xml:space="preserve"> </w:t>
      </w:r>
    </w:p>
    <w:p w14:paraId="0FB33642" w14:textId="24C7282C" w:rsidR="002333E9" w:rsidRDefault="00E73CBC" w:rsidP="00A35696">
      <w:pPr>
        <w:pStyle w:val="Textbody"/>
        <w:rPr>
          <w:color w:val="000000"/>
          <w:lang w:eastAsia="fr-FR"/>
        </w:rPr>
      </w:pPr>
      <w:r>
        <w:rPr>
          <w:color w:val="000000"/>
          <w:lang w:eastAsia="fr-FR"/>
        </w:rPr>
        <w:t xml:space="preserve">L’études des déclarations de violence conjugale des minorités sexuelles invite à penser la place spécifique de la bisexualité. </w:t>
      </w:r>
      <w:r w:rsidR="002333E9">
        <w:rPr>
          <w:color w:val="000000"/>
          <w:lang w:eastAsia="fr-FR"/>
        </w:rPr>
        <w:t xml:space="preserve">En couple </w:t>
      </w:r>
      <w:r w:rsidR="00DB4AE2">
        <w:rPr>
          <w:color w:val="000000"/>
          <w:lang w:eastAsia="fr-FR"/>
        </w:rPr>
        <w:t>de sexe différent</w:t>
      </w:r>
      <w:r w:rsidR="002333E9">
        <w:rPr>
          <w:color w:val="000000"/>
          <w:lang w:eastAsia="fr-FR"/>
        </w:rPr>
        <w:t xml:space="preserve">, les femmes bisexuelles </w:t>
      </w:r>
      <w:r w:rsidR="00DB4AE2">
        <w:rPr>
          <w:color w:val="000000"/>
          <w:lang w:eastAsia="fr-FR"/>
        </w:rPr>
        <w:t xml:space="preserve">font-elles l’expérience des mêmes violences conjugales que les femmes hétérosexuelles ? </w:t>
      </w:r>
      <w:r w:rsidR="002333E9">
        <w:rPr>
          <w:color w:val="000000"/>
          <w:lang w:eastAsia="fr-FR"/>
        </w:rPr>
        <w:t xml:space="preserve"> </w:t>
      </w:r>
      <w:r w:rsidR="00DB4AE2">
        <w:rPr>
          <w:color w:val="000000"/>
          <w:lang w:eastAsia="fr-FR"/>
        </w:rPr>
        <w:t xml:space="preserve">Comment le stigmate bisexuel impacte-t-il les relations des hommes bis ? En couple de même sexe, </w:t>
      </w:r>
      <w:r w:rsidR="004619A4">
        <w:rPr>
          <w:color w:val="000000"/>
          <w:lang w:eastAsia="fr-FR"/>
        </w:rPr>
        <w:t xml:space="preserve">comment s’exprime la violence interne au couple </w:t>
      </w:r>
      <w:r w:rsidR="00DB4AE2">
        <w:rPr>
          <w:color w:val="000000"/>
          <w:lang w:eastAsia="fr-FR"/>
        </w:rPr>
        <w:t xml:space="preserve">? </w:t>
      </w:r>
      <w:r w:rsidR="004619A4">
        <w:rPr>
          <w:color w:val="000000"/>
          <w:lang w:eastAsia="fr-FR"/>
        </w:rPr>
        <w:t xml:space="preserve">Quel rôle joue la bisexualité dans l’expression et la déclaration des violences conjugales ? </w:t>
      </w:r>
    </w:p>
    <w:p w14:paraId="116A7B73" w14:textId="2AF7A7C6" w:rsidR="00E73CBC" w:rsidRDefault="00E73CBC" w:rsidP="00E73CBC">
      <w:pPr>
        <w:pStyle w:val="Textbody"/>
      </w:pPr>
      <w:r w:rsidRPr="00824B13">
        <w:t xml:space="preserve">Une partie de la littérature anglophone montre que </w:t>
      </w:r>
      <w:r>
        <w:t>l</w:t>
      </w:r>
      <w:r w:rsidRPr="00824B13">
        <w:t>es femmes bisexuelles sont davantage exposées au risque de subir des violences conjugales que leurs homologues lesbiennes et hétérosexuelles (Bermea</w:t>
      </w:r>
      <w:r w:rsidR="004619A4">
        <w:t xml:space="preserve"> et al 2018</w:t>
      </w:r>
      <w:r w:rsidRPr="00824B13">
        <w:t>). Le corpus de cette revue de littérature</w:t>
      </w:r>
      <w:r>
        <w:t xml:space="preserve"> analyse une trentaine d’études,</w:t>
      </w:r>
      <w:r w:rsidRPr="00824B13">
        <w:t xml:space="preserve"> </w:t>
      </w:r>
      <w:r>
        <w:t>avec</w:t>
      </w:r>
      <w:r w:rsidRPr="00824B13">
        <w:t xml:space="preserve"> des échantillons de nature et de taille différentes, représentatifs ou non. Les critères retenus pour </w:t>
      </w:r>
      <w:r w:rsidRPr="00824B13">
        <w:lastRenderedPageBreak/>
        <w:t xml:space="preserve">mesurer la bisexualité, pratiques ou identification, varient </w:t>
      </w:r>
      <w:r>
        <w:t>d’une étude à l’autre</w:t>
      </w:r>
      <w:r w:rsidRPr="00824B13">
        <w:t xml:space="preserve">. Toutefois </w:t>
      </w:r>
      <w:r>
        <w:t xml:space="preserve">elles </w:t>
      </w:r>
      <w:r w:rsidRPr="00824B13">
        <w:t xml:space="preserve">convergent pour montrer que les expériences de la violence des femmes bisexuelles sont uniques et doivent être étudiées </w:t>
      </w:r>
      <w:r w:rsidR="004619A4">
        <w:t>séparément</w:t>
      </w:r>
      <w:r w:rsidRPr="00824B13">
        <w:t xml:space="preserve">. L’hétérosexisme est mis en avant comme facteur affectant les expériences de la violence conjugale. </w:t>
      </w:r>
      <w:r>
        <w:t xml:space="preserve">Si </w:t>
      </w:r>
      <w:r w:rsidRPr="00824B13">
        <w:t xml:space="preserve">les personnes bisexuelles </w:t>
      </w:r>
      <w:r>
        <w:t>peuvent</w:t>
      </w:r>
      <w:r w:rsidRPr="00824B13">
        <w:t xml:space="preserve"> être victimes d’homophobie de la part de la majorité hétérosexuelle, l’exclusion de la communauté queer vient souvent aggraver leurs expériences de</w:t>
      </w:r>
      <w:r>
        <w:t>s</w:t>
      </w:r>
      <w:r w:rsidRPr="00824B13">
        <w:t xml:space="preserve"> discrimination</w:t>
      </w:r>
      <w:r>
        <w:t>s</w:t>
      </w:r>
      <w:r w:rsidRPr="00824B13">
        <w:t xml:space="preserve">. De nombreuses études ont montré que les personnes bisexuelles sont exposées à de multiples stéréotypes négatifs, même au sein de groupes de pairs queer. </w:t>
      </w:r>
      <w:r>
        <w:t xml:space="preserve">Cette revue de littérature identifie cinq principaux facteurs de risques de violences conjugales parmi les femmes bisexuelles : l’usage de substances, les comportements sexuels à risque, les troubles psychiques, l’homophobie internalisée et les expériences extérieures de discriminations. Les deux derniers facteurs </w:t>
      </w:r>
      <w:r w:rsidR="004619A4">
        <w:t>concernent directement</w:t>
      </w:r>
      <w:r>
        <w:t xml:space="preserve"> les minorités sexuelles. </w:t>
      </w:r>
    </w:p>
    <w:p w14:paraId="3D0EAE83" w14:textId="2683A8F0" w:rsidR="00E73CBC" w:rsidRDefault="00E73CBC" w:rsidP="00E73CBC">
      <w:pPr>
        <w:pStyle w:val="Textbody"/>
      </w:pPr>
      <w:r>
        <w:t>Dans ce corpus</w:t>
      </w:r>
      <w:r w:rsidR="004619A4">
        <w:t xml:space="preserve"> d’études</w:t>
      </w:r>
      <w:r>
        <w:t xml:space="preserve">, les femmes bisexuelles sont plus à risque vis-à-vis des violences psychologiques et sexuelles. Les taux de violence graves sont élevés et l’usage de violence psychologique particulièrement fréquent avec des forts taux de contrôle coercitif. Elles sont également à risque de victimisation spécifiques : par exemple de divulgation de l’identification sexuelle, surtout de la part de partenaires masculins. Une menace qui peut avoir des répercussions fortes d’ostracisation, de coupure de liens familiaux ou amicaux. </w:t>
      </w:r>
      <w:r w:rsidR="004619A4">
        <w:t xml:space="preserve">Sachant que la bisexualité est moins souvent </w:t>
      </w:r>
      <w:proofErr w:type="gramStart"/>
      <w:r w:rsidR="004619A4">
        <w:t>connu</w:t>
      </w:r>
      <w:proofErr w:type="gramEnd"/>
      <w:r w:rsidR="004619A4">
        <w:t xml:space="preserve"> des parents que l’homosexualité (</w:t>
      </w:r>
      <w:proofErr w:type="spellStart"/>
      <w:r w:rsidR="004619A4">
        <w:t>Trachman</w:t>
      </w:r>
      <w:proofErr w:type="spellEnd"/>
      <w:r w:rsidR="004619A4">
        <w:t>, Lejbowicz 2020).</w:t>
      </w:r>
      <w:r>
        <w:t xml:space="preserve"> Comme dans d’autres cas de violences conjugales, non spécifiquement bisexuels, les enfants peuvent être utilisés contre les femmes. Dans le cas des bies, l’identification sexuelle devient un outil pour les discréditer en tant que mères pendant les décisions de garde d’enfant. Malgré des recherches constantes qui tendent à montrer que les bisexuelles sont plus à risque face aux violences conjugales, un petit corpus affirme qu’il n’y a pas de prévalence entre hétérosexuelles, lesbiennes et bisexuelles. Les auteur∙ices expliquent cela par des différences de conceptualisation de la bisexualité dans les enquêtes. </w:t>
      </w:r>
    </w:p>
    <w:p w14:paraId="1FFF40F2" w14:textId="50D2B11B" w:rsidR="00E73CBC" w:rsidRPr="00E73CBC" w:rsidRDefault="00E73CBC" w:rsidP="00E73CBC">
      <w:pPr>
        <w:pStyle w:val="Textbody"/>
        <w:rPr>
          <w:color w:val="000000"/>
          <w:lang w:eastAsia="fr-FR"/>
        </w:rPr>
      </w:pPr>
      <w:r w:rsidRPr="00E82665">
        <w:t xml:space="preserve">Nos deux premiers chapitres semblent montrer </w:t>
      </w:r>
      <w:r w:rsidR="004619A4">
        <w:t xml:space="preserve">que la bisexualité implique une distance à l’hétérosexualité à la fois dans les </w:t>
      </w:r>
      <w:r w:rsidRPr="00E82665">
        <w:t xml:space="preserve">configurations et </w:t>
      </w:r>
      <w:r w:rsidR="004619A4">
        <w:t>l</w:t>
      </w:r>
      <w:r w:rsidRPr="00E82665">
        <w:t xml:space="preserve">es styles conjugaux, même dans des couples d’apparence hétérosexuels. </w:t>
      </w:r>
      <w:r>
        <w:t>Pour prolonger ces réflexions, nous nous demandons</w:t>
      </w:r>
      <w:r w:rsidR="003F4772">
        <w:t xml:space="preserve"> dans ce chapitre</w:t>
      </w:r>
      <w:r>
        <w:t xml:space="preserve"> </w:t>
      </w:r>
      <w:r w:rsidRPr="00F3048A">
        <w:rPr>
          <w:b/>
          <w:bCs/>
          <w:i/>
          <w:iCs/>
        </w:rPr>
        <w:t xml:space="preserve">quelles sont les spécificités des </w:t>
      </w:r>
      <w:r>
        <w:rPr>
          <w:b/>
          <w:bCs/>
          <w:i/>
          <w:iCs/>
        </w:rPr>
        <w:t>personnes</w:t>
      </w:r>
      <w:r w:rsidRPr="00F3048A">
        <w:rPr>
          <w:b/>
          <w:bCs/>
          <w:i/>
          <w:iCs/>
        </w:rPr>
        <w:t xml:space="preserve"> bisexuelles dans l’expérience de la violence conjugale ?</w:t>
      </w:r>
      <w:r>
        <w:t xml:space="preserve">  </w:t>
      </w:r>
    </w:p>
    <w:p w14:paraId="250F613D" w14:textId="2BC30DF4" w:rsidR="00E73CBC" w:rsidRDefault="00976850" w:rsidP="00E73CBC">
      <w:pPr>
        <w:pStyle w:val="Textbody"/>
      </w:pPr>
      <w:r>
        <w:lastRenderedPageBreak/>
        <w:t>Nous formulons les deux hypothèses suivantes : les personnes bisexuelles déclarent plus de violence quand elles sont en couple avec un homme. Dans la lignée des violences de genre nous postulons une asymétrie dans l’exercice et l’expérience de la violence qui se retrouve dans les configurations des couples de personnes bisexuelles. Notre deuxième hypothèse sera que la</w:t>
      </w:r>
      <w:r w:rsidR="00E73CBC" w:rsidRPr="006F5BB6">
        <w:rPr>
          <w:i/>
          <w:iCs/>
        </w:rPr>
        <w:t xml:space="preserve"> </w:t>
      </w:r>
      <w:r w:rsidR="00E73CBC" w:rsidRPr="00976850">
        <w:t>bisexualité, tant dans la trajectoire sexuelle passée, que dans l’expression d’une identification sexuelle produit des expériences de violences conjugales spécifiques.</w:t>
      </w:r>
      <w:r w:rsidR="00E73CBC">
        <w:t xml:space="preserve"> </w:t>
      </w:r>
    </w:p>
    <w:p w14:paraId="779A0D98" w14:textId="592E597D" w:rsidR="00A722C2" w:rsidRDefault="00C87C03" w:rsidP="004D095E">
      <w:pPr>
        <w:pStyle w:val="Titre2"/>
        <w:numPr>
          <w:ilvl w:val="0"/>
          <w:numId w:val="33"/>
        </w:numPr>
      </w:pPr>
      <w:bookmarkStart w:id="6" w:name="_Toc238741948"/>
      <w:r>
        <w:t>La mesure des violences conjugales et les liens avec la bisexualité dans l’enquête Virage</w:t>
      </w:r>
      <w:bookmarkEnd w:id="6"/>
      <w:r>
        <w:t xml:space="preserve"> </w:t>
      </w:r>
    </w:p>
    <w:p w14:paraId="622C02D3" w14:textId="12B5060F" w:rsidR="008F013E" w:rsidRPr="008F013E" w:rsidRDefault="008F013E" w:rsidP="008F013E">
      <w:pPr>
        <w:pStyle w:val="Textbody"/>
      </w:pPr>
      <w:r>
        <w:t xml:space="preserve">Nous ne cherchons pas à reproduire ce qui a déjà été fait sur les données de l’enquête Virage mais plutôt à éclairer </w:t>
      </w:r>
      <w:r w:rsidR="00976850">
        <w:t xml:space="preserve">des </w:t>
      </w:r>
      <w:r>
        <w:t xml:space="preserve">mécanismes liés à </w:t>
      </w:r>
      <w:r w:rsidR="00976850">
        <w:t>la bisexualité</w:t>
      </w:r>
      <w:r>
        <w:t xml:space="preserve"> dans l’exercice et l’expérience de la violence. Nous savons déjà que les minorités sexuelles déclarent plus de violence dans la famille avec des conséquences sur le lien familial et plus de violence dans l’espace public ayant des conséquences sur l’investissement des espaces extérieurs (Trachman, Lejbowicz, 2020). Les formes de violences diffèrent selon l’identification sexuelle dans ces espaces : les lesbiennes et bisexuelles déclarent plus de violences physiques et sexuelles dans la famille, des violences qui portent sur le corps. Les bies déclarent plus de violences physiques et psychologiques que les lesbiennes, qui elles déclarent plus de violences sexuelles que les bisexuelles. Les gays et bisexuels déclarent plus de violences de tous types que les hétéros avec une surexposition des bis aux violences psychologiques et physiques par rapport aux gays. Dans l’espace public la bisexualité est un facteur spécifique de vulnérabilité aux violences sexuelles pour les hommes et les femmes. Ici, nous nous intéressons aux violences dans le couple.</w:t>
      </w:r>
    </w:p>
    <w:p w14:paraId="34D85849" w14:textId="6ABFBFCF" w:rsidR="008F013E" w:rsidRPr="008F013E" w:rsidRDefault="005B4C57" w:rsidP="008F013E">
      <w:pPr>
        <w:pStyle w:val="Titre3"/>
      </w:pPr>
      <w:bookmarkStart w:id="7" w:name="_Toc238741949"/>
      <w:r>
        <w:t>La mesure des violences dans le couple au cours des douze mois précédant l’enquête</w:t>
      </w:r>
      <w:bookmarkEnd w:id="7"/>
    </w:p>
    <w:p w14:paraId="0E15C9C8" w14:textId="4164031D" w:rsidR="005B4C57" w:rsidRDefault="005B4C57" w:rsidP="005B4C57">
      <w:pPr>
        <w:pStyle w:val="Textbody"/>
        <w:rPr>
          <w:color w:val="000000"/>
        </w:rPr>
      </w:pPr>
      <w:r>
        <w:rPr>
          <w:color w:val="000000"/>
        </w:rPr>
        <w:t>Six</w:t>
      </w:r>
      <w:r w:rsidRPr="005B4C57">
        <w:rPr>
          <w:color w:val="000000"/>
        </w:rPr>
        <w:t xml:space="preserve"> sections</w:t>
      </w:r>
      <w:r>
        <w:rPr>
          <w:color w:val="000000"/>
        </w:rPr>
        <w:t xml:space="preserve"> du questionnaire</w:t>
      </w:r>
      <w:r w:rsidRPr="005B4C57">
        <w:rPr>
          <w:color w:val="000000"/>
        </w:rPr>
        <w:t xml:space="preserve"> </w:t>
      </w:r>
      <w:r>
        <w:rPr>
          <w:color w:val="000000"/>
        </w:rPr>
        <w:t xml:space="preserve">portent sur les </w:t>
      </w:r>
      <w:r w:rsidRPr="005B4C57">
        <w:rPr>
          <w:color w:val="000000"/>
        </w:rPr>
        <w:t xml:space="preserve">violences subies au cours des douze mois précédant l’enquête en distinguant </w:t>
      </w:r>
      <w:r>
        <w:rPr>
          <w:color w:val="000000"/>
        </w:rPr>
        <w:t>les</w:t>
      </w:r>
      <w:r w:rsidRPr="005B4C57">
        <w:rPr>
          <w:color w:val="000000"/>
        </w:rPr>
        <w:t xml:space="preserve"> espaces de survenue : </w:t>
      </w:r>
      <w:r>
        <w:rPr>
          <w:color w:val="000000"/>
        </w:rPr>
        <w:t xml:space="preserve">une section porte sur le couple et une autre sur les relations avec les ex-partenaire. </w:t>
      </w:r>
      <w:r w:rsidRPr="005B4C57">
        <w:rPr>
          <w:color w:val="000000"/>
        </w:rPr>
        <w:t>La dernière partie du questionnaire est consacrée aux violences qui se sont produites avant les douze mois précédant l’enquête.</w:t>
      </w:r>
    </w:p>
    <w:p w14:paraId="51D930FF" w14:textId="660F3046" w:rsidR="00976850" w:rsidRDefault="005B4C57" w:rsidP="005B4C57">
      <w:pPr>
        <w:pStyle w:val="Textbody"/>
      </w:pPr>
      <w:r w:rsidRPr="005B4C57">
        <w:t xml:space="preserve">Concernant la période étudiée, il est difficile d’analyser conjointement les données sur les violences portant sur les douze derniers mois et celles s’étant produites avant, les questions posées et les </w:t>
      </w:r>
      <w:r w:rsidRPr="005B4C57">
        <w:lastRenderedPageBreak/>
        <w:t>personnes interrogées n’étant pas les mêmes (</w:t>
      </w:r>
      <w:r w:rsidR="00976850">
        <w:t xml:space="preserve">Lejbowicz 2022 ; </w:t>
      </w:r>
      <w:r w:rsidRPr="005B4C57">
        <w:t>Brown et al</w:t>
      </w:r>
      <w:r w:rsidR="00976850">
        <w:t xml:space="preserve"> </w:t>
      </w:r>
      <w:r w:rsidRPr="005B4C57">
        <w:t xml:space="preserve">2020). Seuls les faits subis </w:t>
      </w:r>
      <w:r>
        <w:t>au cours des douze derniers mois seront ici pris en compte</w:t>
      </w:r>
      <w:r w:rsidRPr="005B4C57">
        <w:t>.</w:t>
      </w:r>
      <w:r>
        <w:t xml:space="preserve"> D’une part pour ne pas reproduire les analyses faites par Tania Lejbowicz sur la période précédente. D’autre part pour coller </w:t>
      </w:r>
      <w:r w:rsidR="008F013E">
        <w:t xml:space="preserve">aux analyses des </w:t>
      </w:r>
      <w:r>
        <w:t>chapitre</w:t>
      </w:r>
      <w:r w:rsidR="008F013E">
        <w:t>s</w:t>
      </w:r>
      <w:r>
        <w:t xml:space="preserve"> I et II, </w:t>
      </w:r>
      <w:r w:rsidR="008F013E">
        <w:t xml:space="preserve">qui portent souvent sur la base des personnes en couple au moins quatre mois au cours des douze mois précédant l’enquête. </w:t>
      </w:r>
      <w:r w:rsidR="00976850">
        <w:rPr>
          <w:color w:val="000000"/>
        </w:rPr>
        <w:t>Les déclarations des</w:t>
      </w:r>
      <w:r w:rsidR="00976850">
        <w:rPr>
          <w:color w:val="000000"/>
        </w:rPr>
        <w:t xml:space="preserve"> 12 derniers mois </w:t>
      </w:r>
      <w:r w:rsidR="00976850">
        <w:rPr>
          <w:color w:val="000000"/>
        </w:rPr>
        <w:t xml:space="preserve">concernent </w:t>
      </w:r>
      <w:r w:rsidR="00976850">
        <w:rPr>
          <w:color w:val="000000"/>
        </w:rPr>
        <w:t>moins de personnes mais</w:t>
      </w:r>
      <w:r w:rsidR="00976850">
        <w:rPr>
          <w:color w:val="000000"/>
        </w:rPr>
        <w:t xml:space="preserve"> sont</w:t>
      </w:r>
      <w:r w:rsidR="00976850">
        <w:rPr>
          <w:color w:val="000000"/>
        </w:rPr>
        <w:t xml:space="preserve"> plus précis</w:t>
      </w:r>
      <w:r w:rsidR="00976850">
        <w:rPr>
          <w:color w:val="000000"/>
        </w:rPr>
        <w:t>es</w:t>
      </w:r>
      <w:r w:rsidR="00976850">
        <w:rPr>
          <w:color w:val="000000"/>
        </w:rPr>
        <w:t xml:space="preserve"> </w:t>
      </w:r>
      <w:r w:rsidR="00976850">
        <w:rPr>
          <w:color w:val="000000"/>
        </w:rPr>
        <w:t>car moins dépendantes</w:t>
      </w:r>
      <w:r w:rsidR="00976850">
        <w:rPr>
          <w:color w:val="000000"/>
        </w:rPr>
        <w:t xml:space="preserve"> des biais de mémoire et de qualification rétrospective (Brown et al 2020)</w:t>
      </w:r>
      <w:r w:rsidR="00976850">
        <w:rPr>
          <w:color w:val="000000"/>
        </w:rPr>
        <w:t xml:space="preserve">. </w:t>
      </w:r>
    </w:p>
    <w:p w14:paraId="4D94FD44" w14:textId="461AD5DC" w:rsidR="005B4C57" w:rsidRDefault="005B4C57" w:rsidP="005B4C57">
      <w:pPr>
        <w:pStyle w:val="Textbody"/>
        <w:rPr>
          <w:color w:val="000000"/>
        </w:rPr>
      </w:pPr>
      <w:r>
        <w:t xml:space="preserve">Nous dissocions ce chapitre de l’analyse des conflits en suivant la distinction théorique centrale opérée par l’Enveff et reprise par Virage : la violence nie l’altérité de l’autre, là où le conflit suppose une relation. Si cette distinction stabilise un cadre analytique nécessaire à la mesure, elle pose la question de ce que serait une violence purement situationnelle, en dehors de toute dynamique genrée. </w:t>
      </w:r>
      <w:r w:rsidRPr="00294772">
        <w:t>Les conséquences d'un conflit diffèrent en fonction des dynamiques économiques au sein du couple par exemple. La médiatisation et la prise de conscience autour des violences conjugales implique également que les femmes savent qu'elles peuvent être victimes</w:t>
      </w:r>
      <w:r>
        <w:t>,</w:t>
      </w:r>
      <w:r w:rsidRPr="00294772">
        <w:t xml:space="preserve"> impact</w:t>
      </w:r>
      <w:r>
        <w:t>ant</w:t>
      </w:r>
      <w:r w:rsidRPr="00294772">
        <w:t xml:space="preserve"> les conditions de possibilité même d'enclencher un conflit</w:t>
      </w:r>
      <w:r>
        <w:t xml:space="preserve">. Ainsi, </w:t>
      </w:r>
      <w:r>
        <w:rPr>
          <w:color w:val="000000"/>
        </w:rPr>
        <w:t xml:space="preserve">si on considère la violence comme outil de contrôle social et de rappel à l'ordre intériorisé par les femmes </w:t>
      </w:r>
      <w:hyperlink r:id="rId7" w:history="1">
        <w:r>
          <w:rPr>
            <w:rStyle w:val="Lienhypertexte"/>
            <w:color w:val="000000"/>
          </w:rPr>
          <w:t xml:space="preserve">(Kelly </w:t>
        </w:r>
        <w:proofErr w:type="gramStart"/>
        <w:r>
          <w:rPr>
            <w:rStyle w:val="Lienhypertexte"/>
            <w:color w:val="000000"/>
          </w:rPr>
          <w:t>2019;</w:t>
        </w:r>
        <w:proofErr w:type="gramEnd"/>
        <w:r>
          <w:rPr>
            <w:rStyle w:val="Lienhypertexte"/>
            <w:color w:val="000000"/>
          </w:rPr>
          <w:t xml:space="preserve"> Hanmer 1977)</w:t>
        </w:r>
      </w:hyperlink>
      <w:r>
        <w:rPr>
          <w:color w:val="000000"/>
        </w:rPr>
        <w:t xml:space="preserve"> alors même les violences dites situationnelles s'inscrivent dans un rapport de domination. </w:t>
      </w:r>
    </w:p>
    <w:p w14:paraId="5877084D" w14:textId="17D74DAA" w:rsidR="005B4C57" w:rsidRPr="008F013E" w:rsidRDefault="005B4C57" w:rsidP="008F013E">
      <w:pPr>
        <w:widowControl/>
        <w:suppressAutoHyphens w:val="0"/>
        <w:autoSpaceDN/>
        <w:spacing w:before="100" w:beforeAutospacing="1" w:after="100" w:afterAutospacing="1" w:line="360" w:lineRule="auto"/>
        <w:jc w:val="both"/>
        <w:textAlignment w:val="auto"/>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questionnaire de l’enquête Virage n’utilise pas les termes « violence », « agression » ou « harcèlement » car ils font preuve de variations dans l’interprétation (Hamel, 2020). L’ordre des faits abordés est le suivant : violences psychologiques, physiques, sexuelles, économiques et administratives. Le questionnaire est identique entre hommes et femmes pour permettre la comparaison mais des différences d’interprétations sont observées malgré des questions très factuelles. Pour creuser cet écueil classique de la mesure des violences de genre, des questions sont posées sur la fréquence, la gravité des actes. Ensuite les enquêté∙es sélectionnent le fait considéré comme le plus grave et répondent à des questions sur les circonstances de survenue, les motifs supposés, les conséquences à court et long terme et les recours envisagés. Pour les violences sexuelles le classement en rapport sexuel forcés, tentatives de rapports sexuels forcés et attouchements forcés est réalisé a </w:t>
      </w:r>
      <w:r>
        <w:rPr>
          <w:rFonts w:ascii="Times New Roman" w:eastAsia="Times New Roman" w:hAnsi="Times New Roman" w:cs="Times New Roman"/>
          <w:lang w:eastAsia="fr-FR"/>
        </w:rPr>
        <w:lastRenderedPageBreak/>
        <w:t>posteriori pour éviter les biais de méconnaissance des catégories pénales. Les questions sur la fréquence, la gravité perçue, l’impact physique et psychologique</w:t>
      </w:r>
      <w:r w:rsidR="00976850">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t xml:space="preserve">permettent de distinguer les situations de conflits de celles d’emprise. </w:t>
      </w:r>
    </w:p>
    <w:p w14:paraId="0A1EC8E7" w14:textId="3615AB3C" w:rsidR="005B4C57" w:rsidRPr="005B4C57" w:rsidRDefault="008F013E" w:rsidP="005B4C57">
      <w:pPr>
        <w:pStyle w:val="Titre3"/>
      </w:pPr>
      <w:bookmarkStart w:id="8" w:name="_Toc238741950"/>
      <w:r>
        <w:t>Les indicateurs construits a posteriori</w:t>
      </w:r>
      <w:bookmarkEnd w:id="8"/>
      <w:r>
        <w:t xml:space="preserve"> </w:t>
      </w:r>
    </w:p>
    <w:p w14:paraId="5886C825" w14:textId="77777777" w:rsidR="00976850" w:rsidRDefault="005B4C57" w:rsidP="00976850">
      <w:pPr>
        <w:pStyle w:val="Textbody"/>
      </w:pPr>
      <w:r>
        <w:t xml:space="preserve">Nous commençons par observer des indicateurs globaux de violence, construits post-enquête sur la base en population générale. Ils sont particulièrement utiles pour aborder nos effectifs réduits avant d'entrer dans le détail des types de violence. Les questions des différents modules permettent d'établir </w:t>
      </w:r>
      <w:r w:rsidR="00976850">
        <w:t xml:space="preserve">trois indicateurs de violences conjugales (psychologiques, physiques, sexuelles) chacun allant d’un niveau zéro qui correspond à une situation sans violence jusqu’à un niveau trois correspondant à des violences sévères. Dans la lignée des apports méthodologiques de la recherche sur l’asymétrie de genre, ces indicateurs permettent la prise en compte du cumul de plusieurs faits de même nature, de la fréquence de survenue de chaque fait et de la gravité différentielle accordée aux faits (Lejbowicz 2022). </w:t>
      </w:r>
      <w:r w:rsidR="00976850" w:rsidRPr="00111CB3">
        <w:t>La construction de l’indicateur de violences psychologiques repose sur la notion de contrôle coercitif, caractérisé par la persistance des faits, l’humiliation ou le dénigrement infligé à la victime, et le climat d’angoisse dans lequel il la plonge (Stark 2007). Le niveau maximal correspond à un cumul de ces trois caractéristiques.</w:t>
      </w:r>
    </w:p>
    <w:p w14:paraId="7E677294" w14:textId="2EB68636" w:rsidR="00432DCB" w:rsidRPr="00FB64D9" w:rsidRDefault="00432DCB" w:rsidP="00432DCB">
      <w:pPr>
        <w:pStyle w:val="Table"/>
        <w:spacing w:line="360" w:lineRule="auto"/>
        <w:jc w:val="both"/>
        <w:rPr>
          <w:i w:val="0"/>
          <w:iCs/>
        </w:rPr>
      </w:pPr>
      <w:r w:rsidRPr="00FB64D9">
        <w:rPr>
          <w:i w:val="0"/>
          <w:iCs/>
        </w:rPr>
        <w:t xml:space="preserve">Virage LGBT ne dispose pas des indicateurs globaux post-construits. Nous les avons donc recréés, en restreignant l'analyse au module </w:t>
      </w:r>
      <w:r>
        <w:rPr>
          <w:i w:val="0"/>
          <w:iCs/>
        </w:rPr>
        <w:t>« couple au cours des 12 derniers mois »</w:t>
      </w:r>
      <w:r w:rsidRPr="00FB64D9">
        <w:rPr>
          <w:i w:val="0"/>
          <w:iCs/>
        </w:rPr>
        <w:t xml:space="preserve">. L'indicateur a été construit à partir des mêmes items élémentaires que ceux utilisés par </w:t>
      </w:r>
      <w:proofErr w:type="spellStart"/>
      <w:r w:rsidRPr="00FB64D9">
        <w:rPr>
          <w:i w:val="0"/>
          <w:iCs/>
        </w:rPr>
        <w:t>l'Ined</w:t>
      </w:r>
      <w:proofErr w:type="spellEnd"/>
      <w:r w:rsidRPr="00FB64D9">
        <w:rPr>
          <w:i w:val="0"/>
          <w:iCs/>
        </w:rPr>
        <w:t xml:space="preserve"> pour construire l'indicateur agrégé de Virage PG (C2 à C31), garantissant une définition strictement comparable entre les deux enquêtes ; seul le regroupement en niveaux de gravité (Niv0 à Niv3), peu pertinent compte tenu de nos effectifs, n'a pas été répliqué.</w:t>
      </w:r>
      <w:r>
        <w:rPr>
          <w:i w:val="0"/>
          <w:iCs/>
        </w:rPr>
        <w:t xml:space="preserve"> A la place nous avons transformé les niveaux en une occurrence simple Oui / Non dans les deux bases. </w:t>
      </w:r>
    </w:p>
    <w:p w14:paraId="119A281B" w14:textId="16D61E50" w:rsidR="005B4C57" w:rsidRDefault="008F013E" w:rsidP="005B4C57">
      <w:pPr>
        <w:pStyle w:val="Textbody"/>
      </w:pPr>
      <w:r>
        <w:t>Cette simplification empêche l’analyse des différents niveaux de gravité mais les effectifs séparés des deux bases ne nous le permettent pas. Plutôt qu’une analyse comparative des prévalences nous proposons une exploration des mécanismes liées à la bisexualité dans l’exercice et l’expérience des violences conjugales. Ce chapitre combinera analyses statistiques quand les effectifs le permettent avec une analyse qualitative des données</w:t>
      </w:r>
      <w:r w:rsidR="009D2B34">
        <w:t>.</w:t>
      </w:r>
      <w:r>
        <w:t xml:space="preserve"> </w:t>
      </w:r>
    </w:p>
    <w:p w14:paraId="2C80FECB" w14:textId="69DE1DFF" w:rsidR="00C87C03" w:rsidRDefault="008F013E" w:rsidP="008F013E">
      <w:pPr>
        <w:pStyle w:val="Titre3"/>
      </w:pPr>
      <w:bookmarkStart w:id="9" w:name="_Toc238741951"/>
      <w:r>
        <w:lastRenderedPageBreak/>
        <w:t>Violence conjugale et bisexualité dans l’enquête</w:t>
      </w:r>
      <w:bookmarkEnd w:id="9"/>
      <w:r>
        <w:t xml:space="preserve"> </w:t>
      </w:r>
    </w:p>
    <w:p w14:paraId="4F9C10C5" w14:textId="0B5FE60D" w:rsidR="00555EE4" w:rsidRDefault="008F013E" w:rsidP="008F013E">
      <w:pPr>
        <w:pStyle w:val="Textbody"/>
      </w:pPr>
      <w:r>
        <w:t xml:space="preserve">Des éléments du questionnaire permettent une compréhension de la place de la bisexualité dans les violences conjugales. </w:t>
      </w:r>
      <w:r w:rsidR="00555EE4">
        <w:t xml:space="preserve">Un sous-module nommé « réactions de l’entourage à l’orientation sexuelle » pose la question de la connaissance de la bisexualité de l’enquêté par le ou la conjoint∙e. Dans le chapitre II nous avons montré que les hommes bisexuels déclarent plus souvent ne pas être </w:t>
      </w:r>
      <w:r w:rsidR="00555EE4" w:rsidRPr="00555EE4">
        <w:rPr>
          <w:i/>
          <w:iCs/>
        </w:rPr>
        <w:t>out</w:t>
      </w:r>
      <w:r w:rsidR="00555EE4">
        <w:t xml:space="preserve"> dans leur couple et que les femmes bisexuelles et que les bi∙es en couple de sexe différent déclarent plus une ignorance de leur bisexualité de la part du partenaire. </w:t>
      </w:r>
      <w:r w:rsidR="009D2B34">
        <w:t>Viennent ensuite des questions</w:t>
      </w:r>
      <w:r w:rsidR="00555EE4">
        <w:t xml:space="preserve"> sur l’âge à la connaissance de la bisexualité, l’acceptation de la bisexualité lors de l’annonce et au moment de l’enquête, les incitations à cacher sa bisexualité, les menaces de révélation et les conflits avec le/la conjoint∙e au sujet de la bisexualité. </w:t>
      </w:r>
      <w:r w:rsidR="009D2B34">
        <w:t>Elles</w:t>
      </w:r>
      <w:r w:rsidR="00555EE4">
        <w:t xml:space="preserve"> laisse</w:t>
      </w:r>
      <w:r w:rsidR="009D2B34">
        <w:t>nt</w:t>
      </w:r>
      <w:r w:rsidR="00555EE4">
        <w:t xml:space="preserve"> imaginer certaines des spécificités de la bisexualité dans les violences conjugales. </w:t>
      </w:r>
    </w:p>
    <w:p w14:paraId="60E976FC" w14:textId="64C9DE87" w:rsidR="00555EE4" w:rsidRPr="008F013E" w:rsidRDefault="00555EE4" w:rsidP="008F013E">
      <w:pPr>
        <w:pStyle w:val="Textbody"/>
      </w:pPr>
      <w:r>
        <w:t xml:space="preserve">Tout d’abord, on l’a abordé dans le chapitre II, la possibilité de cacher son identification dans le couple </w:t>
      </w:r>
      <w:r w:rsidR="001E596A">
        <w:t>expose les bi∙es à de potentielles violences s’il y a révélation. Dans les cas où la bisexualité est connue, elle peut être utilisée comme moyen de pression : menace de divulgation à l’entourage ; ou de dévalorisation : recours aux stéréotypes bisexuels de l’infidélité et de promiscuité pour contrôler les sorties par exemple. Cette deuxième catégorie de violence est plus difficile à relier directement à la bisexualité. Les auteur∙ices et victimes pouvant ne pas reconnaître le poids de l’imaginaire bisexuel dans ces faits et encore moins les déclarer comme tels. Le refus de reconnaître des formes spécifiques de violence</w:t>
      </w:r>
      <w:r w:rsidR="00A232A2">
        <w:t xml:space="preserve"> et l’absence de communauté bisexuelle </w:t>
      </w:r>
      <w:r w:rsidR="001E596A">
        <w:t>freine</w:t>
      </w:r>
      <w:r w:rsidR="00A232A2">
        <w:t>nt</w:t>
      </w:r>
      <w:r w:rsidR="001E596A">
        <w:t xml:space="preserve"> aussi la capacité des personnes bisexuelles à identifier et déclarer </w:t>
      </w:r>
      <w:r w:rsidR="00A232A2">
        <w:t>ces discriminations</w:t>
      </w:r>
      <w:r w:rsidR="001E596A">
        <w:t xml:space="preserve">. </w:t>
      </w:r>
    </w:p>
    <w:p w14:paraId="523CA5B7" w14:textId="1EEF6CA0" w:rsidR="004C7E05" w:rsidRDefault="00C87C03" w:rsidP="004D095E">
      <w:pPr>
        <w:pStyle w:val="Titre2"/>
        <w:numPr>
          <w:ilvl w:val="0"/>
          <w:numId w:val="33"/>
        </w:numPr>
      </w:pPr>
      <w:bookmarkStart w:id="10" w:name="_Toc238741952"/>
      <w:r>
        <w:t xml:space="preserve">Les configurations des violences conjugales </w:t>
      </w:r>
      <w:r w:rsidR="00111CB3">
        <w:t xml:space="preserve">déclarées par </w:t>
      </w:r>
      <w:r w:rsidR="009D2B34">
        <w:t>les personnes</w:t>
      </w:r>
      <w:r>
        <w:t xml:space="preserve"> bisexuelles</w:t>
      </w:r>
      <w:bookmarkEnd w:id="10"/>
      <w:r>
        <w:t xml:space="preserve"> </w:t>
      </w:r>
    </w:p>
    <w:p w14:paraId="7CCEE471" w14:textId="4443C023" w:rsidR="00C87C03" w:rsidRDefault="00C87C03" w:rsidP="00A232A2">
      <w:pPr>
        <w:pStyle w:val="Titre3"/>
      </w:pPr>
      <w:bookmarkStart w:id="11" w:name="_Toc238741953"/>
      <w:r>
        <w:t>La surexposition aux violences psychologiques</w:t>
      </w:r>
      <w:r w:rsidR="009D2B34">
        <w:t xml:space="preserve"> chez les femmes bisexuelles</w:t>
      </w:r>
      <w:bookmarkEnd w:id="11"/>
      <w:r>
        <w:t xml:space="preserve"> </w:t>
      </w:r>
    </w:p>
    <w:p w14:paraId="52253191" w14:textId="77777777" w:rsidR="00A232A2" w:rsidRDefault="00A232A2" w:rsidP="00A232A2">
      <w:pPr>
        <w:pStyle w:val="Table"/>
      </w:pPr>
      <w:r>
        <w:t xml:space="preserve">Table 12a : </w:t>
      </w:r>
      <w:r w:rsidRPr="005D5189">
        <w:t>Indicateur global de violence dans le couple dans les 12 derniers mois</w:t>
      </w:r>
      <w:r>
        <w:t>.</w:t>
      </w:r>
    </w:p>
    <w:tbl>
      <w:tblPr>
        <w:tblW w:w="5000" w:type="pct"/>
        <w:jc w:val="center"/>
        <w:tblLayout w:type="fixed"/>
        <w:tblLook w:val="0420" w:firstRow="1" w:lastRow="0" w:firstColumn="0" w:lastColumn="0" w:noHBand="0" w:noVBand="1"/>
      </w:tblPr>
      <w:tblGrid>
        <w:gridCol w:w="2431"/>
        <w:gridCol w:w="1158"/>
        <w:gridCol w:w="1157"/>
        <w:gridCol w:w="1157"/>
        <w:gridCol w:w="1157"/>
        <w:gridCol w:w="1157"/>
        <w:gridCol w:w="1157"/>
      </w:tblGrid>
      <w:tr w:rsidR="00A232A2" w:rsidRPr="005D5189" w14:paraId="568C062A" w14:textId="77777777" w:rsidTr="005F4771">
        <w:trPr>
          <w:tblHeader/>
          <w:jc w:val="center"/>
        </w:trPr>
        <w:tc>
          <w:tcPr>
            <w:tcW w:w="2438" w:type="dxa"/>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7EB62B6"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3483" w:type="dxa"/>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36D48F"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5D5189">
              <w:rPr>
                <w:rFonts w:ascii="Times New Roman" w:eastAsia="Arial" w:hAnsi="Times New Roman" w:cs="Times New Roman"/>
                <w:b/>
                <w:color w:val="000000"/>
                <w:sz w:val="14"/>
                <w:szCs w:val="14"/>
              </w:rPr>
              <w:t>Virage PG — Femmes</w:t>
            </w:r>
          </w:p>
        </w:tc>
        <w:tc>
          <w:tcPr>
            <w:tcW w:w="3483" w:type="dxa"/>
            <w:gridSpan w:val="3"/>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7E852FE9"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5D5189">
              <w:rPr>
                <w:rFonts w:ascii="Times New Roman" w:eastAsia="Arial" w:hAnsi="Times New Roman" w:cs="Times New Roman"/>
                <w:b/>
                <w:color w:val="000000"/>
                <w:sz w:val="14"/>
                <w:szCs w:val="14"/>
              </w:rPr>
              <w:t>Virage PG — Hommes</w:t>
            </w:r>
          </w:p>
        </w:tc>
      </w:tr>
      <w:tr w:rsidR="00A232A2" w:rsidRPr="005D5189" w14:paraId="2B8EF79A" w14:textId="77777777" w:rsidTr="005F4771">
        <w:trPr>
          <w:tblHeader/>
          <w:jc w:val="center"/>
        </w:trPr>
        <w:tc>
          <w:tcPr>
            <w:tcW w:w="2438" w:type="dxa"/>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54D5514C"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right="100"/>
              <w:rPr>
                <w:rFonts w:ascii="Times New Roman" w:eastAsia="Arial" w:hAnsi="Times New Roman" w:cs="Times New Roman"/>
                <w:color w:val="000000"/>
                <w:sz w:val="14"/>
                <w:szCs w:val="14"/>
              </w:rPr>
            </w:pP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9CBADC"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Homo</w:t>
            </w:r>
            <w:r w:rsidRPr="005D5189">
              <w:rPr>
                <w:rFonts w:ascii="Times New Roman" w:eastAsia="Arial" w:hAnsi="Times New Roman" w:cs="Times New Roman"/>
                <w:color w:val="000000"/>
                <w:sz w:val="14"/>
                <w:szCs w:val="14"/>
              </w:rPr>
              <w:br/>
              <w:t>(64)</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B95321"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Bi</w:t>
            </w:r>
            <w:r w:rsidRPr="005D5189">
              <w:rPr>
                <w:rFonts w:ascii="Times New Roman" w:eastAsia="Arial" w:hAnsi="Times New Roman" w:cs="Times New Roman"/>
                <w:color w:val="000000"/>
                <w:sz w:val="14"/>
                <w:szCs w:val="14"/>
              </w:rPr>
              <w:br/>
              <w:t>(75)</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B6DE3A"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Hétéro</w:t>
            </w:r>
            <w:r w:rsidRPr="005D5189">
              <w:rPr>
                <w:rFonts w:ascii="Times New Roman" w:eastAsia="Arial" w:hAnsi="Times New Roman" w:cs="Times New Roman"/>
                <w:color w:val="000000"/>
                <w:sz w:val="14"/>
                <w:szCs w:val="14"/>
              </w:rPr>
              <w:br/>
              <w:t>(10</w:t>
            </w:r>
            <w:r>
              <w:rPr>
                <w:rFonts w:ascii="Times New Roman" w:eastAsia="Arial" w:hAnsi="Times New Roman" w:cs="Times New Roman"/>
                <w:color w:val="000000"/>
                <w:sz w:val="14"/>
                <w:szCs w:val="14"/>
              </w:rPr>
              <w:t xml:space="preserve"> </w:t>
            </w:r>
            <w:r w:rsidRPr="005D5189">
              <w:rPr>
                <w:rFonts w:ascii="Times New Roman" w:eastAsia="Arial" w:hAnsi="Times New Roman" w:cs="Times New Roman"/>
                <w:color w:val="000000"/>
                <w:sz w:val="14"/>
                <w:szCs w:val="14"/>
              </w:rPr>
              <w:t>125)</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780440"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Homo</w:t>
            </w:r>
            <w:r w:rsidRPr="005D5189">
              <w:rPr>
                <w:rFonts w:ascii="Times New Roman" w:eastAsia="Arial" w:hAnsi="Times New Roman" w:cs="Times New Roman"/>
                <w:color w:val="000000"/>
                <w:sz w:val="14"/>
                <w:szCs w:val="14"/>
              </w:rPr>
              <w:br/>
              <w:t>(89)</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47F966"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Bi</w:t>
            </w:r>
            <w:r w:rsidRPr="005D5189">
              <w:rPr>
                <w:rFonts w:ascii="Times New Roman" w:eastAsia="Arial" w:hAnsi="Times New Roman" w:cs="Times New Roman"/>
                <w:color w:val="000000"/>
                <w:sz w:val="14"/>
                <w:szCs w:val="14"/>
              </w:rPr>
              <w:br/>
              <w:t>(34)</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563788FB"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Hétéro</w:t>
            </w:r>
            <w:r w:rsidRPr="005D5189">
              <w:rPr>
                <w:rFonts w:ascii="Times New Roman" w:eastAsia="Arial" w:hAnsi="Times New Roman" w:cs="Times New Roman"/>
                <w:color w:val="000000"/>
                <w:sz w:val="14"/>
                <w:szCs w:val="14"/>
              </w:rPr>
              <w:br/>
              <w:t>(8</w:t>
            </w:r>
            <w:r>
              <w:rPr>
                <w:rFonts w:ascii="Times New Roman" w:eastAsia="Arial" w:hAnsi="Times New Roman" w:cs="Times New Roman"/>
                <w:color w:val="000000"/>
                <w:sz w:val="14"/>
                <w:szCs w:val="14"/>
              </w:rPr>
              <w:t xml:space="preserve"> </w:t>
            </w:r>
            <w:r w:rsidRPr="005D5189">
              <w:rPr>
                <w:rFonts w:ascii="Times New Roman" w:eastAsia="Arial" w:hAnsi="Times New Roman" w:cs="Times New Roman"/>
                <w:color w:val="000000"/>
                <w:sz w:val="14"/>
                <w:szCs w:val="14"/>
              </w:rPr>
              <w:t>038)</w:t>
            </w:r>
            <w:r w:rsidRPr="005D5189">
              <w:rPr>
                <w:rFonts w:ascii="Times New Roman" w:eastAsia="Arial" w:hAnsi="Times New Roman" w:cs="Times New Roman"/>
                <w:color w:val="000000"/>
                <w:sz w:val="14"/>
                <w:szCs w:val="14"/>
                <w:vertAlign w:val="superscript"/>
              </w:rPr>
              <w:t>1</w:t>
            </w:r>
          </w:p>
        </w:tc>
      </w:tr>
      <w:tr w:rsidR="00A232A2" w:rsidRPr="005D5189" w14:paraId="515AC2B9" w14:textId="77777777" w:rsidTr="005F4771">
        <w:trPr>
          <w:jc w:val="center"/>
        </w:trPr>
        <w:tc>
          <w:tcPr>
            <w:tcW w:w="9404" w:type="dxa"/>
            <w:gridSpan w:val="7"/>
            <w:tcBorders>
              <w:top w:val="single" w:sz="8"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26BD906F"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5D5189">
              <w:rPr>
                <w:rFonts w:ascii="Times New Roman" w:eastAsia="Arial" w:hAnsi="Times New Roman" w:cs="Times New Roman"/>
                <w:bCs/>
                <w:i/>
                <w:iCs/>
                <w:color w:val="000000"/>
                <w:sz w:val="14"/>
                <w:szCs w:val="14"/>
              </w:rPr>
              <w:t>Violence dans le couple au cours des 12 derniers mois</w:t>
            </w:r>
          </w:p>
        </w:tc>
      </w:tr>
      <w:tr w:rsidR="00A232A2" w:rsidRPr="005D5189" w14:paraId="4A95D084" w14:textId="77777777" w:rsidTr="005F4771">
        <w:trPr>
          <w:jc w:val="center"/>
        </w:trPr>
        <w:tc>
          <w:tcPr>
            <w:tcW w:w="2438" w:type="dxa"/>
            <w:tcBorders>
              <w:left w:val="single" w:sz="12" w:space="0" w:color="auto"/>
              <w:right w:val="single" w:sz="4" w:space="0" w:color="auto"/>
            </w:tcBorders>
            <w:shd w:val="clear" w:color="auto" w:fill="FFFFFF"/>
            <w:tcMar>
              <w:top w:w="0" w:type="dxa"/>
              <w:left w:w="0" w:type="dxa"/>
              <w:bottom w:w="0" w:type="dxa"/>
              <w:right w:w="0" w:type="dxa"/>
            </w:tcMar>
          </w:tcPr>
          <w:p w14:paraId="21ED093A"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Oui</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1D87BDA1"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1.6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(2)</w:t>
            </w:r>
            <w:r w:rsidRPr="005D5189">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2]</w:t>
            </w:r>
            <w:r w:rsidRPr="005D5189">
              <w:rPr>
                <w:rFonts w:ascii="Times New Roman" w:eastAsia="Arial" w:hAnsi="Times New Roman" w:cs="Times New Roman"/>
                <w:color w:val="000000"/>
                <w:sz w:val="14"/>
                <w:szCs w:val="14"/>
                <w:vertAlign w:val="superscript"/>
              </w:rPr>
              <w:t>3</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7B828EDE"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20.9</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(14)</w:t>
            </w:r>
            <w:r w:rsidRPr="005D5189">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36]</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AAFE27E"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5.2</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(540)</w:t>
            </w:r>
            <w:r w:rsidRPr="005D5189">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2890E1C1"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3.1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(4)</w:t>
            </w:r>
            <w:r w:rsidRPr="005D5189">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5]</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93164C1"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12.5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w:t>
            </w:r>
            <w:r w:rsidRPr="005D5189">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35]</w:t>
            </w:r>
          </w:p>
        </w:tc>
        <w:tc>
          <w:tcPr>
            <w:tcW w:w="1161" w:type="dxa"/>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56F3306E"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(315)</w:t>
            </w:r>
            <w:r w:rsidRPr="005D5189">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2</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4.2]</w:t>
            </w:r>
          </w:p>
        </w:tc>
      </w:tr>
      <w:tr w:rsidR="00A232A2" w:rsidRPr="005D5189" w14:paraId="684A7F70" w14:textId="77777777" w:rsidTr="005F4771">
        <w:trPr>
          <w:jc w:val="center"/>
        </w:trPr>
        <w:tc>
          <w:tcPr>
            <w:tcW w:w="2438" w:type="dxa"/>
            <w:tcBorders>
              <w:left w:val="single" w:sz="12" w:space="0" w:color="auto"/>
              <w:right w:val="single" w:sz="4" w:space="0" w:color="auto"/>
            </w:tcBorders>
            <w:shd w:val="clear" w:color="auto" w:fill="FFFFFF"/>
            <w:tcMar>
              <w:top w:w="0" w:type="dxa"/>
              <w:left w:w="0" w:type="dxa"/>
              <w:bottom w:w="0" w:type="dxa"/>
              <w:right w:w="0" w:type="dxa"/>
            </w:tcMar>
          </w:tcPr>
          <w:p w14:paraId="706D28A6"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Non</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26BD5A33"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98.4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(62)</w:t>
            </w:r>
            <w:r w:rsidRPr="005D5189">
              <w:rPr>
                <w:rFonts w:ascii="Times New Roman" w:eastAsia="Arial" w:hAnsi="Times New Roman" w:cs="Times New Roman"/>
                <w:color w:val="000000"/>
                <w:sz w:val="14"/>
                <w:szCs w:val="14"/>
              </w:rPr>
              <w:br/>
            </w:r>
            <w:r w:rsidRPr="005D5189">
              <w:rPr>
                <w:rFonts w:ascii="Times New Roman" w:eastAsia="Arial" w:hAnsi="Times New Roman" w:cs="Times New Roman"/>
                <w:color w:val="000000"/>
                <w:sz w:val="14"/>
                <w:szCs w:val="14"/>
              </w:rPr>
              <w:lastRenderedPageBreak/>
              <w:t>[93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100]</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493A0D99"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lastRenderedPageBreak/>
              <w:t>79.1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(61)</w:t>
            </w:r>
            <w:r w:rsidRPr="005D5189">
              <w:rPr>
                <w:rFonts w:ascii="Times New Roman" w:eastAsia="Arial" w:hAnsi="Times New Roman" w:cs="Times New Roman"/>
                <w:color w:val="000000"/>
                <w:sz w:val="14"/>
                <w:szCs w:val="14"/>
              </w:rPr>
              <w:br/>
            </w:r>
            <w:r w:rsidRPr="005D5189">
              <w:rPr>
                <w:rFonts w:ascii="Times New Roman" w:eastAsia="Arial" w:hAnsi="Times New Roman" w:cs="Times New Roman"/>
                <w:color w:val="000000"/>
                <w:sz w:val="14"/>
                <w:szCs w:val="14"/>
              </w:rPr>
              <w:lastRenderedPageBreak/>
              <w:t>[64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89]</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32893D4"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lastRenderedPageBreak/>
              <w:t>94.8</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(9,577)</w:t>
            </w:r>
            <w:r w:rsidRPr="005D5189">
              <w:rPr>
                <w:rFonts w:ascii="Times New Roman" w:eastAsia="Arial" w:hAnsi="Times New Roman" w:cs="Times New Roman"/>
                <w:color w:val="000000"/>
                <w:sz w:val="14"/>
                <w:szCs w:val="14"/>
              </w:rPr>
              <w:br/>
            </w:r>
            <w:r w:rsidRPr="005D5189">
              <w:rPr>
                <w:rFonts w:ascii="Times New Roman" w:eastAsia="Arial" w:hAnsi="Times New Roman" w:cs="Times New Roman"/>
                <w:color w:val="000000"/>
                <w:sz w:val="14"/>
                <w:szCs w:val="14"/>
              </w:rPr>
              <w:lastRenderedPageBreak/>
              <w:t>[94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95]</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6BBFF69"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lastRenderedPageBreak/>
              <w:t>96.9</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(85)</w:t>
            </w:r>
            <w:r w:rsidRPr="005D5189">
              <w:rPr>
                <w:rFonts w:ascii="Times New Roman" w:eastAsia="Arial" w:hAnsi="Times New Roman" w:cs="Times New Roman"/>
                <w:color w:val="000000"/>
                <w:sz w:val="14"/>
                <w:szCs w:val="14"/>
              </w:rPr>
              <w:br/>
            </w:r>
            <w:r w:rsidRPr="005D5189">
              <w:rPr>
                <w:rFonts w:ascii="Times New Roman" w:eastAsia="Arial" w:hAnsi="Times New Roman" w:cs="Times New Roman"/>
                <w:color w:val="000000"/>
                <w:sz w:val="14"/>
                <w:szCs w:val="14"/>
              </w:rPr>
              <w:lastRenderedPageBreak/>
              <w:t>[91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99]</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05423F5B"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lastRenderedPageBreak/>
              <w:t>87.5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(31)</w:t>
            </w:r>
            <w:r w:rsidRPr="005D5189">
              <w:rPr>
                <w:rFonts w:ascii="Times New Roman" w:eastAsia="Arial" w:hAnsi="Times New Roman" w:cs="Times New Roman"/>
                <w:color w:val="000000"/>
                <w:sz w:val="14"/>
                <w:szCs w:val="14"/>
              </w:rPr>
              <w:br/>
            </w:r>
            <w:r w:rsidRPr="005D5189">
              <w:rPr>
                <w:rFonts w:ascii="Times New Roman" w:eastAsia="Arial" w:hAnsi="Times New Roman" w:cs="Times New Roman"/>
                <w:color w:val="000000"/>
                <w:sz w:val="14"/>
                <w:szCs w:val="14"/>
              </w:rPr>
              <w:lastRenderedPageBreak/>
              <w:t>[65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96]</w:t>
            </w:r>
          </w:p>
        </w:tc>
        <w:tc>
          <w:tcPr>
            <w:tcW w:w="1161" w:type="dxa"/>
            <w:tcBorders>
              <w:left w:val="single" w:sz="4" w:space="0" w:color="auto"/>
              <w:right w:val="single" w:sz="12" w:space="0" w:color="auto"/>
            </w:tcBorders>
            <w:shd w:val="clear" w:color="auto" w:fill="FFFFFF"/>
            <w:tcMar>
              <w:top w:w="0" w:type="dxa"/>
              <w:left w:w="0" w:type="dxa"/>
              <w:bottom w:w="0" w:type="dxa"/>
              <w:right w:w="0" w:type="dxa"/>
            </w:tcMar>
          </w:tcPr>
          <w:p w14:paraId="5985423A"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lastRenderedPageBreak/>
              <w:t>96.3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(7,708)</w:t>
            </w:r>
            <w:r w:rsidRPr="005D5189">
              <w:rPr>
                <w:rFonts w:ascii="Times New Roman" w:eastAsia="Arial" w:hAnsi="Times New Roman" w:cs="Times New Roman"/>
                <w:color w:val="000000"/>
                <w:sz w:val="14"/>
                <w:szCs w:val="14"/>
              </w:rPr>
              <w:br/>
            </w:r>
            <w:r w:rsidRPr="005D5189">
              <w:rPr>
                <w:rFonts w:ascii="Times New Roman" w:eastAsia="Arial" w:hAnsi="Times New Roman" w:cs="Times New Roman"/>
                <w:color w:val="000000"/>
                <w:sz w:val="14"/>
                <w:szCs w:val="14"/>
              </w:rPr>
              <w:lastRenderedPageBreak/>
              <w:t>[96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97]</w:t>
            </w:r>
          </w:p>
        </w:tc>
      </w:tr>
      <w:tr w:rsidR="00A232A2" w:rsidRPr="005D5189" w14:paraId="466725FC" w14:textId="77777777" w:rsidTr="005F4771">
        <w:trPr>
          <w:jc w:val="center"/>
        </w:trPr>
        <w:tc>
          <w:tcPr>
            <w:tcW w:w="2438" w:type="dxa"/>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0D07D9C3"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i/>
                <w:iCs/>
                <w:color w:val="000000"/>
                <w:sz w:val="14"/>
                <w:szCs w:val="14"/>
              </w:rPr>
            </w:pPr>
            <w:r w:rsidRPr="005D5189">
              <w:rPr>
                <w:rFonts w:ascii="Times New Roman" w:eastAsia="Arial" w:hAnsi="Times New Roman" w:cs="Times New Roman"/>
                <w:i/>
                <w:iCs/>
                <w:color w:val="000000"/>
                <w:sz w:val="14"/>
                <w:szCs w:val="14"/>
              </w:rPr>
              <w:lastRenderedPageBreak/>
              <w:t>P-valeur</w:t>
            </w:r>
          </w:p>
        </w:tc>
        <w:tc>
          <w:tcPr>
            <w:tcW w:w="3483" w:type="dxa"/>
            <w:gridSpan w:val="3"/>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0139BACD"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i/>
                <w:iCs/>
                <w:color w:val="000000"/>
                <w:sz w:val="14"/>
                <w:szCs w:val="14"/>
              </w:rPr>
              <w:t>&lt;0.001</w:t>
            </w:r>
            <w:r w:rsidRPr="005D5189">
              <w:rPr>
                <w:rFonts w:ascii="Times New Roman" w:eastAsia="Arial" w:hAnsi="Times New Roman" w:cs="Times New Roman"/>
                <w:i/>
                <w:iCs/>
                <w:color w:val="000000"/>
                <w:sz w:val="14"/>
                <w:szCs w:val="14"/>
                <w:vertAlign w:val="superscript"/>
              </w:rPr>
              <w:t>2</w:t>
            </w:r>
          </w:p>
        </w:tc>
        <w:tc>
          <w:tcPr>
            <w:tcW w:w="3483" w:type="dxa"/>
            <w:gridSpan w:val="3"/>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1EBFFD5A" w14:textId="77777777" w:rsidR="00A232A2" w:rsidRPr="005D5189"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i/>
                <w:iCs/>
                <w:color w:val="000000"/>
                <w:sz w:val="14"/>
                <w:szCs w:val="14"/>
              </w:rPr>
              <w:t>0.064</w:t>
            </w:r>
            <w:r w:rsidRPr="005D5189">
              <w:rPr>
                <w:rFonts w:ascii="Times New Roman" w:eastAsia="Arial" w:hAnsi="Times New Roman" w:cs="Times New Roman"/>
                <w:i/>
                <w:iCs/>
                <w:color w:val="000000"/>
                <w:sz w:val="14"/>
                <w:szCs w:val="14"/>
                <w:vertAlign w:val="superscript"/>
              </w:rPr>
              <w:t>2</w:t>
            </w:r>
          </w:p>
        </w:tc>
      </w:tr>
      <w:tr w:rsidR="00A232A2" w:rsidRPr="005D5189" w14:paraId="27C6AD08" w14:textId="77777777" w:rsidTr="005F4771">
        <w:trPr>
          <w:jc w:val="center"/>
        </w:trPr>
        <w:tc>
          <w:tcPr>
            <w:tcW w:w="9404" w:type="dxa"/>
            <w:gridSpan w:val="7"/>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7E29140A" w14:textId="77777777" w:rsidR="00A232A2" w:rsidRPr="009E54A4"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1</w:t>
            </w:r>
            <w:r w:rsidRPr="009E54A4">
              <w:rPr>
                <w:rFonts w:ascii="Times New Roman" w:eastAsia="Arial" w:hAnsi="Times New Roman" w:cs="Times New Roman"/>
                <w:color w:val="000000"/>
                <w:sz w:val="14"/>
                <w:szCs w:val="14"/>
              </w:rPr>
              <w:t>Effectifs non-pondérés entre parenthèses.</w:t>
            </w:r>
          </w:p>
          <w:p w14:paraId="08F2C3EA" w14:textId="77777777" w:rsidR="00A232A2" w:rsidRPr="009E54A4"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2</w:t>
            </w:r>
            <w:r w:rsidRPr="009E54A4">
              <w:rPr>
                <w:rFonts w:ascii="Times New Roman" w:eastAsia="Arial" w:hAnsi="Times New Roman" w:cs="Times New Roman"/>
                <w:color w:val="000000"/>
                <w:sz w:val="14"/>
                <w:szCs w:val="14"/>
              </w:rPr>
              <w:t>Test du Chi-deux ajusté de Rao &amp; Scott pour données pondérées.</w:t>
            </w:r>
          </w:p>
          <w:p w14:paraId="64529A48"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3</w:t>
            </w:r>
            <w:r w:rsidRPr="009E54A4">
              <w:rPr>
                <w:rFonts w:ascii="Times New Roman" w:eastAsia="Arial" w:hAnsi="Times New Roman" w:cs="Times New Roman"/>
                <w:color w:val="000000"/>
                <w:sz w:val="14"/>
                <w:szCs w:val="14"/>
              </w:rPr>
              <w:t xml:space="preserve">Pourcentages pondérés </w:t>
            </w:r>
            <w:r>
              <w:rPr>
                <w:rFonts w:ascii="Times New Roman" w:eastAsia="Arial" w:hAnsi="Times New Roman" w:cs="Times New Roman"/>
                <w:color w:val="000000"/>
                <w:sz w:val="14"/>
                <w:szCs w:val="14"/>
              </w:rPr>
              <w:t>(Effectifs non pondérés) [</w:t>
            </w:r>
            <w:r w:rsidRPr="009E54A4">
              <w:rPr>
                <w:rFonts w:ascii="Times New Roman" w:eastAsia="Arial" w:hAnsi="Times New Roman" w:cs="Times New Roman"/>
                <w:color w:val="000000"/>
                <w:sz w:val="14"/>
                <w:szCs w:val="14"/>
              </w:rPr>
              <w:t>Intervalle de confiance à 95 %</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w:t>
            </w:r>
          </w:p>
          <w:p w14:paraId="4FF5B7CA"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Champ</w:t>
            </w:r>
            <w:r w:rsidRPr="009E54A4">
              <w:rPr>
                <w:rFonts w:ascii="Times New Roman" w:eastAsia="Arial" w:hAnsi="Times New Roman" w:cs="Times New Roman"/>
                <w:color w:val="000000"/>
                <w:sz w:val="14"/>
                <w:szCs w:val="14"/>
              </w:rPr>
              <w:t xml:space="preserve"> : </w:t>
            </w:r>
            <w:proofErr w:type="spellStart"/>
            <w:r w:rsidRPr="009E54A4">
              <w:rPr>
                <w:rFonts w:ascii="Times New Roman" w:eastAsia="Arial" w:hAnsi="Times New Roman" w:cs="Times New Roman"/>
                <w:color w:val="000000"/>
                <w:sz w:val="14"/>
                <w:szCs w:val="14"/>
              </w:rPr>
              <w:t>Répondant</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es</w:t>
            </w:r>
            <w:proofErr w:type="spellEnd"/>
            <w:r w:rsidRPr="009E54A4">
              <w:rPr>
                <w:rFonts w:ascii="Times New Roman" w:eastAsia="Arial" w:hAnsi="Times New Roman" w:cs="Times New Roman"/>
                <w:color w:val="000000"/>
                <w:sz w:val="14"/>
                <w:szCs w:val="14"/>
              </w:rPr>
              <w:t xml:space="preserve"> en couple dans les 12 mois de l'enquête Virage.</w:t>
            </w:r>
            <w:r>
              <w:rPr>
                <w:rFonts w:ascii="Times New Roman" w:eastAsia="Arial" w:hAnsi="Times New Roman" w:cs="Times New Roman"/>
                <w:color w:val="000000"/>
                <w:sz w:val="14"/>
                <w:szCs w:val="14"/>
              </w:rPr>
              <w:t xml:space="preserve"> </w:t>
            </w:r>
            <w:r w:rsidRPr="009E54A4">
              <w:rPr>
                <w:rFonts w:ascii="Times New Roman" w:eastAsia="Arial" w:hAnsi="Times New Roman" w:cs="Times New Roman"/>
                <w:color w:val="000000"/>
                <w:sz w:val="14"/>
                <w:szCs w:val="14"/>
              </w:rPr>
              <w:t>Données pondérées</w:t>
            </w:r>
          </w:p>
          <w:p w14:paraId="20988EFC"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Lecture</w:t>
            </w:r>
            <w:r w:rsidRPr="009E54A4">
              <w:rPr>
                <w:rFonts w:ascii="Times New Roman" w:eastAsia="Arial" w:hAnsi="Times New Roman" w:cs="Times New Roman"/>
                <w:color w:val="000000"/>
                <w:sz w:val="14"/>
                <w:szCs w:val="14"/>
              </w:rPr>
              <w:t xml:space="preserve"> : 1.6% des femmes homosexuelles dans l'enquête Virage en population générale déclarent de la violence dans le couple dans les 12 mois précédent l'enquête, avec un intervalle de confiance à 95% de [0,36% - 7,2%].</w:t>
            </w:r>
          </w:p>
          <w:p w14:paraId="17B221C8" w14:textId="77777777" w:rsidR="00A232A2" w:rsidRPr="009E54A4"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Source</w:t>
            </w:r>
            <w:r w:rsidRPr="009E54A4">
              <w:rPr>
                <w:rFonts w:ascii="Times New Roman" w:eastAsia="Arial" w:hAnsi="Times New Roman" w:cs="Times New Roman"/>
                <w:color w:val="000000"/>
                <w:sz w:val="14"/>
                <w:szCs w:val="14"/>
              </w:rPr>
              <w:t xml:space="preserve"> : Enquête Virage PG, Ined, 2015.</w:t>
            </w:r>
          </w:p>
        </w:tc>
      </w:tr>
    </w:tbl>
    <w:p w14:paraId="0BE8C84D" w14:textId="61FCED9E" w:rsidR="00A232A2" w:rsidRDefault="00A232A2" w:rsidP="00A232A2">
      <w:pPr>
        <w:pStyle w:val="Textbody"/>
      </w:pPr>
      <w:r>
        <w:t>Les femmes bisexuelles déclarent, au global, plus de violences dans le couple au cours des douze derniers mois que les hétérosexuelles et les lesbiennes : 20,9 % contre 5,2 % et 1,6 %. Même constat chez les hommes</w:t>
      </w:r>
      <w:r w:rsidR="009D2B34">
        <w:t>,</w:t>
      </w:r>
      <w:r>
        <w:t xml:space="preserve"> bien que le résultat ne soit pas significatif. Les bisexuel∙les déclarent également plus de violences avant les douze derniers mois que les hétérosexuel∙les (voir </w:t>
      </w:r>
      <w:r w:rsidR="009D2B34">
        <w:t>A</w:t>
      </w:r>
      <w:r>
        <w:t>nnexe</w:t>
      </w:r>
      <w:r w:rsidR="009D2B34">
        <w:t xml:space="preserve"> n°1</w:t>
      </w:r>
      <w:r>
        <w:t>). Ces indicateurs globaux ne nous disent en revanche rien du type de violence déclaré — physique, psychologique ou sexuelle.</w:t>
      </w:r>
    </w:p>
    <w:p w14:paraId="7C58F4E1" w14:textId="280FC621" w:rsidR="00A232A2" w:rsidRDefault="00A232A2" w:rsidP="00A232A2">
      <w:pPr>
        <w:pStyle w:val="NormalWeb"/>
        <w:spacing w:line="360" w:lineRule="auto"/>
        <w:jc w:val="both"/>
      </w:pPr>
      <w:r>
        <w:t>À noter qu'à ce stade, les déclarations de violence des lesbiennes, gays et hommes bis ne dépassent pas dix individus en population générale, ce qui limite fortement la production de résultats statistiques robustes. Nous utilisons donc dans un premier temps l'enquête PG pour situer les violences déclarées par rapport aux hétérosexuel∙les, avant d'approfondir l'étude des autres groupes à l'aide de l'enquête LGBT.</w:t>
      </w:r>
      <w:r w:rsidR="00111CB3">
        <w:t xml:space="preserve"> Les hommes bisexuels sont seulement trois à déclarer des violences dans le couple au cours des 12 mois précédant l’enquête, nous les excluant de la suite des analyses en population générale. </w:t>
      </w:r>
    </w:p>
    <w:p w14:paraId="21A5299B" w14:textId="114A64CE" w:rsidR="00A232A2" w:rsidRDefault="00A232A2" w:rsidP="00A232A2">
      <w:pPr>
        <w:pStyle w:val="Table"/>
      </w:pPr>
      <w:r>
        <w:t>Table 1</w:t>
      </w:r>
      <w:r w:rsidR="00111CB3">
        <w:t>3a</w:t>
      </w:r>
      <w:r>
        <w:t xml:space="preserve"> : Types de</w:t>
      </w:r>
      <w:r w:rsidRPr="005D5189">
        <w:t xml:space="preserve"> violence dans le couple </w:t>
      </w:r>
      <w:r>
        <w:t>dans</w:t>
      </w:r>
      <w:r w:rsidRPr="005D5189">
        <w:t xml:space="preserve"> les 12 derniers mois</w:t>
      </w:r>
      <w:r>
        <w:t>.</w:t>
      </w:r>
    </w:p>
    <w:tbl>
      <w:tblPr>
        <w:tblW w:w="5000" w:type="pct"/>
        <w:jc w:val="center"/>
        <w:tblLook w:val="0420" w:firstRow="1" w:lastRow="0" w:firstColumn="0" w:lastColumn="0" w:noHBand="0" w:noVBand="1"/>
      </w:tblPr>
      <w:tblGrid>
        <w:gridCol w:w="2404"/>
        <w:gridCol w:w="2956"/>
        <w:gridCol w:w="2956"/>
        <w:gridCol w:w="1068"/>
      </w:tblGrid>
      <w:tr w:rsidR="00A232A2" w14:paraId="1AC10BBE" w14:textId="77777777" w:rsidTr="005F4771">
        <w:trPr>
          <w:tblHeader/>
          <w:jc w:val="center"/>
        </w:trPr>
        <w:tc>
          <w:tcPr>
            <w:tcW w:w="1281" w:type="pct"/>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39EE35"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150" w:type="pct"/>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744B5C"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F23351">
              <w:rPr>
                <w:rFonts w:ascii="Times New Roman" w:eastAsia="Arial" w:hAnsi="Times New Roman" w:cs="Times New Roman"/>
                <w:b/>
                <w:color w:val="000000"/>
                <w:sz w:val="14"/>
                <w:szCs w:val="14"/>
              </w:rPr>
              <w:t>Virage PG — Femmes</w:t>
            </w:r>
          </w:p>
        </w:tc>
        <w:tc>
          <w:tcPr>
            <w:tcW w:w="569" w:type="pct"/>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57BD5AD"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p>
        </w:tc>
      </w:tr>
      <w:tr w:rsidR="00A232A2" w14:paraId="27F376FE" w14:textId="77777777" w:rsidTr="005F4771">
        <w:trPr>
          <w:tblHeader/>
          <w:jc w:val="center"/>
        </w:trPr>
        <w:tc>
          <w:tcPr>
            <w:tcW w:w="1281" w:type="pct"/>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EC2CD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57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815CD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b/>
                <w:color w:val="000000"/>
                <w:sz w:val="14"/>
                <w:szCs w:val="14"/>
              </w:rPr>
              <w:t>Bi</w:t>
            </w:r>
            <w:r w:rsidRPr="00F23351">
              <w:rPr>
                <w:rFonts w:ascii="Times New Roman" w:eastAsia="Arial" w:hAnsi="Times New Roman" w:cs="Times New Roman"/>
                <w:color w:val="000000"/>
                <w:sz w:val="14"/>
                <w:szCs w:val="14"/>
              </w:rPr>
              <w:br/>
              <w:t>(75)</w:t>
            </w:r>
            <w:r w:rsidRPr="00F23351">
              <w:rPr>
                <w:rFonts w:ascii="Times New Roman" w:eastAsia="Arial" w:hAnsi="Times New Roman" w:cs="Times New Roman"/>
                <w:color w:val="000000"/>
                <w:sz w:val="14"/>
                <w:szCs w:val="14"/>
                <w:vertAlign w:val="superscript"/>
              </w:rPr>
              <w:t>1</w:t>
            </w:r>
          </w:p>
        </w:tc>
        <w:tc>
          <w:tcPr>
            <w:tcW w:w="157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D3A667"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b/>
                <w:color w:val="000000"/>
                <w:sz w:val="14"/>
                <w:szCs w:val="14"/>
              </w:rPr>
              <w:t>Hétéro</w:t>
            </w:r>
            <w:r w:rsidRPr="00F23351">
              <w:rPr>
                <w:rFonts w:ascii="Times New Roman" w:eastAsia="Arial" w:hAnsi="Times New Roman" w:cs="Times New Roman"/>
                <w:color w:val="000000"/>
                <w:sz w:val="14"/>
                <w:szCs w:val="14"/>
              </w:rPr>
              <w:br/>
              <w:t>(10125)</w:t>
            </w:r>
            <w:r w:rsidRPr="00F23351">
              <w:rPr>
                <w:rFonts w:ascii="Times New Roman" w:eastAsia="Arial" w:hAnsi="Times New Roman" w:cs="Times New Roman"/>
                <w:color w:val="000000"/>
                <w:sz w:val="14"/>
                <w:szCs w:val="14"/>
                <w:vertAlign w:val="superscript"/>
              </w:rPr>
              <w:t>1</w:t>
            </w:r>
          </w:p>
        </w:tc>
        <w:tc>
          <w:tcPr>
            <w:tcW w:w="569" w:type="pct"/>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4A3B8C0"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P-valeur</w:t>
            </w:r>
            <w:r w:rsidRPr="00F23351">
              <w:rPr>
                <w:rFonts w:ascii="Times New Roman" w:eastAsia="Arial" w:hAnsi="Times New Roman" w:cs="Times New Roman"/>
                <w:bCs/>
                <w:i/>
                <w:iCs/>
                <w:color w:val="000000"/>
                <w:sz w:val="14"/>
                <w:szCs w:val="14"/>
                <w:vertAlign w:val="superscript"/>
              </w:rPr>
              <w:t>2</w:t>
            </w:r>
          </w:p>
        </w:tc>
      </w:tr>
      <w:tr w:rsidR="00A232A2" w14:paraId="5E6F07ED" w14:textId="77777777" w:rsidTr="005F4771">
        <w:trPr>
          <w:jc w:val="center"/>
        </w:trPr>
        <w:tc>
          <w:tcPr>
            <w:tcW w:w="4431" w:type="pct"/>
            <w:gridSpan w:val="3"/>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4228AE90"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physique dans le couple au cours des 12 derniers mois</w:t>
            </w:r>
          </w:p>
        </w:tc>
        <w:tc>
          <w:tcPr>
            <w:tcW w:w="569" w:type="pct"/>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2DBD9E4F"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0,6</w:t>
            </w:r>
          </w:p>
        </w:tc>
      </w:tr>
      <w:tr w:rsidR="00A232A2" w14:paraId="14A84B02" w14:textId="77777777" w:rsidTr="005F477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648FF705"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0204788D"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1,9</w:t>
            </w:r>
            <w:r w:rsidRPr="00F23351">
              <w:rPr>
                <w:rFonts w:ascii="Times New Roman" w:eastAsia="Arial" w:hAnsi="Times New Roman" w:cs="Times New Roman"/>
                <w:color w:val="000000"/>
                <w:sz w:val="14"/>
                <w:szCs w:val="14"/>
              </w:rPr>
              <w:br/>
              <w:t>(1)</w:t>
            </w:r>
            <w:r w:rsidRPr="00F23351">
              <w:rPr>
                <w:rFonts w:ascii="Times New Roman" w:eastAsia="Arial" w:hAnsi="Times New Roman" w:cs="Times New Roman"/>
                <w:color w:val="000000"/>
                <w:sz w:val="14"/>
                <w:szCs w:val="14"/>
              </w:rPr>
              <w:br/>
              <w:t>[0,27-12]</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009164C3"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1,1</w:t>
            </w:r>
            <w:r w:rsidRPr="00F23351">
              <w:rPr>
                <w:rFonts w:ascii="Times New Roman" w:eastAsia="Arial" w:hAnsi="Times New Roman" w:cs="Times New Roman"/>
                <w:color w:val="000000"/>
                <w:sz w:val="14"/>
                <w:szCs w:val="14"/>
              </w:rPr>
              <w:br/>
              <w:t>(90)</w:t>
            </w:r>
            <w:r w:rsidRPr="00F23351">
              <w:rPr>
                <w:rFonts w:ascii="Times New Roman" w:eastAsia="Arial" w:hAnsi="Times New Roman" w:cs="Times New Roman"/>
                <w:color w:val="000000"/>
                <w:sz w:val="14"/>
                <w:szCs w:val="14"/>
              </w:rPr>
              <w:br/>
              <w:t>[0,84-1,4]</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64D32E6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A232A2" w14:paraId="2D28B380" w14:textId="77777777" w:rsidTr="005F477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17523C6F"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48E52459"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98,1</w:t>
            </w:r>
            <w:r w:rsidRPr="00F23351">
              <w:rPr>
                <w:rFonts w:ascii="Times New Roman" w:eastAsia="Arial" w:hAnsi="Times New Roman" w:cs="Times New Roman"/>
                <w:color w:val="000000"/>
                <w:sz w:val="14"/>
                <w:szCs w:val="14"/>
              </w:rPr>
              <w:br/>
              <w:t>(74)</w:t>
            </w:r>
            <w:r w:rsidRPr="00F23351">
              <w:rPr>
                <w:rFonts w:ascii="Times New Roman" w:eastAsia="Arial" w:hAnsi="Times New Roman" w:cs="Times New Roman"/>
                <w:color w:val="000000"/>
                <w:sz w:val="14"/>
                <w:szCs w:val="14"/>
              </w:rPr>
              <w:br/>
              <w:t>[88-100]</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19B042C0"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98,9</w:t>
            </w:r>
            <w:r w:rsidRPr="00F23351">
              <w:rPr>
                <w:rFonts w:ascii="Times New Roman" w:eastAsia="Arial" w:hAnsi="Times New Roman" w:cs="Times New Roman"/>
                <w:color w:val="000000"/>
                <w:sz w:val="14"/>
                <w:szCs w:val="14"/>
              </w:rPr>
              <w:br/>
              <w:t>(10 032)</w:t>
            </w:r>
            <w:r w:rsidRPr="00F23351">
              <w:rPr>
                <w:rFonts w:ascii="Times New Roman" w:eastAsia="Arial" w:hAnsi="Times New Roman" w:cs="Times New Roman"/>
                <w:color w:val="000000"/>
                <w:sz w:val="14"/>
                <w:szCs w:val="14"/>
              </w:rPr>
              <w:br/>
              <w:t>[99-99]</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19FD801E"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A232A2" w14:paraId="39EC6A84" w14:textId="77777777" w:rsidTr="005F4771">
        <w:trPr>
          <w:jc w:val="center"/>
        </w:trPr>
        <w:tc>
          <w:tcPr>
            <w:tcW w:w="4431" w:type="pct"/>
            <w:gridSpan w:val="3"/>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0D7AFC9C"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psyc</w:t>
            </w:r>
            <w:r>
              <w:rPr>
                <w:rFonts w:ascii="Times New Roman" w:eastAsia="Arial" w:hAnsi="Times New Roman" w:cs="Times New Roman"/>
                <w:bCs/>
                <w:i/>
                <w:iCs/>
                <w:color w:val="000000"/>
                <w:sz w:val="14"/>
                <w:szCs w:val="14"/>
              </w:rPr>
              <w:t>hologique</w:t>
            </w:r>
            <w:r w:rsidRPr="00F23351">
              <w:rPr>
                <w:rFonts w:ascii="Times New Roman" w:eastAsia="Arial" w:hAnsi="Times New Roman" w:cs="Times New Roman"/>
                <w:bCs/>
                <w:i/>
                <w:iCs/>
                <w:color w:val="000000"/>
                <w:sz w:val="14"/>
                <w:szCs w:val="14"/>
              </w:rPr>
              <w:t xml:space="preserve"> dans le couple au cours des 12 derniers mois</w:t>
            </w:r>
          </w:p>
        </w:tc>
        <w:tc>
          <w:tcPr>
            <w:tcW w:w="569" w:type="pct"/>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4239AE9C"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&lt;0,001</w:t>
            </w:r>
          </w:p>
        </w:tc>
      </w:tr>
      <w:tr w:rsidR="00A232A2" w14:paraId="3BF569C4" w14:textId="77777777" w:rsidTr="005F477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3DBF2D9C"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6A458379"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20,9</w:t>
            </w:r>
            <w:r w:rsidRPr="00F23351">
              <w:rPr>
                <w:rFonts w:ascii="Times New Roman" w:eastAsia="Arial" w:hAnsi="Times New Roman" w:cs="Times New Roman"/>
                <w:color w:val="000000"/>
                <w:sz w:val="14"/>
                <w:szCs w:val="14"/>
              </w:rPr>
              <w:br/>
              <w:t>(14)</w:t>
            </w:r>
            <w:r w:rsidRPr="00F23351">
              <w:rPr>
                <w:rFonts w:ascii="Times New Roman" w:eastAsia="Arial" w:hAnsi="Times New Roman" w:cs="Times New Roman"/>
                <w:color w:val="000000"/>
                <w:sz w:val="14"/>
                <w:szCs w:val="14"/>
              </w:rPr>
              <w:br/>
              <w:t>[11-36]</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07D1B5F1"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5,1</w:t>
            </w:r>
            <w:r w:rsidRPr="00F23351">
              <w:rPr>
                <w:rFonts w:ascii="Times New Roman" w:eastAsia="Arial" w:hAnsi="Times New Roman" w:cs="Times New Roman"/>
                <w:color w:val="000000"/>
                <w:sz w:val="14"/>
                <w:szCs w:val="14"/>
              </w:rPr>
              <w:br/>
              <w:t>(532)</w:t>
            </w:r>
            <w:r w:rsidRPr="00F23351">
              <w:rPr>
                <w:rFonts w:ascii="Times New Roman" w:eastAsia="Arial" w:hAnsi="Times New Roman" w:cs="Times New Roman"/>
                <w:color w:val="000000"/>
                <w:sz w:val="14"/>
                <w:szCs w:val="14"/>
              </w:rPr>
              <w:br/>
              <w:t>[4,6-5,7]</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133D9121"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A232A2" w14:paraId="4025F913" w14:textId="77777777" w:rsidTr="005F477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50E768AE"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lastRenderedPageBreak/>
              <w:t>Non</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58A7CB4D"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79,1</w:t>
            </w:r>
            <w:r w:rsidRPr="00F23351">
              <w:rPr>
                <w:rFonts w:ascii="Times New Roman" w:eastAsia="Arial" w:hAnsi="Times New Roman" w:cs="Times New Roman"/>
                <w:color w:val="000000"/>
                <w:sz w:val="14"/>
                <w:szCs w:val="14"/>
              </w:rPr>
              <w:br/>
              <w:t>(61)</w:t>
            </w:r>
            <w:r w:rsidRPr="00F23351">
              <w:rPr>
                <w:rFonts w:ascii="Times New Roman" w:eastAsia="Arial" w:hAnsi="Times New Roman" w:cs="Times New Roman"/>
                <w:color w:val="000000"/>
                <w:sz w:val="14"/>
                <w:szCs w:val="14"/>
              </w:rPr>
              <w:br/>
              <w:t>[64-89]</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382F3EFC"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94,9</w:t>
            </w:r>
            <w:r w:rsidRPr="00F23351">
              <w:rPr>
                <w:rFonts w:ascii="Times New Roman" w:eastAsia="Arial" w:hAnsi="Times New Roman" w:cs="Times New Roman"/>
                <w:color w:val="000000"/>
                <w:sz w:val="14"/>
                <w:szCs w:val="14"/>
              </w:rPr>
              <w:br/>
              <w:t>(9 592)</w:t>
            </w:r>
            <w:r w:rsidRPr="00F23351">
              <w:rPr>
                <w:rFonts w:ascii="Times New Roman" w:eastAsia="Arial" w:hAnsi="Times New Roman" w:cs="Times New Roman"/>
                <w:color w:val="000000"/>
                <w:sz w:val="14"/>
                <w:szCs w:val="14"/>
              </w:rPr>
              <w:br/>
              <w:t>[94-95]</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0790269D"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A232A2" w14:paraId="4E223463" w14:textId="77777777" w:rsidTr="005F4771">
        <w:trPr>
          <w:jc w:val="center"/>
        </w:trPr>
        <w:tc>
          <w:tcPr>
            <w:tcW w:w="4431" w:type="pct"/>
            <w:gridSpan w:val="3"/>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0BD135E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sexuelle dans le couple au cours des 12 derniers mois</w:t>
            </w:r>
          </w:p>
        </w:tc>
        <w:tc>
          <w:tcPr>
            <w:tcW w:w="569" w:type="pct"/>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740DBD40"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0,3</w:t>
            </w:r>
          </w:p>
        </w:tc>
      </w:tr>
      <w:tr w:rsidR="00A232A2" w14:paraId="22334B25" w14:textId="77777777" w:rsidTr="005F477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1140A8C9"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7897F34B"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0,6</w:t>
            </w:r>
            <w:r w:rsidRPr="00F23351">
              <w:rPr>
                <w:rFonts w:ascii="Times New Roman" w:eastAsia="Arial" w:hAnsi="Times New Roman" w:cs="Times New Roman"/>
                <w:color w:val="000000"/>
                <w:sz w:val="14"/>
                <w:szCs w:val="14"/>
              </w:rPr>
              <w:br/>
              <w:t>(1)</w:t>
            </w:r>
            <w:r w:rsidRPr="00F23351">
              <w:rPr>
                <w:rFonts w:ascii="Times New Roman" w:eastAsia="Arial" w:hAnsi="Times New Roman" w:cs="Times New Roman"/>
                <w:color w:val="000000"/>
                <w:sz w:val="14"/>
                <w:szCs w:val="14"/>
              </w:rPr>
              <w:br/>
              <w:t>[0,09-4,5]</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785D8100"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0,2</w:t>
            </w:r>
            <w:r w:rsidRPr="00F23351">
              <w:rPr>
                <w:rFonts w:ascii="Times New Roman" w:eastAsia="Arial" w:hAnsi="Times New Roman" w:cs="Times New Roman"/>
                <w:color w:val="000000"/>
                <w:sz w:val="14"/>
                <w:szCs w:val="14"/>
              </w:rPr>
              <w:br/>
              <w:t>(24)</w:t>
            </w:r>
            <w:r w:rsidRPr="00F23351">
              <w:rPr>
                <w:rFonts w:ascii="Times New Roman" w:eastAsia="Arial" w:hAnsi="Times New Roman" w:cs="Times New Roman"/>
                <w:color w:val="000000"/>
                <w:sz w:val="14"/>
                <w:szCs w:val="14"/>
              </w:rPr>
              <w:br/>
              <w:t>[0,13-0,36]</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362AC779"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A232A2" w14:paraId="00A57871" w14:textId="77777777" w:rsidTr="005F4771">
        <w:trPr>
          <w:jc w:val="center"/>
        </w:trPr>
        <w:tc>
          <w:tcPr>
            <w:tcW w:w="1281" w:type="pct"/>
            <w:tcBorders>
              <w:left w:val="single" w:sz="8" w:space="0" w:color="000000"/>
              <w:bottom w:val="single" w:sz="8" w:space="0" w:color="000000"/>
              <w:right w:val="single" w:sz="4" w:space="0" w:color="auto"/>
            </w:tcBorders>
            <w:shd w:val="clear" w:color="auto" w:fill="FFFFFF"/>
            <w:tcMar>
              <w:top w:w="0" w:type="dxa"/>
              <w:left w:w="0" w:type="dxa"/>
              <w:bottom w:w="0" w:type="dxa"/>
              <w:right w:w="0" w:type="dxa"/>
            </w:tcMar>
          </w:tcPr>
          <w:p w14:paraId="24D68A4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583BCB4"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99,4</w:t>
            </w:r>
            <w:r w:rsidRPr="00F23351">
              <w:rPr>
                <w:rFonts w:ascii="Times New Roman" w:eastAsia="Arial" w:hAnsi="Times New Roman" w:cs="Times New Roman"/>
                <w:color w:val="000000"/>
                <w:sz w:val="14"/>
                <w:szCs w:val="14"/>
              </w:rPr>
              <w:br/>
              <w:t>(74)</w:t>
            </w:r>
            <w:r w:rsidRPr="00F23351">
              <w:rPr>
                <w:rFonts w:ascii="Times New Roman" w:eastAsia="Arial" w:hAnsi="Times New Roman" w:cs="Times New Roman"/>
                <w:color w:val="000000"/>
                <w:sz w:val="14"/>
                <w:szCs w:val="14"/>
              </w:rPr>
              <w:br/>
              <w:t>[96-100]</w:t>
            </w:r>
          </w:p>
        </w:tc>
        <w:tc>
          <w:tcPr>
            <w:tcW w:w="157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39EB295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99,8</w:t>
            </w:r>
            <w:r w:rsidRPr="00F23351">
              <w:rPr>
                <w:rFonts w:ascii="Times New Roman" w:eastAsia="Arial" w:hAnsi="Times New Roman" w:cs="Times New Roman"/>
                <w:color w:val="000000"/>
                <w:sz w:val="14"/>
                <w:szCs w:val="14"/>
              </w:rPr>
              <w:br/>
              <w:t>(10 095)</w:t>
            </w:r>
            <w:r w:rsidRPr="00F23351">
              <w:rPr>
                <w:rFonts w:ascii="Times New Roman" w:eastAsia="Arial" w:hAnsi="Times New Roman" w:cs="Times New Roman"/>
                <w:color w:val="000000"/>
                <w:sz w:val="14"/>
                <w:szCs w:val="14"/>
              </w:rPr>
              <w:br/>
              <w:t>[100-100]</w:t>
            </w:r>
          </w:p>
        </w:tc>
        <w:tc>
          <w:tcPr>
            <w:tcW w:w="569" w:type="pct"/>
            <w:tcBorders>
              <w:top w:val="none" w:sz="0" w:space="0" w:color="000000"/>
              <w:left w:val="single" w:sz="4" w:space="0" w:color="auto"/>
              <w:bottom w:val="single" w:sz="8" w:space="0" w:color="000000"/>
              <w:right w:val="single" w:sz="8" w:space="0" w:color="000000"/>
            </w:tcBorders>
            <w:shd w:val="clear" w:color="auto" w:fill="FFFFFF"/>
            <w:tcMar>
              <w:top w:w="0" w:type="dxa"/>
              <w:left w:w="0" w:type="dxa"/>
              <w:bottom w:w="0" w:type="dxa"/>
              <w:right w:w="0" w:type="dxa"/>
            </w:tcMar>
          </w:tcPr>
          <w:p w14:paraId="0D9DFAA6"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A232A2" w14:paraId="564A281F" w14:textId="77777777" w:rsidTr="005F4771">
        <w:trPr>
          <w:trHeight w:val="1417"/>
          <w:jc w:val="center"/>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70A3B20"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non-pondérés entre parenthèses.</w:t>
            </w:r>
          </w:p>
          <w:p w14:paraId="0E8B1DAF"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Test du Chi-deux ajusté de Rao &amp; Scott pour données pondérées.</w:t>
            </w:r>
          </w:p>
          <w:p w14:paraId="09FE8676"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3</w:t>
            </w:r>
            <w:r w:rsidRPr="00F23351">
              <w:rPr>
                <w:rFonts w:ascii="Times New Roman" w:eastAsia="Arial" w:hAnsi="Times New Roman" w:cs="Times New Roman"/>
                <w:color w:val="000000"/>
                <w:sz w:val="14"/>
                <w:szCs w:val="14"/>
              </w:rPr>
              <w:t>Pourcentages pondérés (Effectifs non pondérés) [Intervalle de confiance à 95 %].</w:t>
            </w:r>
          </w:p>
          <w:p w14:paraId="04792613"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hétérosexuelles</w:t>
            </w:r>
            <w:r w:rsidRPr="00F23351">
              <w:rPr>
                <w:rFonts w:ascii="Times New Roman" w:eastAsia="Arial" w:hAnsi="Times New Roman" w:cs="Times New Roman"/>
                <w:color w:val="000000"/>
                <w:sz w:val="14"/>
                <w:szCs w:val="14"/>
              </w:rPr>
              <w:t xml:space="preserve"> en couple dans les 12 mois de l'enquête Virage. Données pondérées</w:t>
            </w:r>
          </w:p>
          <w:p w14:paraId="36B66C23"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20,9</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dans </w:t>
            </w:r>
            <w:r w:rsidRPr="00F23351">
              <w:rPr>
                <w:rFonts w:ascii="Times New Roman" w:eastAsia="Arial" w:hAnsi="Times New Roman" w:cs="Times New Roman"/>
                <w:color w:val="000000"/>
                <w:sz w:val="14"/>
                <w:szCs w:val="14"/>
              </w:rPr>
              <w:t xml:space="preserve">l'enquête Virage 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dans le couple dans les 12 mois précédent l'enquête, avec un intervalle de confiance à 95% de [</w:t>
            </w:r>
            <w:r>
              <w:rPr>
                <w:rFonts w:ascii="Times New Roman" w:eastAsia="Arial" w:hAnsi="Times New Roman" w:cs="Times New Roman"/>
                <w:color w:val="000000"/>
                <w:sz w:val="14"/>
                <w:szCs w:val="14"/>
              </w:rPr>
              <w:t>11</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36</w:t>
            </w:r>
            <w:r w:rsidRPr="00F23351">
              <w:rPr>
                <w:rFonts w:ascii="Times New Roman" w:eastAsia="Arial" w:hAnsi="Times New Roman" w:cs="Times New Roman"/>
                <w:color w:val="000000"/>
                <w:sz w:val="14"/>
                <w:szCs w:val="14"/>
              </w:rPr>
              <w:t>%].</w:t>
            </w:r>
          </w:p>
          <w:p w14:paraId="0F5F4E43"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PG, Ined, 2015.</w:t>
            </w:r>
          </w:p>
        </w:tc>
      </w:tr>
    </w:tbl>
    <w:p w14:paraId="75F2078C" w14:textId="25F505E1" w:rsidR="00A232A2" w:rsidRDefault="00A232A2" w:rsidP="00A232A2">
      <w:pPr>
        <w:pStyle w:val="Table"/>
        <w:spacing w:line="360" w:lineRule="auto"/>
        <w:jc w:val="both"/>
      </w:pPr>
      <w:r w:rsidRPr="003C06C6">
        <w:rPr>
          <w:i w:val="0"/>
          <w:iCs/>
        </w:rPr>
        <w:t>En distinguant les types de violence, on constate que ce sont surtout les violences psychologiques qui sont déclarées par les bisexuelles : elles en déclarent quatre fois plus que les hétérosexuelles (20,9 % contre 5,1 %).</w:t>
      </w:r>
      <w:r>
        <w:rPr>
          <w:i w:val="0"/>
          <w:iCs/>
        </w:rPr>
        <w:t xml:space="preserve"> </w:t>
      </w:r>
      <w:r w:rsidRPr="00681A9F">
        <w:rPr>
          <w:i w:val="0"/>
          <w:iCs/>
        </w:rPr>
        <w:t>Quand on prend les résultats au cours de la vie, l’écart entre bisexuelles et hétérosexuelles reste significatif mais se réduit : 11,9% contre 4,7%</w:t>
      </w:r>
      <w:r w:rsidR="00111CB3">
        <w:rPr>
          <w:i w:val="0"/>
          <w:iCs/>
        </w:rPr>
        <w:t xml:space="preserve"> (voir </w:t>
      </w:r>
      <w:r w:rsidR="009D2B34">
        <w:rPr>
          <w:i w:val="0"/>
          <w:iCs/>
        </w:rPr>
        <w:t>A</w:t>
      </w:r>
      <w:r w:rsidR="00111CB3">
        <w:rPr>
          <w:i w:val="0"/>
          <w:iCs/>
        </w:rPr>
        <w:t xml:space="preserve">nnexe </w:t>
      </w:r>
      <w:r w:rsidR="009D2B34">
        <w:rPr>
          <w:i w:val="0"/>
          <w:iCs/>
        </w:rPr>
        <w:t>n°2</w:t>
      </w:r>
      <w:r w:rsidR="00111CB3">
        <w:rPr>
          <w:i w:val="0"/>
          <w:iCs/>
        </w:rPr>
        <w:t>)</w:t>
      </w:r>
      <w:r w:rsidRPr="00681A9F">
        <w:rPr>
          <w:i w:val="0"/>
          <w:iCs/>
        </w:rPr>
        <w:t>.</w:t>
      </w:r>
      <w:r>
        <w:t xml:space="preserve"> </w:t>
      </w:r>
    </w:p>
    <w:p w14:paraId="0426CDA3" w14:textId="408ABDD2" w:rsidR="00A232A2" w:rsidRDefault="00A232A2" w:rsidP="00A232A2">
      <w:pPr>
        <w:pStyle w:val="Textbody"/>
      </w:pPr>
      <w:r>
        <w:t>Les bisexuelles déclarent également plus de violence sexuelle que les hétérosexuelles (2,8 % contre 0,7 %), un résultat qui repose toutefois sur cinq bisexuelles seulement.</w:t>
      </w:r>
    </w:p>
    <w:p w14:paraId="03241D3E" w14:textId="77777777" w:rsidR="00432DCB" w:rsidRDefault="00A232A2" w:rsidP="00432DCB">
      <w:pPr>
        <w:pStyle w:val="Textbody"/>
      </w:pPr>
      <w:r>
        <w:t xml:space="preserve">Ici, une première grande question se pose : la surreprésentation des bisexuelles dans les déclarantes de violences psychologiques témoigne-t-elle d’une surexposition à ces faits ou d’une meilleure capacité à les déclarer ? Les effectifs ne nous permettent pas de réaliser de régressions mais nous </w:t>
      </w:r>
      <w:r w:rsidR="00111CB3">
        <w:t xml:space="preserve">pouvons déjà avancer </w:t>
      </w:r>
      <w:r w:rsidR="00A71BD2">
        <w:t xml:space="preserve">deux éléments en faveur de la surexposition : le questionnaire Virage ne fait pas mention de « violence » ou d’ « agression », les faits </w:t>
      </w:r>
      <w:r w:rsidR="00432DCB">
        <w:t xml:space="preserve">de violences </w:t>
      </w:r>
      <w:r w:rsidR="00A71BD2">
        <w:t xml:space="preserve">psychologiques listés </w:t>
      </w:r>
      <w:r w:rsidR="00432DCB">
        <w:t>font appel à des situations précises (voir Annexe n°3). Le fait d’interroger les individus sur les 12 derniers mois limite les biais de mémoire. De plus, l</w:t>
      </w:r>
      <w:r>
        <w:t>a surexposition observée jusqu’ici concorde avec les résultats des études anglophones</w:t>
      </w:r>
      <w:r w:rsidR="00432DCB">
        <w:t xml:space="preserve">. </w:t>
      </w:r>
    </w:p>
    <w:p w14:paraId="5FAB9053" w14:textId="2DE10EC1" w:rsidR="00A232A2" w:rsidRDefault="00432DCB" w:rsidP="00432DCB">
      <w:pPr>
        <w:pStyle w:val="Textbody"/>
      </w:pPr>
      <w:r>
        <w:t>Les premiers résultats en population générale supposent des expériences quantitativement différentes de celles des</w:t>
      </w:r>
      <w:r w:rsidR="00A232A2">
        <w:t xml:space="preserve"> violences conjugales</w:t>
      </w:r>
      <w:r>
        <w:t xml:space="preserve"> hétérosexuelles. </w:t>
      </w:r>
      <w:r w:rsidR="00A232A2">
        <w:t xml:space="preserve"> </w:t>
      </w:r>
    </w:p>
    <w:p w14:paraId="2DFFBD88" w14:textId="77777777" w:rsidR="00E24AC5" w:rsidRDefault="00E24AC5" w:rsidP="00432DCB">
      <w:pPr>
        <w:pStyle w:val="Textbody"/>
      </w:pPr>
    </w:p>
    <w:p w14:paraId="67CD9E16" w14:textId="77777777" w:rsidR="00A232A2" w:rsidRPr="00241B01" w:rsidRDefault="00A232A2" w:rsidP="00A232A2">
      <w:pPr>
        <w:pStyle w:val="Table"/>
      </w:pPr>
      <w:r>
        <w:lastRenderedPageBreak/>
        <w:t>Table 14 : Types</w:t>
      </w:r>
      <w:r w:rsidRPr="005D5189">
        <w:t xml:space="preserve"> de violence dans le couple </w:t>
      </w:r>
      <w:r>
        <w:t>au cours</w:t>
      </w:r>
      <w:r w:rsidRPr="005D5189">
        <w:t xml:space="preserve"> </w:t>
      </w:r>
      <w:r>
        <w:t>d</w:t>
      </w:r>
      <w:r w:rsidRPr="005D5189">
        <w:t>es 12 derniers mois</w:t>
      </w:r>
      <w:r>
        <w:t xml:space="preserve"> (Virage LGBT). </w:t>
      </w:r>
    </w:p>
    <w:p w14:paraId="563695A5" w14:textId="77777777" w:rsidR="00A232A2" w:rsidRPr="004C7E05" w:rsidRDefault="00A232A2" w:rsidP="00A232A2">
      <w:pPr>
        <w:rPr>
          <w:rFonts w:ascii="Times New Roman" w:hAnsi="Times New Roman" w:cs="Times New Roman"/>
          <w:sz w:val="14"/>
          <w:szCs w:val="14"/>
        </w:rPr>
      </w:pPr>
    </w:p>
    <w:tbl>
      <w:tblPr>
        <w:tblW w:w="5000" w:type="pct"/>
        <w:jc w:val="center"/>
        <w:tblLook w:val="0420" w:firstRow="1" w:lastRow="0" w:firstColumn="0" w:lastColumn="0" w:noHBand="0" w:noVBand="1"/>
      </w:tblPr>
      <w:tblGrid>
        <w:gridCol w:w="1402"/>
        <w:gridCol w:w="1993"/>
        <w:gridCol w:w="1993"/>
        <w:gridCol w:w="1993"/>
        <w:gridCol w:w="1993"/>
      </w:tblGrid>
      <w:tr w:rsidR="00A232A2" w:rsidRPr="004C7E05" w14:paraId="368D5FEF" w14:textId="77777777" w:rsidTr="005F4771">
        <w:trPr>
          <w:tblHeader/>
          <w:jc w:val="center"/>
        </w:trPr>
        <w:tc>
          <w:tcPr>
            <w:tcW w:w="0" w:type="auto"/>
            <w:tcBorders>
              <w:top w:val="single" w:sz="12" w:space="0" w:color="auto"/>
              <w:left w:val="single" w:sz="12" w:space="0" w:color="auto"/>
              <w:bottom w:val="single" w:sz="12" w:space="0" w:color="auto"/>
            </w:tcBorders>
            <w:shd w:val="clear" w:color="auto" w:fill="FFFFFF"/>
            <w:tcMar>
              <w:top w:w="0" w:type="dxa"/>
              <w:left w:w="0" w:type="dxa"/>
              <w:bottom w:w="0" w:type="dxa"/>
              <w:right w:w="0" w:type="dxa"/>
            </w:tcMar>
            <w:vAlign w:val="center"/>
          </w:tcPr>
          <w:p w14:paraId="0717CB1D"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2126" w:type="pct"/>
            <w:gridSpan w:val="2"/>
            <w:tcBorders>
              <w:top w:val="single" w:sz="12" w:space="0" w:color="auto"/>
              <w:bottom w:val="single" w:sz="12" w:space="0" w:color="auto"/>
            </w:tcBorders>
            <w:shd w:val="clear" w:color="auto" w:fill="FFFFFF"/>
            <w:tcMar>
              <w:top w:w="0" w:type="dxa"/>
              <w:left w:w="0" w:type="dxa"/>
              <w:bottom w:w="0" w:type="dxa"/>
              <w:right w:w="0" w:type="dxa"/>
            </w:tcMar>
            <w:vAlign w:val="center"/>
          </w:tcPr>
          <w:p w14:paraId="36D7C7CA"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4C7E05">
              <w:rPr>
                <w:rFonts w:ascii="Times New Roman" w:eastAsia="Arial" w:hAnsi="Times New Roman" w:cs="Times New Roman"/>
                <w:b/>
                <w:color w:val="000000"/>
                <w:sz w:val="14"/>
                <w:szCs w:val="14"/>
              </w:rPr>
              <w:t>Virage LGBT — Femmes</w:t>
            </w:r>
          </w:p>
        </w:tc>
        <w:tc>
          <w:tcPr>
            <w:tcW w:w="2126" w:type="pct"/>
            <w:gridSpan w:val="2"/>
            <w:tcBorders>
              <w:top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0F186953"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4C7E05">
              <w:rPr>
                <w:rFonts w:ascii="Times New Roman" w:eastAsia="Arial" w:hAnsi="Times New Roman" w:cs="Times New Roman"/>
                <w:b/>
                <w:color w:val="000000"/>
                <w:sz w:val="14"/>
                <w:szCs w:val="14"/>
              </w:rPr>
              <w:t>Virage LGBT — Hommes</w:t>
            </w:r>
          </w:p>
        </w:tc>
      </w:tr>
      <w:tr w:rsidR="00A232A2" w:rsidRPr="004C7E05" w14:paraId="587C6001" w14:textId="77777777" w:rsidTr="005F4771">
        <w:trPr>
          <w:tblHeader/>
          <w:jc w:val="center"/>
        </w:trPr>
        <w:tc>
          <w:tcPr>
            <w:tcW w:w="0" w:type="auto"/>
            <w:tcBorders>
              <w:top w:val="single" w:sz="12" w:space="0" w:color="auto"/>
              <w:left w:val="single" w:sz="12" w:space="0" w:color="auto"/>
              <w:bottom w:val="single" w:sz="12" w:space="0" w:color="auto"/>
            </w:tcBorders>
            <w:shd w:val="clear" w:color="auto" w:fill="FFFFFF"/>
            <w:tcMar>
              <w:top w:w="0" w:type="dxa"/>
              <w:left w:w="0" w:type="dxa"/>
              <w:bottom w:w="0" w:type="dxa"/>
              <w:right w:w="0" w:type="dxa"/>
            </w:tcMar>
            <w:vAlign w:val="center"/>
          </w:tcPr>
          <w:p w14:paraId="68A611F0"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460B1448"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Homo</w:t>
            </w:r>
            <w:r w:rsidRPr="004C7E05">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 xml:space="preserve"> </w:t>
            </w:r>
            <w:r w:rsidRPr="004C7E05">
              <w:rPr>
                <w:rFonts w:ascii="Times New Roman" w:eastAsia="Arial" w:hAnsi="Times New Roman" w:cs="Times New Roman"/>
                <w:color w:val="000000"/>
                <w:sz w:val="14"/>
                <w:szCs w:val="14"/>
              </w:rPr>
              <w:t>752)</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3215DDC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Bi</w:t>
            </w:r>
            <w:r w:rsidRPr="004C7E05">
              <w:rPr>
                <w:rFonts w:ascii="Times New Roman" w:eastAsia="Arial" w:hAnsi="Times New Roman" w:cs="Times New Roman"/>
                <w:color w:val="000000"/>
                <w:sz w:val="14"/>
                <w:szCs w:val="14"/>
              </w:rPr>
              <w:br/>
              <w:t>(445)</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0BEB04E6"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Homo</w:t>
            </w:r>
            <w:r w:rsidRPr="004C7E05">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 xml:space="preserve"> </w:t>
            </w:r>
            <w:r w:rsidRPr="004C7E05">
              <w:rPr>
                <w:rFonts w:ascii="Times New Roman" w:eastAsia="Arial" w:hAnsi="Times New Roman" w:cs="Times New Roman"/>
                <w:color w:val="000000"/>
                <w:sz w:val="14"/>
                <w:szCs w:val="14"/>
              </w:rPr>
              <w:t>769)</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5227B5F5"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Bi</w:t>
            </w:r>
            <w:r w:rsidRPr="004C7E05">
              <w:rPr>
                <w:rFonts w:ascii="Times New Roman" w:eastAsia="Arial" w:hAnsi="Times New Roman" w:cs="Times New Roman"/>
                <w:color w:val="000000"/>
                <w:sz w:val="14"/>
                <w:szCs w:val="14"/>
              </w:rPr>
              <w:br/>
              <w:t>(172)</w:t>
            </w:r>
            <w:r w:rsidRPr="004C7E05">
              <w:rPr>
                <w:rFonts w:ascii="Times New Roman" w:eastAsia="Arial" w:hAnsi="Times New Roman" w:cs="Times New Roman"/>
                <w:color w:val="000000"/>
                <w:sz w:val="14"/>
                <w:szCs w:val="14"/>
                <w:vertAlign w:val="superscript"/>
              </w:rPr>
              <w:t>1</w:t>
            </w:r>
          </w:p>
        </w:tc>
      </w:tr>
      <w:tr w:rsidR="00A232A2" w:rsidRPr="004C7E05" w14:paraId="4A0174CD" w14:textId="77777777" w:rsidTr="005F4771">
        <w:trPr>
          <w:jc w:val="center"/>
        </w:trPr>
        <w:tc>
          <w:tcPr>
            <w:tcW w:w="5000" w:type="pct"/>
            <w:gridSpan w:val="5"/>
            <w:tcBorders>
              <w:top w:val="single" w:sz="12" w:space="0" w:color="auto"/>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367BE4B3"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psychologique</w:t>
            </w:r>
            <w:r w:rsidRPr="00F23351">
              <w:rPr>
                <w:rFonts w:ascii="Times New Roman" w:eastAsia="Arial" w:hAnsi="Times New Roman" w:cs="Times New Roman"/>
                <w:bCs/>
                <w:i/>
                <w:iCs/>
                <w:color w:val="000000"/>
                <w:sz w:val="14"/>
                <w:szCs w:val="14"/>
              </w:rPr>
              <w:t xml:space="preserve"> dans le couple au cours des 12 derniers mois</w:t>
            </w:r>
          </w:p>
        </w:tc>
      </w:tr>
      <w:tr w:rsidR="00A232A2" w:rsidRPr="004C7E05" w14:paraId="11F63086"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34EACB25"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2E8008C8"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45,3%</w:t>
            </w:r>
            <w:r w:rsidRPr="004C7E05">
              <w:rPr>
                <w:rFonts w:ascii="Times New Roman" w:eastAsia="Arial" w:hAnsi="Times New Roman" w:cs="Times New Roman"/>
                <w:color w:val="000000"/>
                <w:sz w:val="14"/>
                <w:szCs w:val="14"/>
              </w:rPr>
              <w:br/>
              <w:t>(785,0)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0DDBF4B"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39,3%</w:t>
            </w:r>
            <w:r w:rsidRPr="004C7E05">
              <w:rPr>
                <w:rFonts w:ascii="Times New Roman" w:eastAsia="Arial" w:hAnsi="Times New Roman" w:cs="Times New Roman"/>
                <w:color w:val="000000"/>
                <w:sz w:val="14"/>
                <w:szCs w:val="14"/>
              </w:rPr>
              <w:br/>
              <w:t>(170,0)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56006388"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44,5%</w:t>
            </w:r>
            <w:r w:rsidRPr="004C7E05">
              <w:rPr>
                <w:rFonts w:ascii="Times New Roman" w:eastAsia="Arial" w:hAnsi="Times New Roman" w:cs="Times New Roman"/>
                <w:color w:val="000000"/>
                <w:sz w:val="14"/>
                <w:szCs w:val="14"/>
              </w:rPr>
              <w:br/>
              <w:t>(783,0)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67F73697"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40,8%</w:t>
            </w:r>
            <w:r w:rsidRPr="004C7E05">
              <w:rPr>
                <w:rFonts w:ascii="Times New Roman" w:eastAsia="Arial" w:hAnsi="Times New Roman" w:cs="Times New Roman"/>
                <w:color w:val="000000"/>
                <w:sz w:val="14"/>
                <w:szCs w:val="14"/>
              </w:rPr>
              <w:br/>
              <w:t>(69,0)</w:t>
            </w:r>
          </w:p>
        </w:tc>
      </w:tr>
      <w:tr w:rsidR="00A232A2" w:rsidRPr="004C7E05" w14:paraId="749F3B0A"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2CB04D36"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28EE3D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54,7%</w:t>
            </w:r>
            <w:r w:rsidRPr="004C7E05">
              <w:rPr>
                <w:rFonts w:ascii="Times New Roman" w:eastAsia="Arial" w:hAnsi="Times New Roman" w:cs="Times New Roman"/>
                <w:color w:val="000000"/>
                <w:sz w:val="14"/>
                <w:szCs w:val="14"/>
              </w:rPr>
              <w:br/>
              <w:t>(949,0)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EC8678F"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60,7%</w:t>
            </w:r>
            <w:r w:rsidRPr="004C7E05">
              <w:rPr>
                <w:rFonts w:ascii="Times New Roman" w:eastAsia="Arial" w:hAnsi="Times New Roman" w:cs="Times New Roman"/>
                <w:color w:val="000000"/>
                <w:sz w:val="14"/>
                <w:szCs w:val="14"/>
              </w:rPr>
              <w:br/>
              <w:t>(263,0)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29399D5D"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55,5%</w:t>
            </w:r>
            <w:r w:rsidRPr="004C7E05">
              <w:rPr>
                <w:rFonts w:ascii="Times New Roman" w:eastAsia="Arial" w:hAnsi="Times New Roman" w:cs="Times New Roman"/>
                <w:color w:val="000000"/>
                <w:sz w:val="14"/>
                <w:szCs w:val="14"/>
              </w:rPr>
              <w:br/>
              <w:t>(975,0)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2256BD0C"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59,2%</w:t>
            </w:r>
            <w:r w:rsidRPr="004C7E05">
              <w:rPr>
                <w:rFonts w:ascii="Times New Roman" w:eastAsia="Arial" w:hAnsi="Times New Roman" w:cs="Times New Roman"/>
                <w:color w:val="000000"/>
                <w:sz w:val="14"/>
                <w:szCs w:val="14"/>
              </w:rPr>
              <w:br/>
              <w:t>(100,0)</w:t>
            </w:r>
          </w:p>
        </w:tc>
      </w:tr>
      <w:tr w:rsidR="00A232A2" w:rsidRPr="004C7E05" w14:paraId="2E6597F7"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1BA8EBF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A721E67"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0,026</w:t>
            </w:r>
            <w:r w:rsidRPr="00F23351">
              <w:rPr>
                <w:rFonts w:ascii="Times New Roman" w:eastAsia="Arial" w:hAnsi="Times New Roman" w:cs="Times New Roman"/>
                <w:color w:val="000000"/>
                <w:sz w:val="14"/>
                <w:szCs w:val="14"/>
                <w:vertAlign w:val="superscript"/>
              </w:rPr>
              <w:t>2</w:t>
            </w:r>
          </w:p>
        </w:tc>
        <w:tc>
          <w:tcPr>
            <w:tcW w:w="2126" w:type="pct"/>
            <w:gridSpan w:val="2"/>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470538EC"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0,4</w:t>
            </w:r>
            <w:r w:rsidRPr="00F23351">
              <w:rPr>
                <w:rFonts w:ascii="Times New Roman" w:eastAsia="Arial" w:hAnsi="Times New Roman" w:cs="Times New Roman"/>
                <w:color w:val="000000"/>
                <w:sz w:val="14"/>
                <w:szCs w:val="14"/>
                <w:vertAlign w:val="superscript"/>
              </w:rPr>
              <w:t>2</w:t>
            </w:r>
          </w:p>
        </w:tc>
      </w:tr>
      <w:tr w:rsidR="00A232A2" w:rsidRPr="004C7E05" w14:paraId="7B0D220B" w14:textId="77777777" w:rsidTr="005F4771">
        <w:trPr>
          <w:jc w:val="center"/>
        </w:trPr>
        <w:tc>
          <w:tcPr>
            <w:tcW w:w="5000" w:type="pct"/>
            <w:gridSpan w:val="5"/>
            <w:tcBorders>
              <w:top w:val="none" w:sz="0"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0A83BD98"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Violence physique dans le couple au cours des 12 derniers mois</w:t>
            </w:r>
          </w:p>
        </w:tc>
      </w:tr>
      <w:tr w:rsidR="00A232A2" w:rsidRPr="004C7E05" w14:paraId="2CD0811A"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41DFF82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840E409"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94,8%</w:t>
            </w:r>
            <w:r w:rsidRPr="004C7E05">
              <w:rPr>
                <w:rFonts w:ascii="Times New Roman" w:eastAsia="Arial" w:hAnsi="Times New Roman" w:cs="Times New Roman"/>
                <w:color w:val="000000"/>
                <w:sz w:val="14"/>
                <w:szCs w:val="14"/>
              </w:rPr>
              <w:br/>
              <w:t>(1 644,0)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C79199D"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93,8%</w:t>
            </w:r>
            <w:r w:rsidRPr="004C7E05">
              <w:rPr>
                <w:rFonts w:ascii="Times New Roman" w:eastAsia="Arial" w:hAnsi="Times New Roman" w:cs="Times New Roman"/>
                <w:color w:val="000000"/>
                <w:sz w:val="14"/>
                <w:szCs w:val="14"/>
              </w:rPr>
              <w:br/>
              <w:t>(406,0)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CD88EE6"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95,5%</w:t>
            </w:r>
            <w:r w:rsidRPr="004C7E05">
              <w:rPr>
                <w:rFonts w:ascii="Times New Roman" w:eastAsia="Arial" w:hAnsi="Times New Roman" w:cs="Times New Roman"/>
                <w:color w:val="000000"/>
                <w:sz w:val="14"/>
                <w:szCs w:val="14"/>
              </w:rPr>
              <w:br/>
              <w:t>(1 679,0)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2AEEF8E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94,7%</w:t>
            </w:r>
            <w:r w:rsidRPr="004C7E05">
              <w:rPr>
                <w:rFonts w:ascii="Times New Roman" w:eastAsia="Arial" w:hAnsi="Times New Roman" w:cs="Times New Roman"/>
                <w:color w:val="000000"/>
                <w:sz w:val="14"/>
                <w:szCs w:val="14"/>
              </w:rPr>
              <w:br/>
              <w:t>(160,0)</w:t>
            </w:r>
          </w:p>
        </w:tc>
      </w:tr>
      <w:tr w:rsidR="00A232A2" w:rsidRPr="004C7E05" w14:paraId="14C563B3"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55F59697"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99EF805"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5,2%</w:t>
            </w:r>
            <w:r w:rsidRPr="004C7E05">
              <w:rPr>
                <w:rFonts w:ascii="Times New Roman" w:eastAsia="Arial" w:hAnsi="Times New Roman" w:cs="Times New Roman"/>
                <w:color w:val="000000"/>
                <w:sz w:val="14"/>
                <w:szCs w:val="14"/>
              </w:rPr>
              <w:br/>
              <w:t>(90,0)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29DB77F"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6,2%</w:t>
            </w:r>
            <w:r w:rsidRPr="004C7E05">
              <w:rPr>
                <w:rFonts w:ascii="Times New Roman" w:eastAsia="Arial" w:hAnsi="Times New Roman" w:cs="Times New Roman"/>
                <w:color w:val="000000"/>
                <w:sz w:val="14"/>
                <w:szCs w:val="14"/>
              </w:rPr>
              <w:br/>
              <w:t>(27,0)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2795819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4,5%</w:t>
            </w:r>
            <w:r w:rsidRPr="004C7E05">
              <w:rPr>
                <w:rFonts w:ascii="Times New Roman" w:eastAsia="Arial" w:hAnsi="Times New Roman" w:cs="Times New Roman"/>
                <w:color w:val="000000"/>
                <w:sz w:val="14"/>
                <w:szCs w:val="14"/>
              </w:rPr>
              <w:br/>
              <w:t>(79,0)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2D9A5541"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5,3%</w:t>
            </w:r>
            <w:r w:rsidRPr="004C7E05">
              <w:rPr>
                <w:rFonts w:ascii="Times New Roman" w:eastAsia="Arial" w:hAnsi="Times New Roman" w:cs="Times New Roman"/>
                <w:color w:val="000000"/>
                <w:sz w:val="14"/>
                <w:szCs w:val="14"/>
              </w:rPr>
              <w:br/>
              <w:t>(9,0)</w:t>
            </w:r>
          </w:p>
        </w:tc>
      </w:tr>
      <w:tr w:rsidR="00A232A2" w:rsidRPr="004C7E05" w14:paraId="05794831"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738E8FA2"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F29303D"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0,4</w:t>
            </w:r>
          </w:p>
        </w:tc>
        <w:tc>
          <w:tcPr>
            <w:tcW w:w="2126" w:type="pct"/>
            <w:gridSpan w:val="2"/>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2A2C6DB3"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0,6</w:t>
            </w:r>
          </w:p>
        </w:tc>
      </w:tr>
      <w:tr w:rsidR="00A232A2" w:rsidRPr="004C7E05" w14:paraId="7BCA20C9" w14:textId="77777777" w:rsidTr="005F4771">
        <w:trPr>
          <w:jc w:val="center"/>
        </w:trPr>
        <w:tc>
          <w:tcPr>
            <w:tcW w:w="5000" w:type="pct"/>
            <w:gridSpan w:val="5"/>
            <w:tcBorders>
              <w:top w:val="none" w:sz="0"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18D34350"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i/>
                <w:iCs/>
                <w:color w:val="000000"/>
                <w:sz w:val="14"/>
                <w:szCs w:val="14"/>
              </w:rPr>
            </w:pPr>
            <w:r w:rsidRPr="00F23351">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sexuelle</w:t>
            </w:r>
            <w:r w:rsidRPr="00F23351">
              <w:rPr>
                <w:rFonts w:ascii="Times New Roman" w:eastAsia="Arial" w:hAnsi="Times New Roman" w:cs="Times New Roman"/>
                <w:bCs/>
                <w:i/>
                <w:iCs/>
                <w:color w:val="000000"/>
                <w:sz w:val="14"/>
                <w:szCs w:val="14"/>
              </w:rPr>
              <w:t xml:space="preserve"> dans le couple au cours des 12 derniers mois</w:t>
            </w:r>
          </w:p>
        </w:tc>
      </w:tr>
      <w:tr w:rsidR="00A232A2" w:rsidRPr="004C7E05" w14:paraId="5851B024"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1458BF3A"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2BACBF75"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99,1%</w:t>
            </w:r>
            <w:r w:rsidRPr="004C7E05">
              <w:rPr>
                <w:rFonts w:ascii="Times New Roman" w:eastAsia="Arial" w:hAnsi="Times New Roman" w:cs="Times New Roman"/>
                <w:color w:val="000000"/>
                <w:sz w:val="14"/>
                <w:szCs w:val="14"/>
              </w:rPr>
              <w:br/>
              <w:t>(1 719,0)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1D39A580"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96,1%</w:t>
            </w:r>
            <w:r w:rsidRPr="004C7E05">
              <w:rPr>
                <w:rFonts w:ascii="Times New Roman" w:eastAsia="Arial" w:hAnsi="Times New Roman" w:cs="Times New Roman"/>
                <w:color w:val="000000"/>
                <w:sz w:val="14"/>
                <w:szCs w:val="14"/>
              </w:rPr>
              <w:br/>
              <w:t>(415,0)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78EE99B"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98,3%</w:t>
            </w:r>
            <w:r w:rsidRPr="004C7E05">
              <w:rPr>
                <w:rFonts w:ascii="Times New Roman" w:eastAsia="Arial" w:hAnsi="Times New Roman" w:cs="Times New Roman"/>
                <w:color w:val="000000"/>
                <w:sz w:val="14"/>
                <w:szCs w:val="14"/>
              </w:rPr>
              <w:br/>
              <w:t>(1 729,0)</w:t>
            </w:r>
          </w:p>
        </w:tc>
        <w:tc>
          <w:tcPr>
            <w:tcW w:w="1063" w:type="pct"/>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50A4AB6F"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96,4%</w:t>
            </w:r>
            <w:r w:rsidRPr="004C7E05">
              <w:rPr>
                <w:rFonts w:ascii="Times New Roman" w:eastAsia="Arial" w:hAnsi="Times New Roman" w:cs="Times New Roman"/>
                <w:color w:val="000000"/>
                <w:sz w:val="14"/>
                <w:szCs w:val="14"/>
              </w:rPr>
              <w:br/>
              <w:t>(162,0)</w:t>
            </w:r>
          </w:p>
        </w:tc>
      </w:tr>
      <w:tr w:rsidR="00A232A2" w:rsidRPr="004C7E05" w14:paraId="4D617A98" w14:textId="77777777" w:rsidTr="005F477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50DF47B8"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20CF343D"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0,9%</w:t>
            </w:r>
            <w:r w:rsidRPr="004C7E05">
              <w:rPr>
                <w:rFonts w:ascii="Times New Roman" w:eastAsia="Arial" w:hAnsi="Times New Roman" w:cs="Times New Roman"/>
                <w:color w:val="000000"/>
                <w:sz w:val="14"/>
                <w:szCs w:val="14"/>
              </w:rPr>
              <w:br/>
              <w:t>(15,0)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813CC32"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3,9%</w:t>
            </w:r>
            <w:r w:rsidRPr="004C7E05">
              <w:rPr>
                <w:rFonts w:ascii="Times New Roman" w:eastAsia="Arial" w:hAnsi="Times New Roman" w:cs="Times New Roman"/>
                <w:color w:val="000000"/>
                <w:sz w:val="14"/>
                <w:szCs w:val="14"/>
              </w:rPr>
              <w:br/>
              <w:t>(17,0)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A8D714E"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1,7%</w:t>
            </w:r>
            <w:r w:rsidRPr="004C7E05">
              <w:rPr>
                <w:rFonts w:ascii="Times New Roman" w:eastAsia="Arial" w:hAnsi="Times New Roman" w:cs="Times New Roman"/>
                <w:color w:val="000000"/>
                <w:sz w:val="14"/>
                <w:szCs w:val="14"/>
              </w:rPr>
              <w:br/>
              <w:t>(30,0)</w:t>
            </w:r>
          </w:p>
        </w:tc>
        <w:tc>
          <w:tcPr>
            <w:tcW w:w="1063" w:type="pct"/>
            <w:tcBorders>
              <w:left w:val="single" w:sz="4" w:space="0" w:color="auto"/>
              <w:right w:val="single" w:sz="12" w:space="0" w:color="auto"/>
            </w:tcBorders>
            <w:shd w:val="clear" w:color="auto" w:fill="FFFFFF"/>
            <w:tcMar>
              <w:top w:w="0" w:type="dxa"/>
              <w:left w:w="0" w:type="dxa"/>
              <w:bottom w:w="0" w:type="dxa"/>
              <w:right w:w="0" w:type="dxa"/>
            </w:tcMar>
          </w:tcPr>
          <w:p w14:paraId="5F40A0B0"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3,6%</w:t>
            </w:r>
            <w:r w:rsidRPr="004C7E05">
              <w:rPr>
                <w:rFonts w:ascii="Times New Roman" w:eastAsia="Arial" w:hAnsi="Times New Roman" w:cs="Times New Roman"/>
                <w:color w:val="000000"/>
                <w:sz w:val="14"/>
                <w:szCs w:val="14"/>
              </w:rPr>
              <w:br/>
              <w:t>(6,0)</w:t>
            </w:r>
          </w:p>
        </w:tc>
      </w:tr>
      <w:tr w:rsidR="00A232A2" w:rsidRPr="004C7E05" w14:paraId="137E26C9" w14:textId="77777777" w:rsidTr="005F4771">
        <w:trPr>
          <w:jc w:val="center"/>
        </w:trPr>
        <w:tc>
          <w:tcPr>
            <w:tcW w:w="0" w:type="auto"/>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2FA90052"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017E213C"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&lt;0,001</w:t>
            </w:r>
          </w:p>
        </w:tc>
        <w:tc>
          <w:tcPr>
            <w:tcW w:w="2126" w:type="pct"/>
            <w:gridSpan w:val="2"/>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5ECDAD4C" w14:textId="77777777" w:rsidR="00A232A2" w:rsidRPr="004C7E05"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0,12</w:t>
            </w:r>
          </w:p>
        </w:tc>
      </w:tr>
      <w:tr w:rsidR="00A232A2" w:rsidRPr="004C7E05" w14:paraId="67E947D5" w14:textId="77777777" w:rsidTr="005F4771">
        <w:trPr>
          <w:jc w:val="center"/>
        </w:trPr>
        <w:tc>
          <w:tcPr>
            <w:tcW w:w="5000" w:type="pct"/>
            <w:gridSpan w:val="5"/>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tcPr>
          <w:p w14:paraId="69A2BAB8"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entre parenthèses.</w:t>
            </w:r>
          </w:p>
          <w:p w14:paraId="22E20C8C"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 xml:space="preserve">Test </w:t>
            </w:r>
            <w:r>
              <w:rPr>
                <w:rFonts w:ascii="Times New Roman" w:eastAsia="Arial" w:hAnsi="Times New Roman" w:cs="Times New Roman"/>
                <w:color w:val="000000"/>
                <w:sz w:val="14"/>
                <w:szCs w:val="14"/>
              </w:rPr>
              <w:t>de Fisher</w:t>
            </w:r>
            <w:r w:rsidRPr="00F23351">
              <w:rPr>
                <w:rFonts w:ascii="Times New Roman" w:eastAsia="Arial" w:hAnsi="Times New Roman" w:cs="Times New Roman"/>
                <w:color w:val="000000"/>
                <w:sz w:val="14"/>
                <w:szCs w:val="14"/>
              </w:rPr>
              <w:t>.</w:t>
            </w:r>
          </w:p>
          <w:p w14:paraId="55081952"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w:t>
            </w:r>
            <w:proofErr w:type="spellStart"/>
            <w:r w:rsidRPr="00F23351">
              <w:rPr>
                <w:rFonts w:ascii="Times New Roman" w:eastAsia="Arial" w:hAnsi="Times New Roman" w:cs="Times New Roman"/>
                <w:color w:val="000000"/>
                <w:sz w:val="14"/>
                <w:szCs w:val="14"/>
              </w:rPr>
              <w:t>Répondant</w:t>
            </w:r>
            <w:r>
              <w:rPr>
                <w:rFonts w:ascii="Times New Roman" w:eastAsia="Arial" w:hAnsi="Times New Roman" w:cs="Times New Roman"/>
                <w:color w:val="000000"/>
                <w:sz w:val="14"/>
                <w:szCs w:val="14"/>
              </w:rPr>
              <w:t>∙</w:t>
            </w:r>
            <w:r w:rsidRPr="00F23351">
              <w:rPr>
                <w:rFonts w:ascii="Times New Roman" w:eastAsia="Arial" w:hAnsi="Times New Roman" w:cs="Times New Roman"/>
                <w:color w:val="000000"/>
                <w:sz w:val="14"/>
                <w:szCs w:val="14"/>
              </w:rPr>
              <w:t>es</w:t>
            </w:r>
            <w:proofErr w:type="spellEnd"/>
            <w:r>
              <w:rPr>
                <w:rFonts w:ascii="Times New Roman" w:eastAsia="Arial" w:hAnsi="Times New Roman" w:cs="Times New Roman"/>
                <w:color w:val="000000"/>
                <w:sz w:val="14"/>
                <w:szCs w:val="14"/>
              </w:rPr>
              <w:t xml:space="preserve"> bisexuel∙les et homosexuel∙les</w:t>
            </w:r>
            <w:r w:rsidRPr="00F23351">
              <w:rPr>
                <w:rFonts w:ascii="Times New Roman" w:eastAsia="Arial" w:hAnsi="Times New Roman" w:cs="Times New Roman"/>
                <w:color w:val="000000"/>
                <w:sz w:val="14"/>
                <w:szCs w:val="14"/>
              </w:rPr>
              <w:t xml:space="preserve"> en couple dans les 12 mois </w:t>
            </w:r>
            <w:r>
              <w:rPr>
                <w:rFonts w:ascii="Times New Roman" w:eastAsia="Arial" w:hAnsi="Times New Roman" w:cs="Times New Roman"/>
                <w:color w:val="000000"/>
                <w:sz w:val="14"/>
                <w:szCs w:val="14"/>
              </w:rPr>
              <w:t>précédant</w:t>
            </w:r>
            <w:r w:rsidRPr="00F23351">
              <w:rPr>
                <w:rFonts w:ascii="Times New Roman" w:eastAsia="Arial" w:hAnsi="Times New Roman" w:cs="Times New Roman"/>
                <w:color w:val="000000"/>
                <w:sz w:val="14"/>
                <w:szCs w:val="14"/>
              </w:rPr>
              <w:t xml:space="preserve"> l'enquête Virage</w:t>
            </w:r>
            <w:r>
              <w:rPr>
                <w:rFonts w:ascii="Times New Roman" w:eastAsia="Arial" w:hAnsi="Times New Roman" w:cs="Times New Roman"/>
                <w:color w:val="000000"/>
                <w:sz w:val="14"/>
                <w:szCs w:val="14"/>
              </w:rPr>
              <w:t xml:space="preserv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r w:rsidRPr="00F23351">
              <w:rPr>
                <w:rFonts w:ascii="Times New Roman" w:eastAsia="Arial" w:hAnsi="Times New Roman" w:cs="Times New Roman"/>
                <w:color w:val="000000"/>
                <w:sz w:val="14"/>
                <w:szCs w:val="14"/>
              </w:rPr>
              <w:t>.</w:t>
            </w:r>
          </w:p>
          <w:p w14:paraId="32C03D0D"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54,7</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homosexuelles en couple dans </w:t>
            </w:r>
            <w:r w:rsidRPr="00F23351">
              <w:rPr>
                <w:rFonts w:ascii="Times New Roman" w:eastAsia="Arial" w:hAnsi="Times New Roman" w:cs="Times New Roman"/>
                <w:color w:val="000000"/>
                <w:sz w:val="14"/>
                <w:szCs w:val="14"/>
              </w:rPr>
              <w:t xml:space="preserve">l'enquête Virage </w:t>
            </w:r>
            <w:r>
              <w:rPr>
                <w:rFonts w:ascii="Times New Roman" w:eastAsia="Arial" w:hAnsi="Times New Roman" w:cs="Times New Roman"/>
                <w:color w:val="000000"/>
                <w:sz w:val="14"/>
                <w:szCs w:val="14"/>
              </w:rPr>
              <w:t xml:space="preserve">LGBT </w:t>
            </w:r>
            <w:r w:rsidRPr="00F23351">
              <w:rPr>
                <w:rFonts w:ascii="Times New Roman" w:eastAsia="Arial" w:hAnsi="Times New Roman" w:cs="Times New Roman"/>
                <w:color w:val="000000"/>
                <w:sz w:val="14"/>
                <w:szCs w:val="14"/>
              </w:rPr>
              <w:t xml:space="preserve">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dans le couple dans les 12 mois précédent l'enquête</w:t>
            </w:r>
            <w:r>
              <w:rPr>
                <w:rFonts w:ascii="Times New Roman" w:eastAsia="Arial" w:hAnsi="Times New Roman" w:cs="Times New Roman"/>
                <w:color w:val="000000"/>
                <w:sz w:val="14"/>
                <w:szCs w:val="14"/>
              </w:rPr>
              <w:t xml:space="preserve">. </w:t>
            </w:r>
          </w:p>
          <w:p w14:paraId="13F2E288" w14:textId="77777777" w:rsidR="00A232A2" w:rsidRPr="00241B0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w:t>
            </w:r>
            <w:r>
              <w:rPr>
                <w:rFonts w:ascii="Times New Roman" w:eastAsia="Arial" w:hAnsi="Times New Roman" w:cs="Times New Roman"/>
                <w:color w:val="000000"/>
                <w:sz w:val="14"/>
                <w:szCs w:val="14"/>
              </w:rPr>
              <w:t>LGBT</w:t>
            </w:r>
            <w:r w:rsidRPr="00F23351">
              <w:rPr>
                <w:rFonts w:ascii="Times New Roman" w:eastAsia="Arial" w:hAnsi="Times New Roman" w:cs="Times New Roman"/>
                <w:color w:val="000000"/>
                <w:sz w:val="14"/>
                <w:szCs w:val="14"/>
              </w:rPr>
              <w:t>, Ined, 2015</w:t>
            </w:r>
            <w:r>
              <w:rPr>
                <w:rFonts w:ascii="Times New Roman" w:eastAsia="Arial" w:hAnsi="Times New Roman" w:cs="Times New Roman"/>
                <w:color w:val="000000"/>
                <w:sz w:val="14"/>
                <w:szCs w:val="14"/>
              </w:rPr>
              <w:t>-2016</w:t>
            </w:r>
            <w:r w:rsidRPr="00F23351">
              <w:rPr>
                <w:rFonts w:ascii="Times New Roman" w:eastAsia="Arial" w:hAnsi="Times New Roman" w:cs="Times New Roman"/>
                <w:color w:val="000000"/>
                <w:sz w:val="14"/>
                <w:szCs w:val="14"/>
              </w:rPr>
              <w:t>.</w:t>
            </w:r>
          </w:p>
        </w:tc>
      </w:tr>
    </w:tbl>
    <w:p w14:paraId="10E609B0" w14:textId="255D6E88" w:rsidR="00A232A2" w:rsidRDefault="00432DCB" w:rsidP="00A232A2">
      <w:pPr>
        <w:pStyle w:val="NormalWeb"/>
        <w:spacing w:line="360" w:lineRule="auto"/>
        <w:jc w:val="both"/>
      </w:pPr>
      <w:r>
        <w:t>Dans l’échantillon LGBT, les</w:t>
      </w:r>
      <w:r w:rsidR="00A232A2">
        <w:t xml:space="preserve"> femmes bisexuelles déclarent plus de violence</w:t>
      </w:r>
      <w:r>
        <w:t>s</w:t>
      </w:r>
      <w:r w:rsidR="00A232A2">
        <w:t xml:space="preserve"> psychologique</w:t>
      </w:r>
      <w:r>
        <w:t>s</w:t>
      </w:r>
      <w:r w:rsidR="00A232A2">
        <w:t xml:space="preserve"> que les lesbiennes (60,7 % contre 54,7 %, p = 0,026) et, plus nettement encore, plus de violence sexuelle (3,9 % contre 0,9 %, p &lt; 0,001). La violence physique, en revanche, ne présente pas d'écart significatif entre bisexuelles et lesbiennes, ni chez les femmes ni chez les hommes — un résultat cohérent avec les travaux de Lejbowicz selon lesquels les violences déclarées par les lesbiennes et bisexuelles sont moins souvent physiques que celles déclarées par les hétérosexuelles. </w:t>
      </w:r>
      <w:r w:rsidR="00D13060">
        <w:t xml:space="preserve">Ici, les résultats entre bisexuelles et lesbiennes au cours des douze derniers mois sont sûrement le reflet de la proportion de femmes bisexuelles en couple avec un homme. La stigmatisation liée à la bisexualité peut </w:t>
      </w:r>
      <w:r w:rsidR="006F2E40">
        <w:t xml:space="preserve">aussi </w:t>
      </w:r>
      <w:r w:rsidR="00D13060">
        <w:t xml:space="preserve">expliquer des taux de </w:t>
      </w:r>
      <w:r w:rsidR="006F2E40">
        <w:t>victimation</w:t>
      </w:r>
      <w:r w:rsidR="00D13060">
        <w:t xml:space="preserve"> plus élevés</w:t>
      </w:r>
      <w:r w:rsidR="00E24AC5">
        <w:t xml:space="preserve">, nous y reviendrons dans l’étude de quelques cas. </w:t>
      </w:r>
      <w:r w:rsidR="00A232A2">
        <w:t xml:space="preserve">Chez les hommes, </w:t>
      </w:r>
      <w:r w:rsidR="00D94688">
        <w:t xml:space="preserve">si les bisexuels déclarent plus de violence des trois types que les hommes gays, </w:t>
      </w:r>
      <w:r w:rsidR="00A232A2">
        <w:t xml:space="preserve">aucun </w:t>
      </w:r>
      <w:r w:rsidR="00D94688">
        <w:t xml:space="preserve">résultat n’est </w:t>
      </w:r>
      <w:r w:rsidR="00A232A2">
        <w:t>significatif</w:t>
      </w:r>
      <w:r w:rsidR="00E24AC5">
        <w:t xml:space="preserve">. </w:t>
      </w:r>
    </w:p>
    <w:p w14:paraId="0B2D5CDC" w14:textId="6B6D2D1C" w:rsidR="00A232A2" w:rsidRDefault="00A232A2" w:rsidP="00A232A2">
      <w:pPr>
        <w:pStyle w:val="NormalWeb"/>
        <w:spacing w:line="360" w:lineRule="auto"/>
        <w:jc w:val="both"/>
      </w:pPr>
      <w:r>
        <w:lastRenderedPageBreak/>
        <w:t>Le résultat obtenu sur l'indicateur agrégé psychologique invite à regarder</w:t>
      </w:r>
      <w:r w:rsidR="00D94688">
        <w:t xml:space="preserve"> quels</w:t>
      </w:r>
      <w:r>
        <w:t xml:space="preserve"> actes précis composent cet écart. Nous avons construit un graphique comparant, item par item, la proportion de femmes bisexuelles et homosexuelles ayant déclaré chaque forme de violence psychologique au cours des douze derniers mois.</w:t>
      </w:r>
      <w:r w:rsidR="00C929B1">
        <w:t xml:space="preserve"> Onze items composent les violences psychologiques auxquels nous avons ajouté les quatre items de violence économique. </w:t>
      </w:r>
    </w:p>
    <w:p w14:paraId="66502C60" w14:textId="31DD1D7F" w:rsidR="00A232A2" w:rsidRPr="00241B01" w:rsidRDefault="00A232A2" w:rsidP="00A232A2">
      <w:pPr>
        <w:pStyle w:val="Table"/>
      </w:pPr>
      <w:r>
        <w:t xml:space="preserve">Figure 11 : Faits de violence psychologique </w:t>
      </w:r>
      <w:r w:rsidR="00C929B1">
        <w:t xml:space="preserve">et économiques </w:t>
      </w:r>
      <w:r>
        <w:t>déclarés</w:t>
      </w:r>
      <w:r w:rsidRPr="005D5189">
        <w:t xml:space="preserve"> </w:t>
      </w:r>
      <w:r>
        <w:t>au cours</w:t>
      </w:r>
      <w:r w:rsidRPr="005D5189">
        <w:t xml:space="preserve"> </w:t>
      </w:r>
      <w:r>
        <w:t>d</w:t>
      </w:r>
      <w:r w:rsidRPr="005D5189">
        <w:t>es 12 derniers mois</w:t>
      </w:r>
      <w:r>
        <w:t xml:space="preserve"> (Virage LGBT). </w:t>
      </w:r>
    </w:p>
    <w:p w14:paraId="2CC35184" w14:textId="77777777" w:rsidR="00A232A2" w:rsidRDefault="00A232A2" w:rsidP="00A232A2"/>
    <w:p w14:paraId="5C1B0B58" w14:textId="77777777" w:rsidR="00A232A2" w:rsidRDefault="00A232A2" w:rsidP="00A232A2">
      <w:r>
        <w:rPr>
          <w:noProof/>
        </w:rPr>
        <w:drawing>
          <wp:inline distT="0" distB="0" distL="0" distR="0" wp14:anchorId="672CF576" wp14:editId="6AD64CE4">
            <wp:extent cx="5310401" cy="5310401"/>
            <wp:effectExtent l="19050" t="19050" r="24130" b="2413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8450" cy="5318450"/>
                    </a:xfrm>
                    <a:prstGeom prst="rect">
                      <a:avLst/>
                    </a:prstGeom>
                    <a:ln w="3175">
                      <a:solidFill>
                        <a:schemeClr val="bg2"/>
                      </a:solidFill>
                    </a:ln>
                  </pic:spPr>
                </pic:pic>
              </a:graphicData>
            </a:graphic>
          </wp:inline>
        </w:drawing>
      </w:r>
    </w:p>
    <w:p w14:paraId="03FF8BF8" w14:textId="7536934F" w:rsidR="001E010F" w:rsidRDefault="001E010F" w:rsidP="001E010F">
      <w:pPr>
        <w:pStyle w:val="Standard"/>
        <w:spacing w:before="40" w:after="40"/>
        <w:ind w:left="102" w:right="102"/>
      </w:pPr>
      <w:r>
        <w:rPr>
          <w:rFonts w:ascii="Times New Roman" w:eastAsia="Arial" w:hAnsi="Times New Roman" w:cs="Times New Roman"/>
          <w:color w:val="000000"/>
          <w:sz w:val="16"/>
          <w:szCs w:val="16"/>
        </w:rPr>
        <w:t xml:space="preserve">Test de Fisher : </w:t>
      </w:r>
      <w:r w:rsidRPr="001E010F">
        <w:rPr>
          <w:rFonts w:ascii="Times New Roman" w:eastAsia="Arial" w:hAnsi="Times New Roman" w:cs="Times New Roman"/>
          <w:color w:val="000000"/>
          <w:sz w:val="16"/>
          <w:szCs w:val="16"/>
        </w:rPr>
        <w:t>*p-valeur &lt; .05 ; **p &lt; .01</w:t>
      </w:r>
    </w:p>
    <w:p w14:paraId="7DA96D20" w14:textId="43D6D46A" w:rsidR="001E010F" w:rsidRDefault="001E010F" w:rsidP="001E010F">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Répondantes en couple dans les douze mois précédant l’enquête Virage LGBT, âgées de 20 à 69 ans.</w:t>
      </w:r>
    </w:p>
    <w:p w14:paraId="67CC6221" w14:textId="1C7E8304" w:rsidR="001E010F" w:rsidRDefault="001E010F" w:rsidP="001E010F">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femmes en couple dans les douze mois précédant l’enquête, les bies déclarent plus que leur partenaire a méprisé ou n’a pas pris en compte leur opinion que les lesbiennes. </w:t>
      </w:r>
    </w:p>
    <w:p w14:paraId="148F195F" w14:textId="3C74E2CE" w:rsidR="00A232A2" w:rsidRDefault="001E010F" w:rsidP="001E010F">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2001A1B3" w14:textId="785EB924" w:rsidR="00A71BD2" w:rsidRDefault="00A232A2" w:rsidP="00A232A2">
      <w:pPr>
        <w:pStyle w:val="NormalWeb"/>
        <w:spacing w:line="360" w:lineRule="auto"/>
        <w:jc w:val="both"/>
      </w:pPr>
      <w:r>
        <w:lastRenderedPageBreak/>
        <w:t>Sur les seize items observés, deux se distinguent significativement</w:t>
      </w:r>
      <w:r w:rsidR="00D94688">
        <w:t xml:space="preserve"> </w:t>
      </w:r>
      <w:r>
        <w:t xml:space="preserve">: le mépris des opinions (p &lt; 0,01) et la contrainte à payer l'ensemble des dépenses quotidiennes du couple (p &lt; 0,05), tous deux plus fréquemment déclarés par les bisexuelles que par les homosexuelles. </w:t>
      </w:r>
    </w:p>
    <w:p w14:paraId="4E41A975" w14:textId="21141373" w:rsidR="00A232A2" w:rsidRDefault="00A232A2" w:rsidP="00A232A2">
      <w:pPr>
        <w:pStyle w:val="Titre4"/>
      </w:pPr>
      <w:r>
        <w:t xml:space="preserve">L’effet du genre du partenaire </w:t>
      </w:r>
    </w:p>
    <w:p w14:paraId="63DDB43C" w14:textId="54DFA299" w:rsidR="00A232A2" w:rsidRDefault="00A232A2" w:rsidP="00A232A2">
      <w:pPr>
        <w:pStyle w:val="NormalWeb"/>
        <w:spacing w:line="360" w:lineRule="auto"/>
        <w:jc w:val="both"/>
      </w:pPr>
      <w:r>
        <w:t xml:space="preserve">Pour comprendre plus finement d'où provient cet écart, nous avons repris la question posée en filigrane tout au long du Chapitre II : </w:t>
      </w:r>
      <w:r w:rsidR="00E24AC5">
        <w:t xml:space="preserve">cet écart est-il structuré par le fait d’être en couple avec un homme ? </w:t>
      </w:r>
    </w:p>
    <w:p w14:paraId="4B585C74" w14:textId="77777777" w:rsidR="00A232A2" w:rsidRPr="00241B01" w:rsidRDefault="00A232A2" w:rsidP="00A232A2">
      <w:pPr>
        <w:pStyle w:val="Table"/>
      </w:pPr>
      <w:r>
        <w:t xml:space="preserve">Table 15 : Déclaration de faits de violences psychologiques selon le type de couple.  </w:t>
      </w:r>
    </w:p>
    <w:tbl>
      <w:tblPr>
        <w:tblW w:w="5000" w:type="pct"/>
        <w:jc w:val="center"/>
        <w:tblLook w:val="0420" w:firstRow="1" w:lastRow="0" w:firstColumn="0" w:lastColumn="0" w:noHBand="0" w:noVBand="1"/>
      </w:tblPr>
      <w:tblGrid>
        <w:gridCol w:w="1552"/>
        <w:gridCol w:w="2349"/>
        <w:gridCol w:w="2349"/>
        <w:gridCol w:w="2353"/>
        <w:gridCol w:w="771"/>
      </w:tblGrid>
      <w:tr w:rsidR="00A232A2" w14:paraId="086C0F8C" w14:textId="77777777" w:rsidTr="005F4771">
        <w:trPr>
          <w:tblHeader/>
          <w:jc w:val="center"/>
        </w:trPr>
        <w:tc>
          <w:tcPr>
            <w:tcW w:w="828" w:type="pct"/>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17DFB53F"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p>
        </w:tc>
        <w:tc>
          <w:tcPr>
            <w:tcW w:w="3761" w:type="pct"/>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C38E2F6"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
                <w:color w:val="000000"/>
                <w:sz w:val="14"/>
                <w:szCs w:val="14"/>
              </w:rPr>
            </w:pPr>
            <w:r>
              <w:rPr>
                <w:rFonts w:ascii="Arial" w:eastAsia="Arial" w:hAnsi="Arial" w:cs="Arial"/>
                <w:b/>
                <w:color w:val="000000"/>
                <w:sz w:val="14"/>
                <w:szCs w:val="14"/>
              </w:rPr>
              <w:t>Virage LGBT — Femmes</w:t>
            </w:r>
          </w:p>
        </w:tc>
        <w:tc>
          <w:tcPr>
            <w:tcW w:w="411" w:type="pct"/>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2D67F699"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
                <w:color w:val="000000"/>
                <w:sz w:val="14"/>
                <w:szCs w:val="14"/>
              </w:rPr>
            </w:pPr>
          </w:p>
        </w:tc>
      </w:tr>
      <w:tr w:rsidR="00A232A2" w14:paraId="7A3B42D6" w14:textId="77777777" w:rsidTr="005F4771">
        <w:trPr>
          <w:tblHeader/>
          <w:jc w:val="center"/>
        </w:trPr>
        <w:tc>
          <w:tcPr>
            <w:tcW w:w="828" w:type="pct"/>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349D17AC"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p>
        </w:tc>
        <w:tc>
          <w:tcPr>
            <w:tcW w:w="125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A1E29A"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même sexe</w:t>
            </w:r>
            <w:r>
              <w:rPr>
                <w:rFonts w:ascii="Arial" w:eastAsia="Arial" w:hAnsi="Arial" w:cs="Arial"/>
                <w:color w:val="000000"/>
                <w:sz w:val="14"/>
                <w:szCs w:val="14"/>
              </w:rPr>
              <w:br/>
              <w:t>(249)</w:t>
            </w:r>
            <w:r>
              <w:rPr>
                <w:rFonts w:ascii="Arial" w:eastAsia="Arial" w:hAnsi="Arial" w:cs="Arial"/>
                <w:color w:val="000000"/>
                <w:sz w:val="14"/>
                <w:szCs w:val="14"/>
                <w:vertAlign w:val="superscript"/>
              </w:rPr>
              <w:t>1</w:t>
            </w:r>
          </w:p>
        </w:tc>
        <w:tc>
          <w:tcPr>
            <w:tcW w:w="125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7EDB81"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sexe différent</w:t>
            </w:r>
            <w:r>
              <w:rPr>
                <w:rFonts w:ascii="Arial" w:eastAsia="Arial" w:hAnsi="Arial" w:cs="Arial"/>
                <w:color w:val="000000"/>
                <w:sz w:val="14"/>
                <w:szCs w:val="14"/>
              </w:rPr>
              <w:br/>
              <w:t>(189)</w:t>
            </w:r>
            <w:r>
              <w:rPr>
                <w:rFonts w:ascii="Arial" w:eastAsia="Arial" w:hAnsi="Arial" w:cs="Arial"/>
                <w:color w:val="000000"/>
                <w:sz w:val="14"/>
                <w:szCs w:val="14"/>
                <w:vertAlign w:val="superscript"/>
              </w:rPr>
              <w:t>1</w:t>
            </w:r>
          </w:p>
        </w:tc>
        <w:tc>
          <w:tcPr>
            <w:tcW w:w="125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B7A81F"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 en couple</w:t>
            </w:r>
            <w:r>
              <w:rPr>
                <w:rFonts w:ascii="Arial" w:eastAsia="Arial" w:hAnsi="Arial" w:cs="Arial"/>
                <w:color w:val="000000"/>
                <w:sz w:val="14"/>
                <w:szCs w:val="14"/>
              </w:rPr>
              <w:br/>
              <w:t>(1 737)</w:t>
            </w:r>
            <w:r>
              <w:rPr>
                <w:rFonts w:ascii="Arial" w:eastAsia="Arial" w:hAnsi="Arial" w:cs="Arial"/>
                <w:color w:val="000000"/>
                <w:sz w:val="14"/>
                <w:szCs w:val="14"/>
                <w:vertAlign w:val="superscript"/>
              </w:rPr>
              <w:t>1</w:t>
            </w:r>
          </w:p>
        </w:tc>
        <w:tc>
          <w:tcPr>
            <w:tcW w:w="411" w:type="pct"/>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5BB9994F" w14:textId="77777777" w:rsidR="00A232A2" w:rsidRPr="00081294" w:rsidRDefault="00A232A2" w:rsidP="005F4771">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Cs/>
                <w:i/>
                <w:iCs/>
                <w:color w:val="000000"/>
                <w:sz w:val="14"/>
                <w:szCs w:val="14"/>
              </w:rPr>
            </w:pPr>
            <w:r w:rsidRPr="00081294">
              <w:rPr>
                <w:rFonts w:ascii="Arial" w:eastAsia="Arial" w:hAnsi="Arial" w:cs="Arial"/>
                <w:bCs/>
                <w:i/>
                <w:iCs/>
                <w:color w:val="000000"/>
                <w:sz w:val="14"/>
                <w:szCs w:val="14"/>
              </w:rPr>
              <w:t>P-valeur</w:t>
            </w:r>
            <w:r w:rsidRPr="00081294">
              <w:rPr>
                <w:rFonts w:ascii="Arial" w:eastAsia="Arial" w:hAnsi="Arial" w:cs="Arial"/>
                <w:bCs/>
                <w:i/>
                <w:iCs/>
                <w:color w:val="000000"/>
                <w:sz w:val="14"/>
                <w:szCs w:val="14"/>
                <w:vertAlign w:val="superscript"/>
              </w:rPr>
              <w:t>2</w:t>
            </w:r>
          </w:p>
        </w:tc>
      </w:tr>
      <w:tr w:rsidR="00A232A2" w14:paraId="1B259BE7" w14:textId="77777777" w:rsidTr="005F4771">
        <w:trPr>
          <w:jc w:val="center"/>
        </w:trPr>
        <w:tc>
          <w:tcPr>
            <w:tcW w:w="828" w:type="pct"/>
            <w:tcBorders>
              <w:top w:val="single" w:sz="8" w:space="0" w:color="000000"/>
              <w:left w:val="single" w:sz="12" w:space="0" w:color="auto"/>
              <w:right w:val="single" w:sz="4" w:space="0" w:color="auto"/>
            </w:tcBorders>
            <w:shd w:val="clear" w:color="auto" w:fill="FFFFFF"/>
            <w:tcMar>
              <w:top w:w="0" w:type="dxa"/>
              <w:left w:w="0" w:type="dxa"/>
              <w:bottom w:w="0" w:type="dxa"/>
              <w:right w:w="0" w:type="dxa"/>
            </w:tcMar>
          </w:tcPr>
          <w:p w14:paraId="4E801576" w14:textId="77777777" w:rsidR="00A232A2" w:rsidRPr="00081294"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Cs/>
                <w:i/>
                <w:iCs/>
                <w:color w:val="000000"/>
                <w:sz w:val="14"/>
                <w:szCs w:val="14"/>
              </w:rPr>
            </w:pPr>
            <w:r w:rsidRPr="00081294">
              <w:rPr>
                <w:rFonts w:ascii="Arial" w:eastAsia="Arial" w:hAnsi="Arial" w:cs="Arial"/>
                <w:bCs/>
                <w:i/>
                <w:iCs/>
                <w:color w:val="000000"/>
                <w:sz w:val="14"/>
                <w:szCs w:val="14"/>
              </w:rPr>
              <w:t>Mépris des opinions</w:t>
            </w:r>
          </w:p>
        </w:tc>
        <w:tc>
          <w:tcPr>
            <w:tcW w:w="1253"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22C42450"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11,5%</w:t>
            </w:r>
            <w:r>
              <w:rPr>
                <w:rFonts w:ascii="Arial" w:eastAsia="Arial" w:hAnsi="Arial" w:cs="Arial"/>
                <w:color w:val="000000"/>
                <w:sz w:val="14"/>
                <w:szCs w:val="14"/>
              </w:rPr>
              <w:br/>
              <w:t>(28,0)</w:t>
            </w:r>
          </w:p>
        </w:tc>
        <w:tc>
          <w:tcPr>
            <w:tcW w:w="1253"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59B1DFBC"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29,7%</w:t>
            </w:r>
            <w:r>
              <w:rPr>
                <w:rFonts w:ascii="Arial" w:eastAsia="Arial" w:hAnsi="Arial" w:cs="Arial"/>
                <w:color w:val="000000"/>
                <w:sz w:val="14"/>
                <w:szCs w:val="14"/>
              </w:rPr>
              <w:br/>
              <w:t>(54,0)</w:t>
            </w:r>
          </w:p>
        </w:tc>
        <w:tc>
          <w:tcPr>
            <w:tcW w:w="1255"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17E124DD"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12,9%</w:t>
            </w:r>
            <w:r>
              <w:rPr>
                <w:rFonts w:ascii="Arial" w:eastAsia="Arial" w:hAnsi="Arial" w:cs="Arial"/>
                <w:color w:val="000000"/>
                <w:sz w:val="14"/>
                <w:szCs w:val="14"/>
              </w:rPr>
              <w:br/>
              <w:t>(222,0)</w:t>
            </w:r>
          </w:p>
        </w:tc>
        <w:tc>
          <w:tcPr>
            <w:tcW w:w="411" w:type="pct"/>
            <w:tcBorders>
              <w:top w:val="single" w:sz="8"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334FE58A" w14:textId="77777777" w:rsidR="00A232A2" w:rsidRPr="00081294"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14"/>
                <w:szCs w:val="14"/>
              </w:rPr>
            </w:pPr>
            <w:r w:rsidRPr="00081294">
              <w:rPr>
                <w:rFonts w:ascii="Arial" w:eastAsia="Arial" w:hAnsi="Arial" w:cs="Arial"/>
                <w:i/>
                <w:iCs/>
                <w:color w:val="000000"/>
                <w:sz w:val="14"/>
                <w:szCs w:val="14"/>
              </w:rPr>
              <w:t>&lt;0,001</w:t>
            </w:r>
          </w:p>
        </w:tc>
      </w:tr>
      <w:tr w:rsidR="00A232A2" w14:paraId="72B90C80" w14:textId="77777777" w:rsidTr="005F4771">
        <w:trPr>
          <w:jc w:val="center"/>
        </w:trPr>
        <w:tc>
          <w:tcPr>
            <w:tcW w:w="828" w:type="pct"/>
            <w:tcBorders>
              <w:left w:val="single" w:sz="12" w:space="0" w:color="auto"/>
              <w:bottom w:val="single" w:sz="8" w:space="0" w:color="000000"/>
              <w:right w:val="single" w:sz="4" w:space="0" w:color="auto"/>
            </w:tcBorders>
            <w:shd w:val="clear" w:color="auto" w:fill="FFFFFF"/>
            <w:tcMar>
              <w:top w:w="0" w:type="dxa"/>
              <w:left w:w="0" w:type="dxa"/>
              <w:bottom w:w="0" w:type="dxa"/>
              <w:right w:w="0" w:type="dxa"/>
            </w:tcMar>
          </w:tcPr>
          <w:p w14:paraId="0CDAAC50" w14:textId="77777777" w:rsidR="00A232A2" w:rsidRPr="00081294"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Cs/>
                <w:i/>
                <w:iCs/>
                <w:color w:val="000000"/>
                <w:sz w:val="14"/>
                <w:szCs w:val="14"/>
              </w:rPr>
            </w:pPr>
            <w:r w:rsidRPr="00081294">
              <w:rPr>
                <w:rFonts w:ascii="Arial" w:eastAsia="Arial" w:hAnsi="Arial" w:cs="Arial"/>
                <w:bCs/>
                <w:i/>
                <w:iCs/>
                <w:color w:val="000000"/>
                <w:sz w:val="14"/>
                <w:szCs w:val="14"/>
              </w:rPr>
              <w:t>Contrainte à payer toutes les dépenses</w:t>
            </w:r>
          </w:p>
        </w:tc>
        <w:tc>
          <w:tcPr>
            <w:tcW w:w="1253"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3C111FCD"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w:t>
            </w:r>
            <w:r>
              <w:rPr>
                <w:rFonts w:ascii="Arial" w:eastAsia="Arial" w:hAnsi="Arial" w:cs="Arial"/>
                <w:color w:val="000000"/>
                <w:sz w:val="14"/>
                <w:szCs w:val="14"/>
              </w:rPr>
              <w:br/>
              <w:t>(4,0)</w:t>
            </w:r>
          </w:p>
        </w:tc>
        <w:tc>
          <w:tcPr>
            <w:tcW w:w="1253"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77FDD1C9"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4,3%</w:t>
            </w:r>
            <w:r>
              <w:rPr>
                <w:rFonts w:ascii="Arial" w:eastAsia="Arial" w:hAnsi="Arial" w:cs="Arial"/>
                <w:color w:val="000000"/>
                <w:sz w:val="14"/>
                <w:szCs w:val="14"/>
              </w:rPr>
              <w:br/>
              <w:t>(7,0)</w:t>
            </w:r>
          </w:p>
        </w:tc>
        <w:tc>
          <w:tcPr>
            <w:tcW w:w="125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F6615D0"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w:t>
            </w:r>
            <w:r>
              <w:rPr>
                <w:rFonts w:ascii="Arial" w:eastAsia="Arial" w:hAnsi="Arial" w:cs="Arial"/>
                <w:color w:val="000000"/>
                <w:sz w:val="14"/>
                <w:szCs w:val="14"/>
              </w:rPr>
              <w:br/>
              <w:t>(16,0)</w:t>
            </w:r>
          </w:p>
        </w:tc>
        <w:tc>
          <w:tcPr>
            <w:tcW w:w="411" w:type="pct"/>
            <w:tcBorders>
              <w:top w:val="none" w:sz="0" w:space="0" w:color="000000"/>
              <w:left w:val="single" w:sz="4" w:space="0" w:color="auto"/>
              <w:bottom w:val="single" w:sz="8" w:space="0" w:color="000000"/>
              <w:right w:val="single" w:sz="12" w:space="0" w:color="auto"/>
            </w:tcBorders>
            <w:shd w:val="clear" w:color="auto" w:fill="FFFFFF"/>
            <w:tcMar>
              <w:top w:w="0" w:type="dxa"/>
              <w:left w:w="0" w:type="dxa"/>
              <w:bottom w:w="0" w:type="dxa"/>
              <w:right w:w="0" w:type="dxa"/>
            </w:tcMar>
          </w:tcPr>
          <w:p w14:paraId="6A5FA7E6" w14:textId="77777777" w:rsidR="00A232A2" w:rsidRPr="00081294" w:rsidRDefault="00A232A2" w:rsidP="005F477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14"/>
                <w:szCs w:val="14"/>
              </w:rPr>
            </w:pPr>
            <w:r w:rsidRPr="00081294">
              <w:rPr>
                <w:rFonts w:ascii="Arial" w:eastAsia="Arial" w:hAnsi="Arial" w:cs="Arial"/>
                <w:i/>
                <w:iCs/>
                <w:color w:val="000000"/>
                <w:sz w:val="14"/>
                <w:szCs w:val="14"/>
              </w:rPr>
              <w:t>0,005</w:t>
            </w:r>
          </w:p>
        </w:tc>
      </w:tr>
      <w:tr w:rsidR="00A232A2" w14:paraId="2E7CF6D6" w14:textId="77777777" w:rsidTr="005F4771">
        <w:trPr>
          <w:trHeight w:val="1361"/>
          <w:jc w:val="center"/>
        </w:trPr>
        <w:tc>
          <w:tcPr>
            <w:tcW w:w="5000" w:type="pct"/>
            <w:gridSpan w:val="5"/>
            <w:tcBorders>
              <w:top w:val="single" w:sz="8" w:space="0" w:color="000000"/>
              <w:left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4021848F"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entre parenthèses.</w:t>
            </w:r>
          </w:p>
          <w:p w14:paraId="60E737BE" w14:textId="77777777" w:rsidR="00A232A2" w:rsidRPr="00F23351"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 xml:space="preserve">Test </w:t>
            </w:r>
            <w:r>
              <w:rPr>
                <w:rFonts w:ascii="Times New Roman" w:eastAsia="Arial" w:hAnsi="Times New Roman" w:cs="Times New Roman"/>
                <w:color w:val="000000"/>
                <w:sz w:val="14"/>
                <w:szCs w:val="14"/>
              </w:rPr>
              <w:t>de Fisher</w:t>
            </w:r>
            <w:r w:rsidRPr="00F23351">
              <w:rPr>
                <w:rFonts w:ascii="Times New Roman" w:eastAsia="Arial" w:hAnsi="Times New Roman" w:cs="Times New Roman"/>
                <w:color w:val="000000"/>
                <w:sz w:val="14"/>
                <w:szCs w:val="14"/>
              </w:rPr>
              <w:t>.</w:t>
            </w:r>
          </w:p>
          <w:p w14:paraId="21524D0A"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homosexuelles</w:t>
            </w:r>
            <w:r w:rsidRPr="00F23351">
              <w:rPr>
                <w:rFonts w:ascii="Times New Roman" w:eastAsia="Arial" w:hAnsi="Times New Roman" w:cs="Times New Roman"/>
                <w:color w:val="000000"/>
                <w:sz w:val="14"/>
                <w:szCs w:val="14"/>
              </w:rPr>
              <w:t xml:space="preserve"> en couple dans les 12 mois </w:t>
            </w:r>
            <w:r>
              <w:rPr>
                <w:rFonts w:ascii="Times New Roman" w:eastAsia="Arial" w:hAnsi="Times New Roman" w:cs="Times New Roman"/>
                <w:color w:val="000000"/>
                <w:sz w:val="14"/>
                <w:szCs w:val="14"/>
              </w:rPr>
              <w:t>précédant</w:t>
            </w:r>
            <w:r w:rsidRPr="00F23351">
              <w:rPr>
                <w:rFonts w:ascii="Times New Roman" w:eastAsia="Arial" w:hAnsi="Times New Roman" w:cs="Times New Roman"/>
                <w:color w:val="000000"/>
                <w:sz w:val="14"/>
                <w:szCs w:val="14"/>
              </w:rPr>
              <w:t xml:space="preserve"> l'enquête Virage</w:t>
            </w:r>
            <w:r>
              <w:rPr>
                <w:rFonts w:ascii="Times New Roman" w:eastAsia="Arial" w:hAnsi="Times New Roman" w:cs="Times New Roman"/>
                <w:color w:val="000000"/>
                <w:sz w:val="14"/>
                <w:szCs w:val="14"/>
              </w:rPr>
              <w:t xml:space="preserve"> LGBT, âgées de 20 à 69 ans</w:t>
            </w:r>
            <w:r w:rsidRPr="00F23351">
              <w:rPr>
                <w:rFonts w:ascii="Times New Roman" w:eastAsia="Arial" w:hAnsi="Times New Roman" w:cs="Times New Roman"/>
                <w:color w:val="000000"/>
                <w:sz w:val="14"/>
                <w:szCs w:val="14"/>
              </w:rPr>
              <w:t>.</w:t>
            </w:r>
          </w:p>
          <w:p w14:paraId="6D624A61" w14:textId="77777777" w:rsidR="00A232A2" w:rsidRDefault="00A232A2" w:rsidP="005F477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11,5</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de même sexe dans </w:t>
            </w:r>
            <w:r w:rsidRPr="00F23351">
              <w:rPr>
                <w:rFonts w:ascii="Times New Roman" w:eastAsia="Arial" w:hAnsi="Times New Roman" w:cs="Times New Roman"/>
                <w:color w:val="000000"/>
                <w:sz w:val="14"/>
                <w:szCs w:val="14"/>
              </w:rPr>
              <w:t xml:space="preserve">l'enquête Virage </w:t>
            </w:r>
            <w:r>
              <w:rPr>
                <w:rFonts w:ascii="Times New Roman" w:eastAsia="Arial" w:hAnsi="Times New Roman" w:cs="Times New Roman"/>
                <w:color w:val="000000"/>
                <w:sz w:val="14"/>
                <w:szCs w:val="14"/>
              </w:rPr>
              <w:t xml:space="preserve">LGBT </w:t>
            </w:r>
            <w:r w:rsidRPr="00F23351">
              <w:rPr>
                <w:rFonts w:ascii="Times New Roman" w:eastAsia="Arial" w:hAnsi="Times New Roman" w:cs="Times New Roman"/>
                <w:color w:val="000000"/>
                <w:sz w:val="14"/>
                <w:szCs w:val="14"/>
              </w:rPr>
              <w:t xml:space="preserve">déclarent </w:t>
            </w:r>
            <w:r>
              <w:rPr>
                <w:rFonts w:ascii="Times New Roman" w:eastAsia="Arial" w:hAnsi="Times New Roman" w:cs="Times New Roman"/>
                <w:color w:val="000000"/>
                <w:sz w:val="14"/>
                <w:szCs w:val="14"/>
              </w:rPr>
              <w:t xml:space="preserve">au moins un fait de mépris des opinions </w:t>
            </w:r>
            <w:r w:rsidRPr="00F23351">
              <w:rPr>
                <w:rFonts w:ascii="Times New Roman" w:eastAsia="Arial" w:hAnsi="Times New Roman" w:cs="Times New Roman"/>
                <w:color w:val="000000"/>
                <w:sz w:val="14"/>
                <w:szCs w:val="14"/>
              </w:rPr>
              <w:t>dans les 12 mois précédent l'enquête</w:t>
            </w:r>
            <w:r>
              <w:rPr>
                <w:rFonts w:ascii="Times New Roman" w:eastAsia="Arial" w:hAnsi="Times New Roman" w:cs="Times New Roman"/>
                <w:color w:val="000000"/>
                <w:sz w:val="14"/>
                <w:szCs w:val="14"/>
              </w:rPr>
              <w:t xml:space="preserve">. </w:t>
            </w:r>
          </w:p>
          <w:p w14:paraId="6ECC4B98" w14:textId="77777777" w:rsidR="00A232A2" w:rsidRDefault="00A232A2" w:rsidP="005F477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w:t>
            </w:r>
            <w:r>
              <w:rPr>
                <w:rFonts w:ascii="Times New Roman" w:eastAsia="Arial" w:hAnsi="Times New Roman" w:cs="Times New Roman"/>
                <w:color w:val="000000"/>
                <w:sz w:val="14"/>
                <w:szCs w:val="14"/>
              </w:rPr>
              <w:t>LGBT</w:t>
            </w:r>
            <w:r w:rsidRPr="00F23351">
              <w:rPr>
                <w:rFonts w:ascii="Times New Roman" w:eastAsia="Arial" w:hAnsi="Times New Roman" w:cs="Times New Roman"/>
                <w:color w:val="000000"/>
                <w:sz w:val="14"/>
                <w:szCs w:val="14"/>
              </w:rPr>
              <w:t>, Ined, 2015</w:t>
            </w:r>
            <w:r>
              <w:rPr>
                <w:rFonts w:ascii="Times New Roman" w:eastAsia="Arial" w:hAnsi="Times New Roman" w:cs="Times New Roman"/>
                <w:color w:val="000000"/>
                <w:sz w:val="14"/>
                <w:szCs w:val="14"/>
              </w:rPr>
              <w:t>-2016</w:t>
            </w:r>
            <w:r w:rsidRPr="00F23351">
              <w:rPr>
                <w:rFonts w:ascii="Times New Roman" w:eastAsia="Arial" w:hAnsi="Times New Roman" w:cs="Times New Roman"/>
                <w:color w:val="000000"/>
                <w:sz w:val="14"/>
                <w:szCs w:val="14"/>
              </w:rPr>
              <w:t>.</w:t>
            </w:r>
          </w:p>
        </w:tc>
      </w:tr>
    </w:tbl>
    <w:p w14:paraId="0B1649E2" w14:textId="77777777" w:rsidR="00A232A2" w:rsidRPr="004C7E05" w:rsidRDefault="00A232A2" w:rsidP="00A232A2">
      <w:pPr>
        <w:rPr>
          <w:rFonts w:ascii="Times New Roman" w:hAnsi="Times New Roman" w:cs="Times New Roman"/>
          <w:sz w:val="14"/>
          <w:szCs w:val="14"/>
        </w:rPr>
      </w:pPr>
    </w:p>
    <w:p w14:paraId="711D2A48" w14:textId="65D641F8" w:rsidR="00A232A2" w:rsidRPr="00FB64D9" w:rsidRDefault="00A232A2" w:rsidP="00A232A2">
      <w:pPr>
        <w:spacing w:line="360" w:lineRule="auto"/>
        <w:jc w:val="both"/>
        <w:rPr>
          <w:rFonts w:ascii="Times New Roman" w:hAnsi="Times New Roman" w:cs="Times New Roman"/>
        </w:rPr>
      </w:pPr>
      <w:r w:rsidRPr="00FB64D9">
        <w:rPr>
          <w:rFonts w:ascii="Times New Roman" w:hAnsi="Times New Roman" w:cs="Times New Roman"/>
        </w:rPr>
        <w:t xml:space="preserve">La réponse est nette. Une fois les femmes bisexuelles distinguées selon le type de couple, l'écart avec les homosexuelles se concentre presque intégralement chez celles en couple de sexe différent : 29,7 % d'entre elles déclarent le mépris de leurs opinions par leur partenaire, contre 12,9 % des homosexuelles en couple et 11,5 % des bisexuelles en couple de même sexe — un taux quasiment identique à celui des homosexuelles. Le même schéma se retrouve, à moindre échelle, sur la contrainte à payer les dépenses (4,3 % contre 1,0 % et 1,8 %). Ce résultat prolonge directement celui du Chapitre II sur la vulnérabilité conjugale spécifique des bisexuelles en couple avec un homme, observée sur la satisfaction conjugale, le sentiment amoureux, l'intention de rupture et la dépression : il montre qu'elle s'étend également à la déclaration de violence psychologique. </w:t>
      </w:r>
    </w:p>
    <w:p w14:paraId="06EBFB6E" w14:textId="61E8C649" w:rsidR="00A232A2" w:rsidRPr="00FB64D9" w:rsidRDefault="00A232A2" w:rsidP="00A232A2">
      <w:pPr>
        <w:pStyle w:val="NormalWeb"/>
        <w:spacing w:line="360" w:lineRule="auto"/>
        <w:jc w:val="both"/>
      </w:pPr>
      <w:r w:rsidRPr="00FB64D9">
        <w:t xml:space="preserve">Afin de vérifier que ce résultat ne reflète pas simplement un effet plus général de la configuration de genre du couple — les couples hétérosexuels connaîtraient-ils, en population générale, davantage ce type de violence que les couples de femmes, indépendamment de l'orientation sexuelle ? </w:t>
      </w:r>
      <w:r w:rsidR="00D938A6">
        <w:lastRenderedPageBreak/>
        <w:t>N</w:t>
      </w:r>
      <w:r w:rsidRPr="00FB64D9">
        <w:t>ous avons reproduit la même comparaison au sein de l'échantillon Virage PG, en isolant les femmes bisexuelles des hétérosexuelles et en les répartissant selon le type de couple. Le résultat écarte cette hypothèse alternative : parmi les hétérosexuelles en couple avec un homme, seules 5,3 % déclarent du mépris de leurs opinions — un taux proche de celui des bisexuelles en couple de même sexe (5,6 %) et très inférieur à celui des bisexuelles en couple avec un homme (16,3 %). Autrement dit, ce n'est pas la présence d'un partenaire homme en tant que telle qui élève le risque déclaré de ce type de violence — les hétérosexuelles n'y sont pas plus exposées que la moyenne — mais bien la conjonction spécifique d'une identification bisexuelle et d'une relation avec un homme. Ce résultat, obtenu sur des effectifs faibles des deux côtés et donc à interpréter avec prudence, va dans le sens d'une spécificité propre à la situation conjugale des femmes bisexuelles en couple hétéro-apparent, plutôt que d'un simple artefact de la présence masculine dans le couple.</w:t>
      </w:r>
    </w:p>
    <w:p w14:paraId="05D640E4" w14:textId="3110349E" w:rsidR="00C929B1" w:rsidRDefault="00A232A2" w:rsidP="00A232A2">
      <w:pPr>
        <w:pStyle w:val="NormalWeb"/>
        <w:spacing w:line="360" w:lineRule="auto"/>
        <w:jc w:val="both"/>
      </w:pPr>
      <w:r w:rsidRPr="00FB64D9">
        <w:t>Cette convergence entre les deux enquêtes — sur des échantillons, des méthodes de recrutement et des effectifs très différents — renforce la lecture avancée au Chapitre II : le couple hétéro-apparent semble constituer, pour les femmes bisexuelles, un contexte de vulnérabilité spécifique, potentiellement lié à l'invisibilisation de la bisexualité dans ce cadre et à une moindre légitimation de cette identité comme grille de lecture des tensions conjugales, plutôt qu'à un simple effet mécanique du genre du partenaire</w:t>
      </w:r>
      <w:r>
        <w:t xml:space="preserve">. </w:t>
      </w:r>
    </w:p>
    <w:p w14:paraId="55BF53B5" w14:textId="053ED781" w:rsidR="00F70AE5" w:rsidRDefault="00F70AE5" w:rsidP="00A232A2">
      <w:pPr>
        <w:pStyle w:val="NormalWeb"/>
        <w:spacing w:line="360" w:lineRule="auto"/>
        <w:jc w:val="both"/>
      </w:pPr>
      <w:r>
        <w:t xml:space="preserve">Parmi les quatorze </w:t>
      </w:r>
      <w:r w:rsidR="00AD02DE">
        <w:t xml:space="preserve">bisexuelles </w:t>
      </w:r>
      <w:r>
        <w:t>déclarant</w:t>
      </w:r>
      <w:r w:rsidR="00AD02DE">
        <w:t xml:space="preserve"> des violences psychologiques</w:t>
      </w:r>
      <w:r>
        <w:t xml:space="preserve"> en population générale, </w:t>
      </w:r>
      <w:r w:rsidR="00AD02DE">
        <w:t>douze sont en couple ou ont été en couple dans l’année avec un homme et deux sont en couple actuellement avec une femme</w:t>
      </w:r>
      <w:r>
        <w:t xml:space="preserve">. </w:t>
      </w:r>
      <w:r w:rsidR="00AD02DE">
        <w:t>Ces deux bisexuelles en couple de même sexe</w:t>
      </w:r>
      <w:r>
        <w:t xml:space="preserve"> déclarent uniquement des items de violence psychologiques isolés, jamais couplé à de la violence physique ou sexuelle, et </w:t>
      </w:r>
      <w:r w:rsidR="00E24AC5">
        <w:t xml:space="preserve">sur </w:t>
      </w:r>
      <w:r>
        <w:t xml:space="preserve">un seul item à chaque fois : a cessé de parler ou refusé de discuter et non prise en compte des opinions. Aucune conséquence n’est déclarée en termes de dépression, anxiété, peur ou isolement. Une des deux est séparée de sa partenaire et en relation avec un nouveau partenaire depuis un mois au moment de l’enquête. On se rapproche ici plutôt de formes de violences conjugales situationnelles. </w:t>
      </w:r>
      <w:r w:rsidR="00E41EB2">
        <w:t xml:space="preserve">On va le voir en observant les bies déclarantes de violences psychologiques en couple avec un homme, elles cumulent toutes aux moins deux items et plus d’une occurrence, certaines déclarent également de la violence physique ou sexuelle. </w:t>
      </w:r>
    </w:p>
    <w:p w14:paraId="712F25C8" w14:textId="1285B830" w:rsidR="00F70AE5" w:rsidRDefault="00AE0F0F" w:rsidP="00AE0F0F">
      <w:pPr>
        <w:pStyle w:val="NormalWeb"/>
        <w:spacing w:line="360" w:lineRule="auto"/>
        <w:jc w:val="both"/>
      </w:pPr>
      <w:r>
        <w:lastRenderedPageBreak/>
        <w:t xml:space="preserve">Malgré des effectifs plus importants dans la base LGBT, l’analyse statistique de la gravité perçue et des conséquences ne sont pas significatives. </w:t>
      </w:r>
      <w:r w:rsidR="00F70AE5">
        <w:t>Pour prolonger l'analyse</w:t>
      </w:r>
      <w:r>
        <w:t>, nous nous basons sur l</w:t>
      </w:r>
      <w:r w:rsidR="00F70AE5">
        <w:t>es quatorze cas de violence psychologique identifiés en population générale</w:t>
      </w:r>
      <w:r>
        <w:t xml:space="preserve"> et </w:t>
      </w:r>
      <w:r w:rsidR="00F70AE5">
        <w:t xml:space="preserve">procédons à une lecture individu par individu, croisant les dimensions socio-démographiques, conjugales, de parcours sexuel, de santé et le détail des faits déclarés. Cette démarche ne vise pas à produire des statistiques supplémentaires — l'effectif de quatorze personnes reste par construction non généralisable — mais à dépasser le seul constat agrégé pour interroger les mécanismes susceptibles d'expliquer la surdéclaration observée. Cette analyse permet d’observer d’autres indicateurs, comme la gravité déclarée des faits, les conséquences et les contextes de survenue, nécessaires pour comprendre le niveau de contrôle. De plus nous pouvons étudier les liens avec la bisexualité dans chaque profil. </w:t>
      </w:r>
    </w:p>
    <w:p w14:paraId="3485CFEB" w14:textId="77777777" w:rsidR="00A232A2" w:rsidRDefault="00A232A2" w:rsidP="00A232A2">
      <w:pPr>
        <w:pStyle w:val="Titre4"/>
      </w:pPr>
      <w:r>
        <w:t xml:space="preserve">Un effet de l’âge dans la gravité et la déclaration des violences </w:t>
      </w:r>
    </w:p>
    <w:p w14:paraId="0C864CC1" w14:textId="4493D2DB" w:rsidR="00A232A2" w:rsidRDefault="00A232A2" w:rsidP="00A232A2">
      <w:pPr>
        <w:pStyle w:val="NormalWeb"/>
        <w:spacing w:line="360" w:lineRule="auto"/>
        <w:jc w:val="both"/>
      </w:pPr>
      <w:r>
        <w:t>La littérature sur la déclaration des violences souligne classiquement des effets de génération et d’âge dans la propension à nommer et rapporter des faits comme violents (</w:t>
      </w:r>
      <w:proofErr w:type="spellStart"/>
      <w:r>
        <w:t>Bajos</w:t>
      </w:r>
      <w:proofErr w:type="spellEnd"/>
      <w:r w:rsidR="00AA1A08">
        <w:t xml:space="preserve">, </w:t>
      </w:r>
      <w:r>
        <w:t xml:space="preserve">Bozon 2008). On l’a vu dans le premier chapitre, les bisexuelles de Virage sont plus jeunes que les autres groupes. Ici, la présence dans la tranche 20 – 29 ans est quasi identique à celle de l’échantillon bisexuel complet. On observe toutefois une quasi-absence des femmes de 50 ans et plus et une surreprésentation marquée de la tranche 30 – 39 ans. Cette absence des femmes bisexuelles de 50 ans et plus se retrouve dans la littérature examinée par Bermea et al. Pourtant les recherches en </w:t>
      </w:r>
      <w:r w:rsidRPr="008B142A">
        <w:t>santé indiquent que les personnes âgées queer présentent une vulnérabilité accrue aux facteurs prédictifs de la victimisation et de la perpétration de violences conjugales</w:t>
      </w:r>
      <w:r>
        <w:t xml:space="preserve">. </w:t>
      </w:r>
      <w:r w:rsidRPr="008B142A">
        <w:t>Cette génération a été confrontée à une discrimination institutionnalisée accrue et a par conséquent signalé des taux plus élevés d’homophobie intériorisé</w:t>
      </w:r>
      <w:r>
        <w:t>e</w:t>
      </w:r>
      <w:r w:rsidRPr="008B142A">
        <w:t xml:space="preserve">. Ainsi, </w:t>
      </w:r>
      <w:r>
        <w:t xml:space="preserve">elles </w:t>
      </w:r>
      <w:r w:rsidRPr="008B142A">
        <w:t>peuvent être réticentes à solliciter des soins de santé, ce qui se traduit par des occasions manquées de rechercher, de se faire dépister et de recevoir de l’aide en cas de violence conjugale</w:t>
      </w:r>
      <w:r>
        <w:t xml:space="preserve">. </w:t>
      </w:r>
    </w:p>
    <w:p w14:paraId="173B4E8C" w14:textId="4F350198" w:rsidR="00A232A2" w:rsidRDefault="00A232A2" w:rsidP="00A232A2">
      <w:pPr>
        <w:pStyle w:val="NormalWeb"/>
        <w:spacing w:line="360" w:lineRule="auto"/>
        <w:jc w:val="both"/>
      </w:pPr>
      <w:r>
        <w:t>On observe une spécificité chez les enquêtées les plus jeunes, ce sont celles qui déclarent les cas de contrôle conjugal les plus intenses, cohérent avec les recherches qui montrent un surrisque chez les femmes jeunes et avec les résultats sur l’ensemble de l’échantillon en population générale (Brown</w:t>
      </w:r>
      <w:r w:rsidR="00F66574">
        <w:t xml:space="preserve"> et al. 2020</w:t>
      </w:r>
      <w:r>
        <w:t xml:space="preserve">). Trois femmes, âgées de 21 à 25 ans, sans enfant, présentent l'indice de sévérité de violence psychologique le plus élevé de l'ensemble du groupe (« atteintes très graves »). Le </w:t>
      </w:r>
      <w:r>
        <w:lastRenderedPageBreak/>
        <w:t>profil de violence qu'elles décrivent n'est pas celui d'un fait isolé mais d'un faisceau d'actes récurrents et cumulés : exigences répétées, parfois quotidiennes, de rendre compte de ses faits et gestes, lecture du courrier ou des messages sans accord, confiscation d'objets personnels, remarques dévalorisantes sur l'apparence. Cette configuration, où plusieurs registres de contrôle coexistent et se répètent dans le temps, s'apparente aux formes de contrôle coercitif documentées dans la littérature sur les violences conjugales (Stark</w:t>
      </w:r>
      <w:r w:rsidR="00F66574">
        <w:t xml:space="preserve"> 2007 ;</w:t>
      </w:r>
      <w:r>
        <w:t xml:space="preserve"> </w:t>
      </w:r>
      <w:proofErr w:type="spellStart"/>
      <w:r>
        <w:t>Myhill</w:t>
      </w:r>
      <w:proofErr w:type="spellEnd"/>
      <w:r w:rsidR="00F66574">
        <w:t xml:space="preserve"> 2015 ;</w:t>
      </w:r>
      <w:r>
        <w:t xml:space="preserve"> </w:t>
      </w:r>
      <w:proofErr w:type="spellStart"/>
      <w:r>
        <w:t>Hanmer</w:t>
      </w:r>
      <w:proofErr w:type="spellEnd"/>
      <w:r w:rsidR="00F66574">
        <w:t xml:space="preserve"> 1977</w:t>
      </w:r>
      <w:r>
        <w:t xml:space="preserve">). </w:t>
      </w:r>
    </w:p>
    <w:p w14:paraId="594120CF" w14:textId="167B8706" w:rsidR="00A232A2" w:rsidRDefault="00A232A2" w:rsidP="00A232A2">
      <w:pPr>
        <w:pStyle w:val="NormalWeb"/>
        <w:spacing w:line="360" w:lineRule="auto"/>
        <w:jc w:val="both"/>
      </w:pPr>
      <w:r>
        <w:t xml:space="preserve">L'une de ces trois femmes cumule également des violences physiques plusieurs fois par semaine et déclare une dépression ou de l’anxiété ainsi qu'une tentative de suicide. Le fait le plus marquant déclaré est celui du reproche de parler à d’autres personnes. </w:t>
      </w:r>
      <w:r>
        <w:rPr>
          <w:color w:val="000000"/>
        </w:rPr>
        <w:t>Dans les cas de violences conjugales ce n'est pas forcément les violences physiques qui sont considérées comme plus graves, mais parfois les violences psychologiques.</w:t>
      </w:r>
      <w:r>
        <w:t xml:space="preserve"> Elle déclare une altération du contact avec les proches, un sentiment de peur/angoisse donc un profil d’isolement relationnel croissant cohérent avec le contrôle coercitif. Elle déclare 15 partenaires au cours de la vie, hommes et femmes, avec un premier rapport consenti à 19 ans et un rapport non consenti à 10</w:t>
      </w:r>
      <w:r w:rsidR="00AD02DE">
        <w:t xml:space="preserve"> </w:t>
      </w:r>
      <w:r>
        <w:t>ans. On a ici un profil de poly-victimation qui s’échelonne dans le temps puisque les violences commencent dans l’enfance. Ces observations font écho à la surdéclaration des violences familiales par les enquêté∙es LGBT dans Virage (</w:t>
      </w:r>
      <w:proofErr w:type="spellStart"/>
      <w:r>
        <w:t>Trachman</w:t>
      </w:r>
      <w:proofErr w:type="spellEnd"/>
      <w:r>
        <w:t xml:space="preserve">, Lejbowicz 2020). Une autre enquêtée de ce groupe rapporte un conflit sur sa bisexualité. On retrouve certains des facteurs de risques identifiés par la littérature anglophone : détresse psychologique, expériences de discrimination (Bermea </w:t>
      </w:r>
      <w:r w:rsidR="00F66574">
        <w:t xml:space="preserve">et al. </w:t>
      </w:r>
      <w:r>
        <w:t>2018)</w:t>
      </w:r>
      <w:r w:rsidR="00AA1A08">
        <w:t xml:space="preserve"> mais aussi l’exposition antérieure aux violences. </w:t>
      </w:r>
    </w:p>
    <w:p w14:paraId="3172633D" w14:textId="2AD65D91" w:rsidR="00F70AE5" w:rsidRDefault="00FD43A6" w:rsidP="00AD02DE">
      <w:pPr>
        <w:pStyle w:val="Titre4"/>
      </w:pPr>
      <w:r>
        <w:t xml:space="preserve">La place du stigmate bisexuel dans l’exposition aux violences </w:t>
      </w:r>
    </w:p>
    <w:p w14:paraId="2B0EACD6" w14:textId="06D2E164" w:rsidR="00AD02DE" w:rsidRDefault="00FD43A6" w:rsidP="00FD43A6">
      <w:pPr>
        <w:pStyle w:val="NormalWeb"/>
        <w:spacing w:line="360" w:lineRule="auto"/>
        <w:jc w:val="both"/>
      </w:pPr>
      <w:r>
        <w:t xml:space="preserve">Parmi les douze femmes actuellement en couple, onze déclarent que leur conjoint·e connaît leur bisexualité et l'accepte « totalement » ou « plutôt », tant au moment de l'annonce qu'au moment de l'enquête. Deux d'entre elles rapportent un conflit occasionnel avec leur conjoint·e à ce sujet au cours des douze derniers mois, et aucune un conflit régulier. Ce résultat invite à nuancer une importation trop directe du cadre de la bi-négativité conjugale. </w:t>
      </w:r>
      <w:proofErr w:type="spellStart"/>
      <w:r>
        <w:t>Turell</w:t>
      </w:r>
      <w:proofErr w:type="spellEnd"/>
      <w:r>
        <w:t xml:space="preserve">, Brown et Herrmann (2018) identifient la bi-négativité du partenaire comme une des variables les plus significativement associées à la </w:t>
      </w:r>
      <w:r w:rsidR="00AA1A08">
        <w:t>victimation</w:t>
      </w:r>
      <w:r>
        <w:t xml:space="preserve"> dans leur échantillon de personnes bisexuelles étatsuniennes tandis que </w:t>
      </w:r>
      <w:proofErr w:type="spellStart"/>
      <w:r>
        <w:t>Flanders</w:t>
      </w:r>
      <w:proofErr w:type="spellEnd"/>
      <w:r>
        <w:t xml:space="preserve"> et al. (2019) montrent que le stigmate bisexuel explique en partie la sur déclaration de violence </w:t>
      </w:r>
      <w:r>
        <w:lastRenderedPageBreak/>
        <w:t xml:space="preserve">sexuelle et la coercition verbale chez les femmes plurisexuelles. Dans nos cas, la violence subie ne semble pas prendre la forme d'attaques frontales sur l'identité bisexuelle des enquêtées. </w:t>
      </w:r>
    </w:p>
    <w:p w14:paraId="6C641711" w14:textId="3DEABE34" w:rsidR="009A410F" w:rsidRDefault="00FD43A6" w:rsidP="00FD43A6">
      <w:pPr>
        <w:pStyle w:val="NormalWeb"/>
        <w:spacing w:line="360" w:lineRule="auto"/>
        <w:jc w:val="both"/>
      </w:pPr>
      <w:r>
        <w:t xml:space="preserve">Cette déclaration d’acceptation de la bisexualité de la plupart des partenaires ne doit pas nous amener à conclure à une absence de l’identification sexuelle comme facteur de compréhension des expériences de violences. En effet, un instrument d'enquête qui interroge un conflit explicitement nommé comme portant sur l'orientation sexuelle peut sous-capter des formes de violence plus diffuses, où le contrôle et la dévalorisation ne se rattachent pas verbalement à la bisexualité de la victime mais plutôt à des stéréotypes associés à </w:t>
      </w:r>
      <w:r w:rsidR="009A410F">
        <w:t>celle-ci</w:t>
      </w:r>
      <w:r>
        <w:t>. Encore faut-il que la victime puisse lire cette forme de violence comme possiblement liée à son identification. Par exemple, le stéréotype de l’hypersexualité et de l’infidélité des personnes bisexuelles (Klesse</w:t>
      </w:r>
      <w:r w:rsidR="00F66574">
        <w:t xml:space="preserve"> 2018</w:t>
      </w:r>
      <w:r>
        <w:t xml:space="preserve">) peut mener à des conflits et des violences comme le contrôle des sorties, le reproche de voir des ami∙es sans que cette violence puisse être directement liée à la bisexualité. </w:t>
      </w:r>
    </w:p>
    <w:p w14:paraId="778DBD2F" w14:textId="631D714C" w:rsidR="00FD43A6" w:rsidRDefault="009A410F" w:rsidP="00FD43A6">
      <w:pPr>
        <w:pStyle w:val="NormalWeb"/>
        <w:spacing w:line="360" w:lineRule="auto"/>
        <w:jc w:val="both"/>
      </w:pPr>
      <w:r>
        <w:t>De plus, l</w:t>
      </w:r>
      <w:r w:rsidR="00FD43A6">
        <w:t xml:space="preserve">es deux enquêtées rapportant un conflit lié à la bisexualité sont celles de l’échantillon n’étant plus en couple au moment de l’enquête. La fin de la relation pouvant faciliter la reconnaissance et la déclaration à la fois de violences et de conflits spécifiquement liés à l’identification sexuelle. </w:t>
      </w:r>
    </w:p>
    <w:p w14:paraId="4255049C" w14:textId="09363066" w:rsidR="00AD02DE" w:rsidRDefault="009A410F" w:rsidP="00FD43A6">
      <w:pPr>
        <w:pStyle w:val="NormalWeb"/>
        <w:spacing w:line="360" w:lineRule="auto"/>
        <w:jc w:val="both"/>
      </w:pPr>
      <w:r>
        <w:t>Dans Virage LGBT, i</w:t>
      </w:r>
      <w:r w:rsidR="00AD02DE">
        <w:t>l est intéressant de noter que parmi celles déclarant des violences psychologiques se trouvent également l’intégralité des huit bisexuelles de l’échantillon qui déclarent que leur conjoint</w:t>
      </w:r>
      <w:r>
        <w:t>∙e</w:t>
      </w:r>
      <w:r w:rsidR="00AD02DE">
        <w:t xml:space="preserve"> n’est pas au courant de leur bisexualité. Le fait de cacher sa bisexualité à son partenaire semble être corrélé à de la violence psychologique dans le couple. </w:t>
      </w:r>
    </w:p>
    <w:p w14:paraId="3111537C" w14:textId="4CC13811" w:rsidR="00C87C03" w:rsidRDefault="00C87C03" w:rsidP="00FD43A6">
      <w:pPr>
        <w:pStyle w:val="Titre3"/>
      </w:pPr>
      <w:bookmarkStart w:id="12" w:name="_Toc238741954"/>
      <w:r>
        <w:t>Les facteurs de risques associés à la bisexualité</w:t>
      </w:r>
      <w:bookmarkEnd w:id="12"/>
      <w:r>
        <w:t xml:space="preserve"> </w:t>
      </w:r>
    </w:p>
    <w:p w14:paraId="6B9CC833" w14:textId="77777777" w:rsidR="00FD43A6" w:rsidRDefault="00FD43A6" w:rsidP="00FD43A6">
      <w:pPr>
        <w:pStyle w:val="Titre4"/>
      </w:pPr>
      <w:r>
        <w:t xml:space="preserve">Des parcours sexuels précoces et la présence des violences dès l’enfance </w:t>
      </w:r>
    </w:p>
    <w:p w14:paraId="7551AFD1" w14:textId="7B9064BF" w:rsidR="00FD43A6" w:rsidRDefault="00FD43A6" w:rsidP="00FD43A6">
      <w:pPr>
        <w:pStyle w:val="NormalWeb"/>
        <w:spacing w:line="360" w:lineRule="auto"/>
        <w:jc w:val="both"/>
      </w:pPr>
      <w:r>
        <w:t>Deux femmes déclarent avoir subi des violences sévères au sein de leur famille avant l'âge de 18 ans, et ont des parcours sexuels atypiques</w:t>
      </w:r>
      <w:r w:rsidR="009A410F">
        <w:t>.</w:t>
      </w:r>
      <w:r>
        <w:t xml:space="preserve"> </w:t>
      </w:r>
      <w:r w:rsidR="009A410F">
        <w:t>U</w:t>
      </w:r>
      <w:r>
        <w:t xml:space="preserve">ne enquêtée coche plusieurs items du module sur les violences familiales : climat tendu ; hurlements, insultes ; coups, brutalités physiques ; enfermement, séquestration, mise à la porte et attouchements du sexe ou tentative de rapport sexuel forcé. Depuis elle déclare cent partenaires sexuels, hommes et femmes. Elle est en couple non cohabitant depuis six ans et avec des enfants d’une précédente union. Le seul fait de violence déclaré, répété, </w:t>
      </w:r>
      <w:r>
        <w:lastRenderedPageBreak/>
        <w:t>est celui de mépris ou non prise en compte des opinions ayant des répercussions sur un sentiment de colère, une sexualité durablement perturbée et une envie de changer les choses. Ici rien ne nous indique que les violences déclarées sont liées à la bisexualité</w:t>
      </w:r>
      <w:r w:rsidR="009A410F">
        <w:t>. Elle déclare</w:t>
      </w:r>
      <w:r w:rsidR="00EE0B46">
        <w:t xml:space="preserve"> que sa mère l’a </w:t>
      </w:r>
      <w:r w:rsidR="009A410F">
        <w:t xml:space="preserve">incitée à cacher sa bisexualité </w:t>
      </w:r>
      <w:r w:rsidR="00EE0B46">
        <w:t xml:space="preserve">mais son conjoint actuel est au courant et l’accepte « plutôt ». Elle </w:t>
      </w:r>
      <w:r w:rsidR="009A410F">
        <w:t xml:space="preserve">ne déclare pas de conflit lié à la bisexualité dans les 12 derniers mois. </w:t>
      </w:r>
      <w:r w:rsidR="00EE0B46">
        <w:t>La</w:t>
      </w:r>
      <w:r w:rsidR="009A410F">
        <w:t xml:space="preserve"> déclaration d’une non prise en compte des opinions couplée à des </w:t>
      </w:r>
      <w:r>
        <w:t xml:space="preserve">conséquences </w:t>
      </w:r>
      <w:r w:rsidR="009A410F">
        <w:t xml:space="preserve">déclarées </w:t>
      </w:r>
      <w:r>
        <w:t>sur la sexualité indique</w:t>
      </w:r>
      <w:r w:rsidR="009A410F">
        <w:t>nt</w:t>
      </w:r>
      <w:r>
        <w:t xml:space="preserve"> un lien </w:t>
      </w:r>
      <w:r w:rsidR="00EE0B46">
        <w:t>à minima avec les</w:t>
      </w:r>
      <w:r>
        <w:t xml:space="preserve"> pratiques</w:t>
      </w:r>
      <w:r w:rsidR="009A410F">
        <w:t xml:space="preserve"> sexuelles</w:t>
      </w:r>
      <w:r>
        <w:t xml:space="preserve">. </w:t>
      </w:r>
    </w:p>
    <w:p w14:paraId="59D2D83D" w14:textId="77777777" w:rsidR="00FD43A6" w:rsidRDefault="00FD43A6" w:rsidP="00FD43A6">
      <w:pPr>
        <w:pStyle w:val="NormalWeb"/>
        <w:spacing w:line="360" w:lineRule="auto"/>
        <w:jc w:val="both"/>
      </w:pPr>
      <w:r>
        <w:t xml:space="preserve">L’autre enquêtée est en couple depuis seulement un an, non cohabitant, avec un homme de 27 ans son aîné (84 ans contre 57 ans). Elle a des enfants d’une précédente union et déclare douze partenaires au cours de la vie, hommes et femmes. Elle déclare des faits de dévalorisation, des remarques désagréables sur l’apparence, la non prise en compte des opinions, deux à cinq fois dans les douze derniers mois. Ces faits n’ont pas débouché sur une altération de la satisfaction conjugale, ni sur un partage à l’entourage. Elle déclare une consommation d’alcool du conjoint au moment des faits et de manière générale. Elle déclare aussi des pratiques sexuelles forcées dans l’enfance, des insultes, coups et brutalités physiques. </w:t>
      </w:r>
    </w:p>
    <w:p w14:paraId="110CBEED" w14:textId="7F91CF19" w:rsidR="00EE0B46" w:rsidRDefault="00EE0B46" w:rsidP="00FD43A6">
      <w:pPr>
        <w:pStyle w:val="NormalWeb"/>
        <w:spacing w:line="360" w:lineRule="auto"/>
        <w:jc w:val="both"/>
      </w:pPr>
      <w:r>
        <w:t>En ce qui concerne les parcours sexuels et conjugaux, les femmes qui déclarent des violences sexuelles entrent plus précocement dans la sexualité, ont plus de partenaires sexuel∙le∙s et sont moins souvent en couple (</w:t>
      </w:r>
      <w:r w:rsidR="00F66574">
        <w:t>Lejbowicz 2022</w:t>
      </w:r>
      <w:r>
        <w:t>). Si ces trois caractéristiques peuvent être à l’origine d’une plus forte exposition aux violences sexuelles, l’inverse est possible également : l’exposition à ces violences infléchirait des aspects des parcours sexuels et conjugaux</w:t>
      </w:r>
      <w:r w:rsidR="00F66574">
        <w:t xml:space="preserve">. </w:t>
      </w:r>
      <w:r>
        <w:t xml:space="preserve">Les bisexuelles semblent se trouver à l’intersection de ces dynamiques de parcours sexuels et conjugaux : elles déclarent plus de partenaires </w:t>
      </w:r>
      <w:proofErr w:type="spellStart"/>
      <w:r>
        <w:t>sexuel∙les</w:t>
      </w:r>
      <w:proofErr w:type="spellEnd"/>
      <w:r w:rsidR="00636B40">
        <w:t xml:space="preserve"> (</w:t>
      </w:r>
      <w:proofErr w:type="spellStart"/>
      <w:r w:rsidR="00636B40">
        <w:t>Trachman</w:t>
      </w:r>
      <w:proofErr w:type="spellEnd"/>
      <w:r w:rsidR="00636B40">
        <w:t>, Lejbowicz 2020</w:t>
      </w:r>
      <w:r w:rsidR="006F2E40">
        <w:t xml:space="preserve"> ; </w:t>
      </w:r>
      <w:proofErr w:type="spellStart"/>
      <w:r w:rsidR="006F2E40">
        <w:t>Maillochon</w:t>
      </w:r>
      <w:proofErr w:type="spellEnd"/>
      <w:r w:rsidR="00F66574">
        <w:t xml:space="preserve"> 2023</w:t>
      </w:r>
      <w:r w:rsidR="00636B40">
        <w:t>)</w:t>
      </w:r>
      <w:r>
        <w:t>, une entrée plus précoce dans la sexualité et sont moins souvent en couple</w:t>
      </w:r>
      <w:r w:rsidR="00636B40">
        <w:t xml:space="preserve"> que les hétérosexuelles. Ici, les violences observées et fortement déclarées par les bisexuelles sont les violences psychologiques, rendant moins effectif le lien avec les parcours sexuels et conjugaux. Toutefois ces parcours à distance de la norme hétérosexuel disent quelque chose de la capacité à reconnaître et déclarer les violences. </w:t>
      </w:r>
    </w:p>
    <w:p w14:paraId="760D0C0F" w14:textId="763B5C4F" w:rsidR="00C87C03" w:rsidRDefault="00C87C03" w:rsidP="00FD43A6">
      <w:pPr>
        <w:pStyle w:val="Titre4"/>
      </w:pPr>
      <w:r>
        <w:t xml:space="preserve">Vulnérabilité économique et contrôle coercitif </w:t>
      </w:r>
    </w:p>
    <w:p w14:paraId="69CC9CCA" w14:textId="5909ECF4" w:rsidR="00FD43A6" w:rsidRPr="00FD43A6" w:rsidRDefault="00636B40" w:rsidP="00FD43A6">
      <w:pPr>
        <w:pStyle w:val="Textbody"/>
      </w:pPr>
      <w:r>
        <w:t xml:space="preserve">Nous avons mis en avant en chapitre I le fait que les bisexuelles sont 58,1% à déclarer un revenu inférieur à celui de leur conjoint et qu’elles sont 23,2% à déclarer un patrimoine inférieur contre </w:t>
      </w:r>
      <w:r>
        <w:lastRenderedPageBreak/>
        <w:t xml:space="preserve">9,4% des hétérosexuelles. </w:t>
      </w:r>
      <w:r>
        <w:rPr>
          <w:color w:val="000000"/>
        </w:rPr>
        <w:t>Le</w:t>
      </w:r>
      <w:r w:rsidRPr="00636B40">
        <w:rPr>
          <w:color w:val="000000"/>
        </w:rPr>
        <w:t xml:space="preserve"> contrôle coercitif </w:t>
      </w:r>
      <w:r w:rsidR="00250D8A">
        <w:rPr>
          <w:color w:val="000000"/>
        </w:rPr>
        <w:t>peut</w:t>
      </w:r>
      <w:r w:rsidRPr="00636B40">
        <w:rPr>
          <w:color w:val="000000"/>
        </w:rPr>
        <w:t xml:space="preserve"> se mettre en place </w:t>
      </w:r>
      <w:r w:rsidR="00250D8A">
        <w:rPr>
          <w:color w:val="000000"/>
        </w:rPr>
        <w:t xml:space="preserve">du fait d’un </w:t>
      </w:r>
      <w:r w:rsidRPr="00636B40">
        <w:rPr>
          <w:color w:val="000000"/>
        </w:rPr>
        <w:t>ensemble d'inégalités préexist</w:t>
      </w:r>
      <w:r w:rsidR="00250D8A">
        <w:rPr>
          <w:color w:val="000000"/>
        </w:rPr>
        <w:t>antes</w:t>
      </w:r>
      <w:r w:rsidR="00AA1A08">
        <w:rPr>
          <w:color w:val="000000"/>
        </w:rPr>
        <w:t xml:space="preserve"> </w:t>
      </w:r>
      <w:r>
        <w:rPr>
          <w:color w:val="000000"/>
        </w:rPr>
        <w:t xml:space="preserve">: inégalités hommes-femmes, accès aux ressources, inégalités économiques, possibilités symboliques de recours à la force, double standard sexuel. </w:t>
      </w:r>
      <w:r w:rsidR="00AA1A08">
        <w:rPr>
          <w:color w:val="000000"/>
        </w:rPr>
        <w:t>Les</w:t>
      </w:r>
      <w:r>
        <w:rPr>
          <w:color w:val="000000"/>
        </w:rPr>
        <w:t xml:space="preserve"> violences ne se comprennent pas sans </w:t>
      </w:r>
      <w:r w:rsidR="00AA1A08">
        <w:rPr>
          <w:color w:val="000000"/>
        </w:rPr>
        <w:t>leur inscription dans les rapports de genre</w:t>
      </w:r>
      <w:r>
        <w:rPr>
          <w:color w:val="000000"/>
        </w:rPr>
        <w:t xml:space="preserve">. </w:t>
      </w:r>
      <w:r w:rsidR="00250D8A">
        <w:rPr>
          <w:color w:val="000000"/>
        </w:rPr>
        <w:t>Ainsi, les bisexuelles, moins souvent mariées, partageant moins le patrimoine du conjoint et avec des salaires inférieurs sont de fait dans une situation inégale vis-à-vis de leur conjoint. Si les violences ne s'expliquent pas par les appartenances de classe il y a des phénomènes de surexposition aux violences</w:t>
      </w:r>
      <w:r w:rsidR="005852C9">
        <w:rPr>
          <w:color w:val="000000"/>
        </w:rPr>
        <w:t xml:space="preserve"> comme la vulnérabilité économique. </w:t>
      </w:r>
      <w:r w:rsidR="00250D8A">
        <w:rPr>
          <w:color w:val="000000"/>
        </w:rPr>
        <w:t xml:space="preserve"> </w:t>
      </w:r>
    </w:p>
    <w:p w14:paraId="4EDD2CD8" w14:textId="77777777" w:rsidR="00FD43A6" w:rsidRDefault="00FD43A6" w:rsidP="00FD43A6">
      <w:pPr>
        <w:pStyle w:val="Titre4"/>
      </w:pPr>
      <w:r>
        <w:t xml:space="preserve">La bisexualité comme facteur caché dans des cas de violences sans emprise </w:t>
      </w:r>
    </w:p>
    <w:p w14:paraId="160E35A9" w14:textId="0A57D74B" w:rsidR="00FD43A6" w:rsidRDefault="00FD43A6" w:rsidP="00FD43A6">
      <w:pPr>
        <w:pStyle w:val="NormalWeb"/>
        <w:spacing w:line="360" w:lineRule="auto"/>
        <w:jc w:val="both"/>
      </w:pPr>
      <w:r>
        <w:t xml:space="preserve">Un groupe de femmes, en couple depuis une durée </w:t>
      </w:r>
      <w:r w:rsidR="00250D8A">
        <w:t>relativement</w:t>
      </w:r>
      <w:r>
        <w:t xml:space="preserve"> longue (six à trente ans de vie commune), avec enfants, et dont le conjoint accepte « totalement » la bisexualité, déclare également des violences psychologiques, mais de fréquence nettement plus faible que le </w:t>
      </w:r>
      <w:r w:rsidR="00250D8A">
        <w:t>groupe des plus jeunes</w:t>
      </w:r>
      <w:r>
        <w:t xml:space="preserve"> : les actes rapportés, bien que parfois multiples (dévalorisation, hurlements, contrôle du courrier, menace de suicide du conjoint), se limitent systématiquement à une occurrence isolée ou à quelques occurrences au cours de l'année, sans jamais atteindre la récurrence hebdomadaire ou quotidienne observée dans le premier groupe. Trois femmes sur quatre présentent par ailleurs un profil de consommation d'alcool de quatre fois par semaine ou plus, contrastant avec l'absence de ce facteur chez les plus jeunes. Deux d’entre elles déclarent également que le fait le plus marquant (dévalorisation/insultes aux enfants dans un cas et non prise en compte ou mépris des opinions dans l’autre) s’est produit lorsque le conjoint était lui-même sous alcool. On retrouve ici un des facteurs de risque de violence conjugale, c’est-à-dire qui rendent les individus plus vulnérables à la violence conjugale dans les relations (Bermea</w:t>
      </w:r>
      <w:r w:rsidR="00F66574">
        <w:t xml:space="preserve"> et al. 2018</w:t>
      </w:r>
      <w:r>
        <w:t>). Trois d'entre elles jugent néanmoins leur relation actuelle satisfaisante ou très satisfaisante, confirmant le point évoqué en chapitre II d’une non concordance entre satisfaction conjugale et présence de violence (</w:t>
      </w:r>
      <w:r w:rsidR="00F66574">
        <w:t xml:space="preserve">Widmer et al. </w:t>
      </w:r>
      <w:r w:rsidR="00AE7D1D">
        <w:t>2004</w:t>
      </w:r>
      <w:r>
        <w:t xml:space="preserve">). Elles en ont toutes parlé à leur entourage, la seule ne l’ayant pas fait ne déclare pas de répercussions, ni de peur/angoisse, ni de tristesse/déprime, ni d’envie de changer les choses suite au fait le plus grave déclaré. Si les autres déclarent parfois de la colère, une envie de changer les choses ou une séparation momentanée dans le cas de celle avec les enfants, </w:t>
      </w:r>
      <w:r w:rsidR="00250D8A">
        <w:t xml:space="preserve">les violences observées ici relèvent moins du </w:t>
      </w:r>
      <w:r>
        <w:t xml:space="preserve">contrôle coercitif </w:t>
      </w:r>
      <w:r w:rsidR="00250D8A">
        <w:t>que</w:t>
      </w:r>
      <w:r>
        <w:t xml:space="preserve"> dans le premier groupe. </w:t>
      </w:r>
    </w:p>
    <w:p w14:paraId="79954441" w14:textId="08D7E19C" w:rsidR="00250D8A" w:rsidRDefault="00FD43A6" w:rsidP="00FD43A6">
      <w:pPr>
        <w:pStyle w:val="NormalWeb"/>
        <w:spacing w:line="360" w:lineRule="auto"/>
        <w:jc w:val="both"/>
      </w:pPr>
      <w:r>
        <w:lastRenderedPageBreak/>
        <w:t xml:space="preserve">Deux femmes présentent des parcours sexuels atypiques : leur compagnon actuel est leur premier et unique partenaire mais elles déclarent chacune une vingtaine de partenaires sexuels, hommes et femmes. Ces éléments indiquent des formes de relations ouvertes ou alors des pratiques d’infidélité. Ce facteur étant mis en avant comme un des deux facteurs de risque de violence conjugale chez les </w:t>
      </w:r>
      <w:proofErr w:type="spellStart"/>
      <w:r>
        <w:t>biexuel∙les</w:t>
      </w:r>
      <w:proofErr w:type="spellEnd"/>
      <w:r>
        <w:t>, avec l’expérience de bi-négativité</w:t>
      </w:r>
      <w:r w:rsidR="00AE7D1D">
        <w:t xml:space="preserve"> (</w:t>
      </w:r>
      <w:proofErr w:type="spellStart"/>
      <w:r w:rsidR="00AE7D1D">
        <w:t>Turell</w:t>
      </w:r>
      <w:proofErr w:type="spellEnd"/>
      <w:r w:rsidR="00AE7D1D">
        <w:t xml:space="preserve"> et al. 2018)</w:t>
      </w:r>
      <w:r>
        <w:t xml:space="preserve">. </w:t>
      </w:r>
      <w:r w:rsidRPr="00E335CE">
        <w:t>Il convient de noter que</w:t>
      </w:r>
      <w:r>
        <w:t xml:space="preserve"> c’est</w:t>
      </w:r>
      <w:r w:rsidRPr="00E335CE">
        <w:t xml:space="preserve"> l’infidélité en tant que pratique, et non pas seulement en tant que stéréotype, </w:t>
      </w:r>
      <w:r>
        <w:t>qui est</w:t>
      </w:r>
      <w:r w:rsidRPr="00E335CE">
        <w:t xml:space="preserve"> associée à la violence conjugale. </w:t>
      </w:r>
      <w:r>
        <w:t>D’autres études</w:t>
      </w:r>
      <w:r w:rsidRPr="00E335CE">
        <w:t xml:space="preserve"> ont mis en évidence une relation similaire entre l’infidélité et des scores plus élevés de biphobie au sein d’un échantillon de femmes s’identifiant comme bisexuelles. Klesse (2011) analyse l’impact des dynamiques de pouvoir spécifiques aux relations bisexuelles, en particulier la tendance à sur</w:t>
      </w:r>
      <w:r>
        <w:t>-</w:t>
      </w:r>
      <w:r w:rsidRPr="00E335CE">
        <w:t xml:space="preserve">sexualiser cette identité. Cette sexualisation excessive tend à créer une double stigmatisation pour les personnes bisexuelles qui sont </w:t>
      </w:r>
      <w:r>
        <w:t>engagées dans des relations multiples</w:t>
      </w:r>
      <w:r w:rsidRPr="00E335CE">
        <w:t xml:space="preserve">. Étant donné que la littérature suggère que les personnes bisexuelles adoptent également </w:t>
      </w:r>
      <w:r w:rsidR="00250D8A">
        <w:t>plus souvent</w:t>
      </w:r>
      <w:r w:rsidRPr="00E335CE">
        <w:t xml:space="preserve"> des relations ouvertes et/ou polyamoureuses, les interactions complexes entre les stéréotypes, l’expérience vécue et les dynamiques de contrôle en lien avec la violence conjugale semblent être au cœur de </w:t>
      </w:r>
      <w:r>
        <w:t>la compréhension de ces cas</w:t>
      </w:r>
      <w:r w:rsidRPr="00E335CE">
        <w:t xml:space="preserve">. </w:t>
      </w:r>
    </w:p>
    <w:p w14:paraId="3A2D4A0B" w14:textId="05BDAB2F" w:rsidR="00FD43A6" w:rsidRDefault="00D13060" w:rsidP="00FD43A6">
      <w:pPr>
        <w:pStyle w:val="NormalWeb"/>
        <w:spacing w:line="360" w:lineRule="auto"/>
        <w:jc w:val="both"/>
      </w:pPr>
      <w:r>
        <w:t>L</w:t>
      </w:r>
      <w:r w:rsidR="00FD43A6" w:rsidRPr="00E335CE">
        <w:t xml:space="preserve">es personnes bisexuelles </w:t>
      </w:r>
      <w:r w:rsidR="005852C9">
        <w:t xml:space="preserve">sont </w:t>
      </w:r>
      <w:r w:rsidR="00FD43A6" w:rsidRPr="00E335CE">
        <w:t xml:space="preserve">plus souvent </w:t>
      </w:r>
      <w:r w:rsidR="005852C9">
        <w:t xml:space="preserve">engagées </w:t>
      </w:r>
      <w:r w:rsidR="00FD43A6" w:rsidRPr="00E335CE">
        <w:t>dans des relations ouvertes ou polyamoureuses</w:t>
      </w:r>
      <w:r w:rsidR="005852C9">
        <w:t xml:space="preserve">. Ces formes relationnelles </w:t>
      </w:r>
      <w:r>
        <w:t xml:space="preserve">empêchent l’effacement de leur identification, </w:t>
      </w:r>
      <w:r w:rsidR="005852C9">
        <w:t>permettent</w:t>
      </w:r>
      <w:r>
        <w:t xml:space="preserve"> </w:t>
      </w:r>
      <w:r w:rsidR="005852C9">
        <w:t>une certaine</w:t>
      </w:r>
      <w:r>
        <w:t xml:space="preserve"> autonomie et fluidité sexuelle ou encore correspondent à une représentation moins fusionnelle et exclusive du couple. L</w:t>
      </w:r>
      <w:r w:rsidR="00FD43A6" w:rsidRPr="00E335CE">
        <w:t>a pratique</w:t>
      </w:r>
      <w:r>
        <w:t xml:space="preserve"> de ces relations à l’écart de la norme monogame peut engendrer plus de conflits, voire conduire à des dynamiques de contrôle susceptibles </w:t>
      </w:r>
      <w:r w:rsidR="00FD43A6" w:rsidRPr="00E335CE">
        <w:t xml:space="preserve">de se manifester sous la forme de violences conjugales. </w:t>
      </w:r>
      <w:r w:rsidR="00FD43A6">
        <w:t>Il est intéressant de noter que si les personnes déclarant avoir plusieurs relations au moment de l’enquête sont très marginales, le fait de creuser dans les parcours conjugaux et sexuelles des bisexuel∙les fait apparaître des formes supposées de relations ouvertes</w:t>
      </w:r>
      <w:r>
        <w:t xml:space="preserve"> ou des pratiques d’infidélité. </w:t>
      </w:r>
    </w:p>
    <w:p w14:paraId="4BA1F91E" w14:textId="7F19FF05" w:rsidR="00E24AC5" w:rsidRPr="00E24AC5" w:rsidRDefault="00111CB3" w:rsidP="005852C9">
      <w:pPr>
        <w:pStyle w:val="Titre3"/>
      </w:pPr>
      <w:bookmarkStart w:id="13" w:name="_Toc238741955"/>
      <w:r>
        <w:t>La bisexualité dans l’exercice et la perception des violences</w:t>
      </w:r>
      <w:bookmarkEnd w:id="13"/>
    </w:p>
    <w:p w14:paraId="30BFAA31" w14:textId="52A23722" w:rsidR="00111CB3" w:rsidRDefault="005852C9" w:rsidP="00FD43A6">
      <w:pPr>
        <w:pStyle w:val="Titre4"/>
      </w:pPr>
      <w:r>
        <w:t xml:space="preserve">L’exposition et la déclaration des violences </w:t>
      </w:r>
    </w:p>
    <w:p w14:paraId="67F8D2C2" w14:textId="345F9903" w:rsidR="003132FA" w:rsidRDefault="00976850" w:rsidP="00AE7D1D">
      <w:pPr>
        <w:pStyle w:val="Textbody"/>
      </w:pPr>
      <w:r>
        <w:t xml:space="preserve">Questionner l’expérience que font les personnes bisexuelles des violences dans le couple c’est questionner à la fois l’exposition aux violences et les conditions de dicibilité des violences. </w:t>
      </w:r>
      <w:r>
        <w:rPr>
          <w:color w:val="000000"/>
        </w:rPr>
        <w:t xml:space="preserve">La non-déclaration n'est pas nécessairement un silence sur un fait connu, elle peut correspondre à un stade </w:t>
      </w:r>
      <w:r>
        <w:rPr>
          <w:color w:val="000000"/>
        </w:rPr>
        <w:lastRenderedPageBreak/>
        <w:t>où la violence n'est pas encore perçue comme telle (Lejbowicz, 2022).</w:t>
      </w:r>
      <w:r w:rsidR="005852C9">
        <w:t xml:space="preserve"> Elle peut aussi correspondre à une volonté de dissimuler la violence. </w:t>
      </w:r>
      <w:r w:rsidR="00AE7D1D">
        <w:t xml:space="preserve">Notre analyse hybride ne permet pas de trancher entre surexposition des bisexuelles aux violences ou différence de déclaration au sein de la population féminine. </w:t>
      </w:r>
      <w:r w:rsidR="003132FA">
        <w:t>Si la violence conjugale est genrée, elles ne sont si de même nature, ni de même fréquence ou gravité selon le sexe de l’</w:t>
      </w:r>
      <w:proofErr w:type="spellStart"/>
      <w:r w:rsidR="003132FA">
        <w:t>agresseur∙e</w:t>
      </w:r>
      <w:proofErr w:type="spellEnd"/>
      <w:r w:rsidR="005852C9">
        <w:t xml:space="preserve"> et selon </w:t>
      </w:r>
      <w:r w:rsidR="003132FA">
        <w:t xml:space="preserve">les modalités de la vie conjugale (couple cohabitant, avec ou sans enfant). </w:t>
      </w:r>
    </w:p>
    <w:p w14:paraId="3FBC16E1" w14:textId="77777777" w:rsidR="005852C9" w:rsidRDefault="003132FA" w:rsidP="00AE7D1D">
      <w:pPr>
        <w:pStyle w:val="Textbody"/>
      </w:pPr>
      <w:r>
        <w:t>Le cas des bisexuelles est intéressant, leurs configurations conjugales diffèrent des hétérosexuelles même à caractéristiques sociales équivalentes. Elles ont moins souvent des enfants et sont moins souvent mariées. Cette distance à la norme conjugale hétérosexuelle se traduit aussi dans les styles de conjugalités où on observe un rapport moins fusionnel, une moins grande satisfaction conjugale et des relations plus conflictuelles. Il s’avère que les styles de conjugalités observés chez les femmes se déclarant bisexuelles sont accompagnés, pour une partie d’entre elles, de violences conjugales, principalement psychologiques. « </w:t>
      </w:r>
      <w:r w:rsidRPr="003132FA">
        <w:t>Les structurations genrées de la conjugalité et de la sexualité font que la perception des violences conjugales dans des couples de sexes différents varient selon l’identification sexuelle de la victime</w:t>
      </w:r>
      <w:r>
        <w:t xml:space="preserve"> » (Lejbowicz 2022). La distance à la norme hétérosexuelle et conjugale s’accompagne d’une plus grande propension à déclarer des actes violents. </w:t>
      </w:r>
      <w:r w:rsidR="00A03248">
        <w:t>Il est certain que les violences déclarées et les modes de conjugalité sont reliés au genre du partenaire et au fait de se trouver en relation de même sexe ou de sexe différent. Toutefois, les inégalités de genre ne sont pas les seules sources de déséquilibres et de relations de pouvoir au sein des couples. Ainsi,</w:t>
      </w:r>
      <w:r>
        <w:t xml:space="preserve"> nous </w:t>
      </w:r>
      <w:r w:rsidR="00A03248">
        <w:t>maintenons</w:t>
      </w:r>
      <w:r>
        <w:t xml:space="preserve"> que la bisexualité, tant comme identité que comme reflet de pratiques sexuelles, expose à des</w:t>
      </w:r>
      <w:r w:rsidR="00A03248">
        <w:t xml:space="preserve"> problèmes et des</w:t>
      </w:r>
      <w:r>
        <w:t xml:space="preserve"> violences conjugales spécifiques.</w:t>
      </w:r>
      <w:r w:rsidR="00933A22">
        <w:t xml:space="preserve"> </w:t>
      </w:r>
    </w:p>
    <w:p w14:paraId="60DDAF89" w14:textId="638DC032" w:rsidR="00990CA7" w:rsidRDefault="00933A22" w:rsidP="00AE7D1D">
      <w:pPr>
        <w:pStyle w:val="Textbody"/>
      </w:pPr>
      <w:r>
        <w:t>Pour commencer, l’effacement de la bisexualité et sa construction comme une identité transitoire (Klesse 2011), entraîne un manque de communauté de support et un certain isolement. Dans ce contexte il est difficile d</w:t>
      </w:r>
      <w:r w:rsidR="005852C9">
        <w:t xml:space="preserve">’échanger </w:t>
      </w:r>
      <w:r>
        <w:t>sur la construction d’intimités bisexuelles ou de trouver du soutien lors de violences.</w:t>
      </w:r>
      <w:r w:rsidR="003132FA">
        <w:t xml:space="preserve"> </w:t>
      </w:r>
      <w:r w:rsidR="00A03248">
        <w:t xml:space="preserve">Le </w:t>
      </w:r>
      <w:r w:rsidR="00A03248">
        <w:rPr>
          <w:i/>
          <w:iCs/>
        </w:rPr>
        <w:t xml:space="preserve">coming-out </w:t>
      </w:r>
      <w:r w:rsidR="00A03248">
        <w:t xml:space="preserve">au sein du couple est une première expérience, très spécifiquement bisexuelle, pouvant engendrer du rejet, du déni, de la suspicion, voire de la violence. </w:t>
      </w:r>
      <w:r w:rsidR="009A0FEF">
        <w:t xml:space="preserve">Ces violences sont très spécifiques aux situations minoritaires. Si le fait de se dire ou d’apparaître comme lesbienne ou gay dans la famille ou l’espace public peut susciter du rejet, c’est également le cas au sein du couple pour </w:t>
      </w:r>
      <w:proofErr w:type="gramStart"/>
      <w:r w:rsidR="009A0FEF">
        <w:t>les bisexuel</w:t>
      </w:r>
      <w:proofErr w:type="gramEnd"/>
      <w:r w:rsidR="009A0FEF">
        <w:t xml:space="preserve">∙les. L’identification engage aussi un ensemble de questionnements concernant le désir, la nécessité de se dire ou d’être considéré à travers une </w:t>
      </w:r>
      <w:r w:rsidR="009A0FEF">
        <w:lastRenderedPageBreak/>
        <w:t>identification sexuelle (</w:t>
      </w:r>
      <w:proofErr w:type="spellStart"/>
      <w:r w:rsidR="009A0FEF">
        <w:t>Trachman</w:t>
      </w:r>
      <w:proofErr w:type="spellEnd"/>
      <w:r w:rsidR="009A0FEF">
        <w:t xml:space="preserve">, Lejbowicz 2020). On touche ici à la notion de </w:t>
      </w:r>
      <w:proofErr w:type="spellStart"/>
      <w:r w:rsidR="009A0FEF" w:rsidRPr="009A0FEF">
        <w:rPr>
          <w:i/>
          <w:iCs/>
        </w:rPr>
        <w:t>minority</w:t>
      </w:r>
      <w:proofErr w:type="spellEnd"/>
      <w:r w:rsidR="009A0FEF" w:rsidRPr="009A0FEF">
        <w:rPr>
          <w:i/>
          <w:iCs/>
        </w:rPr>
        <w:t xml:space="preserve"> stress</w:t>
      </w:r>
      <w:r w:rsidR="009A0FEF">
        <w:t xml:space="preserve">, évoquée dans plusieurs des études mentionnées sur la bisexualité. Une des violences hétéronormatives est celle du privilège pour les personnes cis et hétérosexuelles de mener une vie cohérente avec les catégories de genre et de sexualité dominantes. </w:t>
      </w:r>
      <w:r w:rsidR="006E733F">
        <w:t xml:space="preserve">Certaines représentations associées à la bisexualité peuvent avoir des impacts très concrets sur les relations. L’idée que la bisexualité n’existe pas ou bien serait une identification provisoire peut inciter à cacher son identification à son partenaire. Quand cette représentation est partagée par le ou la partenaire, la sexualité est niée ou rabaissée au sein même du couple. Ce sont </w:t>
      </w:r>
      <w:r w:rsidR="00990CA7">
        <w:t xml:space="preserve">des formes de violences qui mettent en cause un élément constitutif de soi. Alors que l’intimité conjugale est parfois un lieu de refuge face aux injonctions hétéronormatives, elle peut devenir un énième lieu de violences pour certaines minorités. La bisexualité, si elle peut engendrer une asymétrie relationnelle, n’est qu’un facteur parmi d’autres : les rapports sociaux de genre, d’âge, de classe, de race, de capacité structurent les relations conjugales. </w:t>
      </w:r>
    </w:p>
    <w:p w14:paraId="50FACB05" w14:textId="017EA996" w:rsidR="006E733F" w:rsidRDefault="00933A22" w:rsidP="006E733F">
      <w:pPr>
        <w:pStyle w:val="NormalWeb"/>
        <w:spacing w:line="360" w:lineRule="auto"/>
        <w:jc w:val="both"/>
      </w:pPr>
      <w:r>
        <w:t>L’image des bis comme des personnes obsédées par le sexe</w:t>
      </w:r>
      <w:r w:rsidR="006E733F">
        <w:t>, forcément ouvertes au sexe en groupe</w:t>
      </w:r>
      <w:r w:rsidR="009E4110">
        <w:t xml:space="preserve"> ou</w:t>
      </w:r>
      <w:r>
        <w:t xml:space="preserve"> incapables de monogamie peut </w:t>
      </w:r>
      <w:r w:rsidR="006E733F">
        <w:t xml:space="preserve">aussi </w:t>
      </w:r>
      <w:r w:rsidR="009E4110">
        <w:t xml:space="preserve">engendrer des mécanismes de contrôle, surveillance et méfiance, sans forcément que ces faits soient perçus comme liés à l’identification sexuelle. </w:t>
      </w:r>
      <w:r w:rsidR="006E733F">
        <w:t>D</w:t>
      </w:r>
      <w:r w:rsidR="006E733F">
        <w:t>es recherches qualitatives ont montré que les jeunes femmes bisexuelles rapportent que ces stéréotypes liés à la bisexualité entravent leur capacité à mener efficacement des conversations sur le consentement sexuel (</w:t>
      </w:r>
      <w:proofErr w:type="spellStart"/>
      <w:r w:rsidR="006E733F">
        <w:t>Flanders</w:t>
      </w:r>
      <w:proofErr w:type="spellEnd"/>
      <w:r w:rsidR="006E733F">
        <w:t xml:space="preserve"> et al. 2019). </w:t>
      </w:r>
      <w:r w:rsidR="009E4110">
        <w:t xml:space="preserve">Dans le cas où les personnes bisexuelles </w:t>
      </w:r>
      <w:r w:rsidR="006E733F">
        <w:t>pratiqueraient des relations</w:t>
      </w:r>
      <w:r w:rsidR="009E4110">
        <w:t xml:space="preserve"> non-monogam</w:t>
      </w:r>
      <w:r w:rsidR="006E733F">
        <w:t>es</w:t>
      </w:r>
      <w:r w:rsidR="009E4110">
        <w:t xml:space="preserve"> ou</w:t>
      </w:r>
      <w:r w:rsidR="006E733F">
        <w:t xml:space="preserve"> seraient infidèles</w:t>
      </w:r>
      <w:r w:rsidR="009E4110">
        <w:t xml:space="preserve">, l’identité bisexuelle </w:t>
      </w:r>
      <w:r w:rsidR="006E733F">
        <w:t xml:space="preserve">peut être </w:t>
      </w:r>
      <w:r w:rsidR="009E4110">
        <w:t xml:space="preserve">utilisée pour minimiser </w:t>
      </w:r>
      <w:r w:rsidR="006E733F">
        <w:t xml:space="preserve">certaines </w:t>
      </w:r>
      <w:r w:rsidR="009E4110">
        <w:t>expérience</w:t>
      </w:r>
      <w:r w:rsidR="006E733F">
        <w:t>s</w:t>
      </w:r>
      <w:r w:rsidR="009E4110">
        <w:t xml:space="preserve"> de violence. La supposition</w:t>
      </w:r>
      <w:r w:rsidR="006E733F">
        <w:t>,</w:t>
      </w:r>
      <w:r w:rsidR="009E4110">
        <w:t xml:space="preserve"> répandue dans certains cercles</w:t>
      </w:r>
      <w:r w:rsidR="006E733F">
        <w:t xml:space="preserve">, </w:t>
      </w:r>
      <w:r w:rsidR="009E4110">
        <w:t xml:space="preserve">que les bisexuelles quittent toujours leurs partenaires pour un homme </w:t>
      </w:r>
      <w:r w:rsidR="006E733F">
        <w:t>installe</w:t>
      </w:r>
      <w:r w:rsidR="009E4110">
        <w:t xml:space="preserve"> une suspicion permanente et un contrôle des relations bisexuelles.</w:t>
      </w:r>
      <w:r w:rsidR="006E733F">
        <w:t xml:space="preserve"> </w:t>
      </w:r>
      <w:r w:rsidR="006E733F" w:rsidRPr="00824B13">
        <w:t>Le fait qu’elles soient susceptibles d’avoir un agresseur masculin peut servir de « confirmation » d’une identité hétérosexuelle.</w:t>
      </w:r>
      <w:r w:rsidR="006E733F">
        <w:t xml:space="preserve"> </w:t>
      </w:r>
      <w:r w:rsidR="009E4110" w:rsidRPr="009E4110">
        <w:t>La bi-négativité affecte les relations bisexuelles de multiples manières : directement, en stigmatisant ces relations et en remettant en question leur profondeur et leur valeur ; indirectement, en accroissant le niveau de stress des personnes bisexuelles et en ébranlant leur confiance en elles-mêmes ainsi qu'en la bisexualité comme moteur d'un parcours de vie épanouissant</w:t>
      </w:r>
      <w:r w:rsidR="009E4110">
        <w:t xml:space="preserve"> (Klesse 2011). </w:t>
      </w:r>
    </w:p>
    <w:p w14:paraId="28FB2A5A" w14:textId="404B5C8D" w:rsidR="004619A4" w:rsidRDefault="004619A4" w:rsidP="00AE7D1D">
      <w:pPr>
        <w:pStyle w:val="Textbody"/>
      </w:pPr>
    </w:p>
    <w:p w14:paraId="191CF17E" w14:textId="733C95BD" w:rsidR="005852C9" w:rsidRPr="00AE7D1D" w:rsidRDefault="0038658B" w:rsidP="00AE7D1D">
      <w:pPr>
        <w:pStyle w:val="Textbody"/>
      </w:pPr>
      <w:r>
        <w:lastRenderedPageBreak/>
        <w:t xml:space="preserve">Enfin, la conjugalité ne peut être pensée indépendamment de l’environnement proche des partenaires. Faire accepter des partenaires des deux sexes au cours de la vie à son entourage proche demande un travail spécifique aux personnes bisexuelles. L’entourage familial et amical pouvant interpréter un nouveau partenaire comme la fixation d’une identité hétérosexuelle ou homosexuelle. Les partenaires de sexe opposé seront mieux acceptés par l’entourage familial et hétérosexuel mais peuvent </w:t>
      </w:r>
      <w:r w:rsidR="006E733F">
        <w:t xml:space="preserve">également </w:t>
      </w:r>
      <w:r>
        <w:t xml:space="preserve">éloigner d’un entourage </w:t>
      </w:r>
      <w:r w:rsidR="006E733F">
        <w:t xml:space="preserve">ou d’espaces </w:t>
      </w:r>
      <w:r w:rsidRPr="006E733F">
        <w:rPr>
          <w:i/>
          <w:iCs/>
        </w:rPr>
        <w:t>queer</w:t>
      </w:r>
      <w:r>
        <w:t xml:space="preserve">. </w:t>
      </w:r>
    </w:p>
    <w:p w14:paraId="123FE9F3" w14:textId="6EB5DD95" w:rsidR="0038658B" w:rsidRPr="004A215F" w:rsidRDefault="00111CB3" w:rsidP="004A215F">
      <w:pPr>
        <w:pStyle w:val="Titre4"/>
      </w:pPr>
      <w:r>
        <w:t>L’</w:t>
      </w:r>
      <w:r w:rsidR="00FD43A6">
        <w:t xml:space="preserve">approche par les facteurs de risque </w:t>
      </w:r>
    </w:p>
    <w:p w14:paraId="044CF750" w14:textId="33E5BC11" w:rsidR="0038658B" w:rsidRDefault="0038658B" w:rsidP="004A215F">
      <w:pPr>
        <w:pStyle w:val="NormalWeb"/>
        <w:spacing w:before="180" w:beforeAutospacing="0" w:after="180" w:afterAutospacing="0" w:line="360" w:lineRule="auto"/>
        <w:jc w:val="both"/>
        <w:rPr>
          <w:color w:val="000000"/>
        </w:rPr>
      </w:pPr>
      <w:r>
        <w:rPr>
          <w:color w:val="000000"/>
        </w:rPr>
        <w:t>Une partie des études sur les violences visent à étudier les facteurs de risques,</w:t>
      </w:r>
      <w:r>
        <w:rPr>
          <w:color w:val="000000"/>
        </w:rPr>
        <w:t xml:space="preserve"> c’est-à-dire</w:t>
      </w:r>
      <w:r>
        <w:rPr>
          <w:color w:val="000000"/>
        </w:rPr>
        <w:t xml:space="preserve"> trouver</w:t>
      </w:r>
      <w:r>
        <w:t xml:space="preserve"> </w:t>
      </w:r>
      <w:r>
        <w:rPr>
          <w:color w:val="000000"/>
        </w:rPr>
        <w:t>des causes</w:t>
      </w:r>
      <w:r>
        <w:rPr>
          <w:color w:val="000000"/>
        </w:rPr>
        <w:t xml:space="preserve"> </w:t>
      </w:r>
      <w:r>
        <w:t>qui rendent les individus plus vulnérables à la violence conjugale dans les relations (Bermea et al. 2018).</w:t>
      </w:r>
      <w:r>
        <w:rPr>
          <w:color w:val="000000"/>
        </w:rPr>
        <w:t xml:space="preserve"> </w:t>
      </w:r>
      <w:r w:rsidR="003C7DA3">
        <w:rPr>
          <w:color w:val="000000"/>
        </w:rPr>
        <w:t xml:space="preserve">Ce raisonnement </w:t>
      </w:r>
      <w:r w:rsidR="006E733F">
        <w:rPr>
          <w:color w:val="000000"/>
        </w:rPr>
        <w:t>lié à la</w:t>
      </w:r>
      <w:r w:rsidR="003C7DA3">
        <w:rPr>
          <w:color w:val="000000"/>
        </w:rPr>
        <w:t xml:space="preserve"> santé publique</w:t>
      </w:r>
      <w:r w:rsidR="006E733F">
        <w:rPr>
          <w:color w:val="000000"/>
        </w:rPr>
        <w:t xml:space="preserve"> vise</w:t>
      </w:r>
      <w:r w:rsidR="003C7DA3">
        <w:rPr>
          <w:color w:val="000000"/>
        </w:rPr>
        <w:t xml:space="preserve"> à identifier </w:t>
      </w:r>
      <w:r>
        <w:rPr>
          <w:color w:val="000000"/>
        </w:rPr>
        <w:t xml:space="preserve">ce qui rapproche et ce qui distingue les victimes, les auteurs, les situations de violence. </w:t>
      </w:r>
      <w:r w:rsidR="003C7DA3">
        <w:rPr>
          <w:color w:val="000000"/>
        </w:rPr>
        <w:t>C’est un raisonnement probabiliste qui se demande quelles populations ou individus sont plus à risque que d’autre </w:t>
      </w:r>
      <w:r w:rsidR="004A215F">
        <w:rPr>
          <w:color w:val="000000"/>
        </w:rPr>
        <w:t xml:space="preserve">et donc quels sont les moyens d’actions judiciaires à engager. </w:t>
      </w:r>
      <w:r w:rsidR="003C7DA3">
        <w:rPr>
          <w:color w:val="000000"/>
        </w:rPr>
        <w:t>On cherche à p</w:t>
      </w:r>
      <w:r>
        <w:rPr>
          <w:color w:val="000000"/>
        </w:rPr>
        <w:t xml:space="preserve">révenir les violences et </w:t>
      </w:r>
      <w:r w:rsidR="003C7DA3">
        <w:rPr>
          <w:color w:val="000000"/>
        </w:rPr>
        <w:t xml:space="preserve">à savoir </w:t>
      </w:r>
      <w:r>
        <w:rPr>
          <w:color w:val="000000"/>
        </w:rPr>
        <w:t>sur qui on peut intervenir</w:t>
      </w:r>
      <w:r w:rsidR="003C7DA3">
        <w:rPr>
          <w:color w:val="000000"/>
        </w:rPr>
        <w:t xml:space="preserve">, à la fois chez les victimes et les auteurs. </w:t>
      </w:r>
    </w:p>
    <w:p w14:paraId="71315CB5" w14:textId="5202A0A1" w:rsidR="00B95A4F" w:rsidRDefault="00B95A4F" w:rsidP="004A215F">
      <w:pPr>
        <w:pStyle w:val="NormalWeb"/>
        <w:spacing w:before="180" w:beforeAutospacing="0" w:after="180" w:afterAutospacing="0" w:line="360" w:lineRule="auto"/>
        <w:jc w:val="both"/>
        <w:rPr>
          <w:color w:val="000000"/>
        </w:rPr>
      </w:pPr>
      <w:r>
        <w:rPr>
          <w:color w:val="000000"/>
        </w:rPr>
        <w:t xml:space="preserve">L’approche par les facteurs de risque pose </w:t>
      </w:r>
      <w:r w:rsidR="004A215F">
        <w:rPr>
          <w:color w:val="000000"/>
        </w:rPr>
        <w:t xml:space="preserve">donc </w:t>
      </w:r>
      <w:r>
        <w:rPr>
          <w:color w:val="000000"/>
        </w:rPr>
        <w:t>des questions politiques.</w:t>
      </w:r>
      <w:r w:rsidR="004A215F">
        <w:rPr>
          <w:color w:val="000000"/>
        </w:rPr>
        <w:t xml:space="preserve"> En effet, les</w:t>
      </w:r>
      <w:r w:rsidR="004A215F">
        <w:rPr>
          <w:color w:val="000000"/>
        </w:rPr>
        <w:t xml:space="preserve"> rapport</w:t>
      </w:r>
      <w:r w:rsidR="004A215F">
        <w:rPr>
          <w:color w:val="000000"/>
        </w:rPr>
        <w:t>s</w:t>
      </w:r>
      <w:r w:rsidR="004A215F">
        <w:rPr>
          <w:color w:val="000000"/>
        </w:rPr>
        <w:t xml:space="preserve"> à la police et la justice crée</w:t>
      </w:r>
      <w:r w:rsidR="004A215F">
        <w:rPr>
          <w:color w:val="000000"/>
        </w:rPr>
        <w:t>nt</w:t>
      </w:r>
      <w:r w:rsidR="004A215F">
        <w:rPr>
          <w:color w:val="000000"/>
        </w:rPr>
        <w:t xml:space="preserve"> différentes manières de vivre et de reporter la violence. </w:t>
      </w:r>
      <w:r>
        <w:rPr>
          <w:color w:val="000000"/>
        </w:rPr>
        <w:t xml:space="preserve"> Dès lors la violence de genre ne peut pas se penser en dehors d’autres inégalités. L’évidence de la dénonciation des violences a été questionnée dès le début du féminisme noir dans les années 1980 (</w:t>
      </w:r>
      <w:proofErr w:type="spellStart"/>
      <w:r w:rsidR="004A215F">
        <w:rPr>
          <w:color w:val="000000"/>
        </w:rPr>
        <w:t>Crenshaw</w:t>
      </w:r>
      <w:proofErr w:type="spellEnd"/>
      <w:r w:rsidR="004A215F">
        <w:rPr>
          <w:color w:val="000000"/>
        </w:rPr>
        <w:t xml:space="preserve"> 2005</w:t>
      </w:r>
      <w:r>
        <w:rPr>
          <w:color w:val="000000"/>
        </w:rPr>
        <w:t xml:space="preserve">). Le risque étant parfois de redoubler un discours et des violences racistes. La question se retrouve également dans les minorités queer. Identifier une identification sexuelle comme facteur de risque n’est pas </w:t>
      </w:r>
      <w:r w:rsidR="00BF65A3">
        <w:rPr>
          <w:color w:val="000000"/>
        </w:rPr>
        <w:t>une évidence</w:t>
      </w:r>
      <w:r>
        <w:rPr>
          <w:color w:val="000000"/>
        </w:rPr>
        <w:t>, le surrisque ne touche pas toutes les personnes bisexuelles de la même manière et peut être expliqué par d’autres facteurs</w:t>
      </w:r>
      <w:r w:rsidR="00BF65A3">
        <w:rPr>
          <w:color w:val="000000"/>
        </w:rPr>
        <w:t xml:space="preserve">, économiques notamment. Ce que l’on peut mettre en avant en revanche est que certains facteurs de risque, comme la dépendance économique, l’usage d’alcool ou drogue, la distance à la norme conjugale hétérosexuelle se retrouvent plus souvent dans les parcours des minorités sexuelles. Certains facteurs très contextuels et situationnels enfin peuvent concerner spécifiquement les bisexuel∙les. </w:t>
      </w:r>
    </w:p>
    <w:p w14:paraId="2DA26460" w14:textId="1D0D71F2" w:rsidR="005C61D8" w:rsidRDefault="00111CB3" w:rsidP="00FD43A6">
      <w:pPr>
        <w:pStyle w:val="Titre4"/>
      </w:pPr>
      <w:r>
        <w:t xml:space="preserve">Les </w:t>
      </w:r>
      <w:r w:rsidR="00FD43A6">
        <w:t xml:space="preserve">difficultés à rattacher les violences à la bisexualité </w:t>
      </w:r>
    </w:p>
    <w:p w14:paraId="26FB6D30" w14:textId="5E0D1244" w:rsidR="003C06C6" w:rsidRDefault="004A215F" w:rsidP="003C06C6">
      <w:pPr>
        <w:pStyle w:val="NormalWeb"/>
        <w:spacing w:line="360" w:lineRule="auto"/>
        <w:jc w:val="both"/>
      </w:pPr>
      <w:r>
        <w:t xml:space="preserve">Les observations de quelques profils </w:t>
      </w:r>
      <w:r w:rsidR="003C06C6">
        <w:t xml:space="preserve">dessinent une image plus complexe que celle d'une violence uniformément articulée à la stigmatisation de la bisexualité par le ou la partenaire. Elles suggèrent </w:t>
      </w:r>
      <w:r w:rsidR="003C06C6">
        <w:lastRenderedPageBreak/>
        <w:t xml:space="preserve">plutôt une pluralité de configurations — contrôle coercitif intense chez les plus jeunes, persistance diffuse dans la durée conjugale, cumul avec des violences sexuelles, ou héritage de </w:t>
      </w:r>
      <w:r>
        <w:t>violences</w:t>
      </w:r>
      <w:r w:rsidR="003C06C6">
        <w:t xml:space="preserve"> antérieures au couple — dans lesquelles la bisexualité des enquêtées pourrait davantage opérer comme facteur de vulnérabilité, moins lisible et moins nommé, que comme motif explicite des violences subies.</w:t>
      </w:r>
      <w:r w:rsidR="00F83B4B">
        <w:t xml:space="preserve"> Deux lectures, non exclusives, peuvent être avancées. D'une part, la bisexualité pourrait constituer un facteur de vulnérabilité structurel — moindre lisibilité sociale des violences vécues, moindre accès à un entourage ou une communauté de soutien identifiée comme telle (Bermea</w:t>
      </w:r>
      <w:r w:rsidR="00AE7D1D">
        <w:t xml:space="preserve"> et al. </w:t>
      </w:r>
      <w:r w:rsidR="00F83B4B">
        <w:t>2018) — sans que ce facteur ne s'exprime nécessairement dans le contenu des scènes de violence elles-mêmes. D'autre part, un instrument d'enquête qui interroge un conflit explicitement nommé comme portant sur l'orientation sexuelle peut structurellement sous-capter des formes de violence plus diffuses, où le contrôle et la dévalorisation ne se rattachent pas verbalement à la bisexualité de la victime alors même qu'ils s'inscrivent dans un rapport de domination genré plus large</w:t>
      </w:r>
      <w:r>
        <w:t xml:space="preserve">. </w:t>
      </w:r>
    </w:p>
    <w:p w14:paraId="000250D1" w14:textId="26105EF3" w:rsidR="00FB64D9" w:rsidRDefault="00FB64D9" w:rsidP="00FB64D9">
      <w:pPr>
        <w:pStyle w:val="Titre2"/>
      </w:pPr>
      <w:bookmarkStart w:id="14" w:name="_Toc238741956"/>
      <w:r>
        <w:t>Conclusion</w:t>
      </w:r>
      <w:bookmarkEnd w:id="14"/>
    </w:p>
    <w:p w14:paraId="1CA9BCE4" w14:textId="5DC43A37" w:rsidR="004A215F" w:rsidRPr="000C6E63" w:rsidRDefault="004A215F" w:rsidP="00EE5AFC">
      <w:pPr>
        <w:pStyle w:val="Textbody"/>
      </w:pPr>
      <w:r w:rsidRPr="000C6E63">
        <w:t xml:space="preserve">Ce chapitre s’est limité à l’étude des faits de violences intervenus au cours des douze derniers mois. Il s’agit ici de faits très récents, relevant parfois du conflit, </w:t>
      </w:r>
      <w:r w:rsidR="000C6E63" w:rsidRPr="000C6E63">
        <w:t>parfois d’agressions plus graves et parfois de violence conjugale installée. Les situations de couple étudiées sont également très diverses, certains couples sont très jeunes, parfois en voie de séparation. En effet la mesure des faits de violence au cours des douze derniers mois regroupe des situations diverses qui ne prennent pas le même sens selon les réalités qu’elles recouvrent (</w:t>
      </w:r>
      <w:proofErr w:type="spellStart"/>
      <w:r w:rsidR="000C6E63" w:rsidRPr="000C6E63">
        <w:t>Cavalin</w:t>
      </w:r>
      <w:proofErr w:type="spellEnd"/>
      <w:r w:rsidR="000C6E63" w:rsidRPr="000C6E63">
        <w:t xml:space="preserve"> 2013 ; Brown et al 2020a). </w:t>
      </w:r>
      <w:r w:rsidRPr="000C6E63">
        <w:t xml:space="preserve"> </w:t>
      </w:r>
    </w:p>
    <w:p w14:paraId="4BFA4638" w14:textId="4EAF9C6D" w:rsidR="000C6E63" w:rsidRPr="000C6E63" w:rsidRDefault="000C6E63" w:rsidP="00EE5AFC">
      <w:pPr>
        <w:pStyle w:val="Textbody"/>
      </w:pPr>
      <w:r w:rsidRPr="000C6E63">
        <w:t xml:space="preserve">Le questionnaire ne pose pas de question sur la perpétuation des violences pourtant utile pour questionner les limites du binôme auteur / victime. </w:t>
      </w:r>
      <w:r w:rsidR="000244D8" w:rsidRPr="000C6E63">
        <w:t xml:space="preserve">Le contexte politique, militant et pénal façonne </w:t>
      </w:r>
      <w:r w:rsidR="000244D8">
        <w:t>les</w:t>
      </w:r>
      <w:r w:rsidR="000244D8" w:rsidRPr="000C6E63">
        <w:t xml:space="preserve"> façons de percevoir les situations de violence et la réponse à la violence. </w:t>
      </w:r>
      <w:r w:rsidRPr="000C6E63">
        <w:t xml:space="preserve">Ce binôme </w:t>
      </w:r>
      <w:r w:rsidR="000244D8">
        <w:t xml:space="preserve">auteur / victime </w:t>
      </w:r>
      <w:r w:rsidRPr="000C6E63">
        <w:t>installe une perception individuelle des violences et occulte le fait qu</w:t>
      </w:r>
      <w:r>
        <w:t xml:space="preserve">’une </w:t>
      </w:r>
      <w:r w:rsidRPr="000C6E63">
        <w:t xml:space="preserve">victime peut aussi être auteur et inversement. </w:t>
      </w:r>
      <w:r w:rsidR="000244D8">
        <w:t xml:space="preserve">Pourtant l’étude de </w:t>
      </w:r>
      <w:proofErr w:type="spellStart"/>
      <w:r w:rsidR="000244D8">
        <w:t>Turell</w:t>
      </w:r>
      <w:proofErr w:type="spellEnd"/>
      <w:r w:rsidR="000244D8">
        <w:t>, Brown &amp; Herrmann (2018)</w:t>
      </w:r>
      <w:r w:rsidR="000244D8">
        <w:t xml:space="preserve"> sur </w:t>
      </w:r>
      <w:proofErr w:type="gramStart"/>
      <w:r w:rsidR="000244D8">
        <w:t>les bisexuel</w:t>
      </w:r>
      <w:proofErr w:type="gramEnd"/>
      <w:r w:rsidR="000244D8">
        <w:t xml:space="preserve">∙les montre que les personnes qui déclarent le plus de victimation dont aussi celles qui déclarent le plus de perpétration. </w:t>
      </w:r>
    </w:p>
    <w:p w14:paraId="6A3FFC03" w14:textId="73B6AC67" w:rsidR="00FB64D9" w:rsidRPr="000244D8" w:rsidRDefault="00FB64D9" w:rsidP="00FB64D9">
      <w:pPr>
        <w:pStyle w:val="NormalWeb"/>
        <w:spacing w:line="360" w:lineRule="auto"/>
        <w:jc w:val="both"/>
      </w:pPr>
      <w:r>
        <w:t>Les deux enquêtes convergent vers un même résultat central : la violence conjugale déclarée par les femmes bisexuelles</w:t>
      </w:r>
      <w:r w:rsidR="000244D8">
        <w:t xml:space="preserve"> est principalement psychologique et</w:t>
      </w:r>
      <w:r>
        <w:t xml:space="preserve"> se concentre de façon marquée dans </w:t>
      </w:r>
      <w:r>
        <w:lastRenderedPageBreak/>
        <w:t xml:space="preserve">les configurations de couple </w:t>
      </w:r>
      <w:r w:rsidR="000244D8">
        <w:t>de sexe différent</w:t>
      </w:r>
      <w:r>
        <w:t>. Ce résultat prolonge directement celui du Chapitre II sur les styles de conjugalité et l'évaluation de la qualité des relations : les femmes bisexuelles en couple avec un homme, déjà identifiées comme moins satisfaites, moins souvent amoureuses de leur partenaire, plus enclines à la dépression et à l'intention de rupture, sont également celles qui déclarent le plus de violences conjugales, tous registres confondus.</w:t>
      </w:r>
      <w:r w:rsidR="000244D8">
        <w:t xml:space="preserve"> </w:t>
      </w:r>
      <w:r w:rsidRPr="000244D8">
        <w:t xml:space="preserve">Contrairement à ce que suggérait une partie de la littérature anglo-saxonne centrée sur la bi-négativité explicite du ou de la partenaire, cette violence ne semble que rarement s'articuler frontalement au contenu de l'identité bisexuelle des enquêtées. Elle prend plutôt la forme de mécanismes plus diffus — contrôle relationnel et économique, mépris des opinions, minimisation de la gravité perçue par les victimes elles-mêmes — </w:t>
      </w:r>
      <w:r w:rsidR="000244D8" w:rsidRPr="000244D8">
        <w:t>illustrant une</w:t>
      </w:r>
      <w:r w:rsidRPr="000244D8">
        <w:t xml:space="preserve"> bisexualité opérant comme facteur de vulnérabilité plutôt que comme motif explicite de la violence subie. Cette lecture rejoint les travaux sur l'invisibilisation bisexuelle (Yoshino, 2000 ; Rust, 2002 ; Ochs, 1996) : dans un couple où l'orientation sexuelle de l'</w:t>
      </w:r>
      <w:proofErr w:type="spellStart"/>
      <w:r w:rsidRPr="000244D8">
        <w:t>un·e</w:t>
      </w:r>
      <w:proofErr w:type="spellEnd"/>
      <w:r w:rsidRPr="000244D8">
        <w:t xml:space="preserve"> des partenaires reste peu lisible socialement, voire ignorée du ou de la conjoint·e dans certains cas, les violences subies pourraient être à la fois moins facilement nommées comme telles et moins facilement rattachées à un cadre interprétatif spécifiquement bisexuel.</w:t>
      </w:r>
    </w:p>
    <w:p w14:paraId="6F0565D3" w14:textId="15037CAB" w:rsidR="00AE7D1D" w:rsidRDefault="00AE7D1D" w:rsidP="00AE7D1D">
      <w:pPr>
        <w:pStyle w:val="Titre1"/>
      </w:pPr>
      <w:bookmarkStart w:id="15" w:name="_Toc238741957"/>
      <w:r>
        <w:t>Bibliographie</w:t>
      </w:r>
      <w:bookmarkEnd w:id="15"/>
      <w:r>
        <w:t xml:space="preserve"> </w:t>
      </w:r>
    </w:p>
    <w:p w14:paraId="43AA352E"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Bajos</w:t>
      </w:r>
      <w:proofErr w:type="spellEnd"/>
      <w:r w:rsidRPr="00AE7D1D">
        <w:rPr>
          <w:rFonts w:ascii="Times New Roman" w:eastAsia="Times New Roman" w:hAnsi="Times New Roman" w:cs="Times New Roman"/>
          <w:lang w:eastAsia="fr-FR"/>
        </w:rPr>
        <w:t xml:space="preserve"> Nathalie et </w:t>
      </w:r>
      <w:r w:rsidRPr="00AE7D1D">
        <w:rPr>
          <w:rFonts w:ascii="Times New Roman" w:eastAsia="Times New Roman" w:hAnsi="Times New Roman" w:cs="Times New Roman"/>
          <w:smallCaps/>
          <w:lang w:eastAsia="fr-FR"/>
        </w:rPr>
        <w:t>Bozon</w:t>
      </w:r>
      <w:r w:rsidRPr="00AE7D1D">
        <w:rPr>
          <w:rFonts w:ascii="Times New Roman" w:eastAsia="Times New Roman" w:hAnsi="Times New Roman" w:cs="Times New Roman"/>
          <w:lang w:eastAsia="fr-FR"/>
        </w:rPr>
        <w:t xml:space="preserve"> Michel, 2008, </w:t>
      </w:r>
      <w:r w:rsidRPr="00AE7D1D">
        <w:rPr>
          <w:rFonts w:ascii="Times New Roman" w:eastAsia="Times New Roman" w:hAnsi="Times New Roman" w:cs="Times New Roman"/>
          <w:i/>
          <w:iCs/>
          <w:lang w:eastAsia="fr-FR"/>
        </w:rPr>
        <w:t xml:space="preserve">Enquête sur la sexualité en </w:t>
      </w:r>
      <w:proofErr w:type="gramStart"/>
      <w:r w:rsidRPr="00AE7D1D">
        <w:rPr>
          <w:rFonts w:ascii="Times New Roman" w:eastAsia="Times New Roman" w:hAnsi="Times New Roman" w:cs="Times New Roman"/>
          <w:i/>
          <w:iCs/>
          <w:lang w:eastAsia="fr-FR"/>
        </w:rPr>
        <w:t>France:</w:t>
      </w:r>
      <w:proofErr w:type="gramEnd"/>
      <w:r w:rsidRPr="00AE7D1D">
        <w:rPr>
          <w:rFonts w:ascii="Times New Roman" w:eastAsia="Times New Roman" w:hAnsi="Times New Roman" w:cs="Times New Roman"/>
          <w:i/>
          <w:iCs/>
          <w:lang w:eastAsia="fr-FR"/>
        </w:rPr>
        <w:t xml:space="preserve"> Pratiques, genre et santé</w:t>
      </w:r>
      <w:r w:rsidRPr="00AE7D1D">
        <w:rPr>
          <w:rFonts w:ascii="Times New Roman" w:eastAsia="Times New Roman" w:hAnsi="Times New Roman" w:cs="Times New Roman"/>
          <w:lang w:eastAsia="fr-FR"/>
        </w:rPr>
        <w:t xml:space="preserve">, 1st </w:t>
      </w:r>
      <w:proofErr w:type="spellStart"/>
      <w:r w:rsidRPr="00AE7D1D">
        <w:rPr>
          <w:rFonts w:ascii="Times New Roman" w:eastAsia="Times New Roman" w:hAnsi="Times New Roman" w:cs="Times New Roman"/>
          <w:lang w:eastAsia="fr-FR"/>
        </w:rPr>
        <w:t>ed</w:t>
      </w:r>
      <w:proofErr w:type="spellEnd"/>
      <w:r w:rsidRPr="00AE7D1D">
        <w:rPr>
          <w:rFonts w:ascii="Times New Roman" w:eastAsia="Times New Roman" w:hAnsi="Times New Roman" w:cs="Times New Roman"/>
          <w:lang w:eastAsia="fr-FR"/>
        </w:rPr>
        <w:t>., Paris (9bis, rue Abel Hovelacque 75013), La Découverte (coll. « Hors Collection Social »), 612 p.</w:t>
      </w:r>
    </w:p>
    <w:p w14:paraId="73C6EEEA"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Bermea</w:t>
      </w:r>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Autumn</w:t>
      </w:r>
      <w:proofErr w:type="spellEnd"/>
      <w:r w:rsidRPr="00AE7D1D">
        <w:rPr>
          <w:rFonts w:ascii="Times New Roman" w:eastAsia="Times New Roman" w:hAnsi="Times New Roman" w:cs="Times New Roman"/>
          <w:lang w:eastAsia="fr-FR"/>
        </w:rPr>
        <w:t xml:space="preserve"> M., </w:t>
      </w:r>
      <w:r w:rsidRPr="00AE7D1D">
        <w:rPr>
          <w:rFonts w:ascii="Times New Roman" w:eastAsia="Times New Roman" w:hAnsi="Times New Roman" w:cs="Times New Roman"/>
          <w:smallCaps/>
          <w:lang w:eastAsia="fr-FR"/>
        </w:rPr>
        <w:t xml:space="preserve">Van </w:t>
      </w:r>
      <w:proofErr w:type="spellStart"/>
      <w:r w:rsidRPr="00AE7D1D">
        <w:rPr>
          <w:rFonts w:ascii="Times New Roman" w:eastAsia="Times New Roman" w:hAnsi="Times New Roman" w:cs="Times New Roman"/>
          <w:smallCaps/>
          <w:lang w:eastAsia="fr-FR"/>
        </w:rPr>
        <w:t>Eeden</w:t>
      </w:r>
      <w:proofErr w:type="spellEnd"/>
      <w:r w:rsidRPr="00AE7D1D">
        <w:rPr>
          <w:rFonts w:ascii="Times New Roman" w:eastAsia="Times New Roman" w:hAnsi="Times New Roman" w:cs="Times New Roman"/>
          <w:smallCaps/>
          <w:lang w:eastAsia="fr-FR"/>
        </w:rPr>
        <w:t>-Moorefield</w:t>
      </w:r>
      <w:r w:rsidRPr="00AE7D1D">
        <w:rPr>
          <w:rFonts w:ascii="Times New Roman" w:eastAsia="Times New Roman" w:hAnsi="Times New Roman" w:cs="Times New Roman"/>
          <w:lang w:eastAsia="fr-FR"/>
        </w:rPr>
        <w:t xml:space="preserve"> Brad et </w:t>
      </w:r>
      <w:proofErr w:type="spellStart"/>
      <w:r w:rsidRPr="00AE7D1D">
        <w:rPr>
          <w:rFonts w:ascii="Times New Roman" w:eastAsia="Times New Roman" w:hAnsi="Times New Roman" w:cs="Times New Roman"/>
          <w:smallCaps/>
          <w:lang w:eastAsia="fr-FR"/>
        </w:rPr>
        <w:t>Khaw</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Lyndal</w:t>
      </w:r>
      <w:proofErr w:type="spellEnd"/>
      <w:r w:rsidRPr="00AE7D1D">
        <w:rPr>
          <w:rFonts w:ascii="Times New Roman" w:eastAsia="Times New Roman" w:hAnsi="Times New Roman" w:cs="Times New Roman"/>
          <w:lang w:eastAsia="fr-FR"/>
        </w:rPr>
        <w:t xml:space="preserve">, 2018, « A </w:t>
      </w:r>
      <w:proofErr w:type="spellStart"/>
      <w:r w:rsidRPr="00AE7D1D">
        <w:rPr>
          <w:rFonts w:ascii="Times New Roman" w:eastAsia="Times New Roman" w:hAnsi="Times New Roman" w:cs="Times New Roman"/>
          <w:lang w:eastAsia="fr-FR"/>
        </w:rPr>
        <w:t>Systematic</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Review</w:t>
      </w:r>
      <w:proofErr w:type="spellEnd"/>
      <w:r w:rsidRPr="00AE7D1D">
        <w:rPr>
          <w:rFonts w:ascii="Times New Roman" w:eastAsia="Times New Roman" w:hAnsi="Times New Roman" w:cs="Times New Roman"/>
          <w:lang w:eastAsia="fr-FR"/>
        </w:rPr>
        <w:t xml:space="preserve"> of </w:t>
      </w:r>
      <w:proofErr w:type="spellStart"/>
      <w:r w:rsidRPr="00AE7D1D">
        <w:rPr>
          <w:rFonts w:ascii="Times New Roman" w:eastAsia="Times New Roman" w:hAnsi="Times New Roman" w:cs="Times New Roman"/>
          <w:lang w:eastAsia="fr-FR"/>
        </w:rPr>
        <w:t>Research</w:t>
      </w:r>
      <w:proofErr w:type="spellEnd"/>
      <w:r w:rsidRPr="00AE7D1D">
        <w:rPr>
          <w:rFonts w:ascii="Times New Roman" w:eastAsia="Times New Roman" w:hAnsi="Times New Roman" w:cs="Times New Roman"/>
          <w:lang w:eastAsia="fr-FR"/>
        </w:rPr>
        <w:t xml:space="preserve"> on </w:t>
      </w:r>
      <w:proofErr w:type="spellStart"/>
      <w:r w:rsidRPr="00AE7D1D">
        <w:rPr>
          <w:rFonts w:ascii="Times New Roman" w:eastAsia="Times New Roman" w:hAnsi="Times New Roman" w:cs="Times New Roman"/>
          <w:lang w:eastAsia="fr-FR"/>
        </w:rPr>
        <w:t>Intimate</w:t>
      </w:r>
      <w:proofErr w:type="spellEnd"/>
      <w:r w:rsidRPr="00AE7D1D">
        <w:rPr>
          <w:rFonts w:ascii="Times New Roman" w:eastAsia="Times New Roman" w:hAnsi="Times New Roman" w:cs="Times New Roman"/>
          <w:lang w:eastAsia="fr-FR"/>
        </w:rPr>
        <w:t xml:space="preserve"> Partner Violence </w:t>
      </w:r>
      <w:proofErr w:type="spellStart"/>
      <w:r w:rsidRPr="00AE7D1D">
        <w:rPr>
          <w:rFonts w:ascii="Times New Roman" w:eastAsia="Times New Roman" w:hAnsi="Times New Roman" w:cs="Times New Roman"/>
          <w:lang w:eastAsia="fr-FR"/>
        </w:rPr>
        <w:t>Among</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Women</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Journal of </w:t>
      </w:r>
      <w:proofErr w:type="spellStart"/>
      <w:r w:rsidRPr="00AE7D1D">
        <w:rPr>
          <w:rFonts w:ascii="Times New Roman" w:eastAsia="Times New Roman" w:hAnsi="Times New Roman" w:cs="Times New Roman"/>
          <w:i/>
          <w:iCs/>
          <w:lang w:eastAsia="fr-FR"/>
        </w:rPr>
        <w:t>Bisexuality</w:t>
      </w:r>
      <w:proofErr w:type="spellEnd"/>
      <w:r w:rsidRPr="00AE7D1D">
        <w:rPr>
          <w:rFonts w:ascii="Times New Roman" w:eastAsia="Times New Roman" w:hAnsi="Times New Roman" w:cs="Times New Roman"/>
          <w:lang w:eastAsia="fr-FR"/>
        </w:rPr>
        <w:t>, 2018, vol. 18,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4, p. 399</w:t>
      </w:r>
      <w:r w:rsidRPr="00AE7D1D">
        <w:rPr>
          <w:rFonts w:ascii="Times New Roman" w:eastAsia="Times New Roman" w:hAnsi="Times New Roman" w:cs="Times New Roman"/>
          <w:lang w:eastAsia="fr-FR"/>
        </w:rPr>
        <w:noBreakHyphen/>
        <w:t>424.</w:t>
      </w:r>
    </w:p>
    <w:p w14:paraId="31C8729B"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Brown</w:t>
      </w:r>
      <w:r w:rsidRPr="00AE7D1D">
        <w:rPr>
          <w:rFonts w:ascii="Times New Roman" w:eastAsia="Times New Roman" w:hAnsi="Times New Roman" w:cs="Times New Roman"/>
          <w:lang w:eastAsia="fr-FR"/>
        </w:rPr>
        <w:t xml:space="preserve"> Elizabeth, </w:t>
      </w:r>
      <w:r w:rsidRPr="00AE7D1D">
        <w:rPr>
          <w:rFonts w:ascii="Times New Roman" w:eastAsia="Times New Roman" w:hAnsi="Times New Roman" w:cs="Times New Roman"/>
          <w:smallCaps/>
          <w:lang w:eastAsia="fr-FR"/>
        </w:rPr>
        <w:t>Dupuis</w:t>
      </w:r>
      <w:r w:rsidRPr="00AE7D1D">
        <w:rPr>
          <w:rFonts w:ascii="Times New Roman" w:eastAsia="Times New Roman" w:hAnsi="Times New Roman" w:cs="Times New Roman"/>
          <w:lang w:eastAsia="fr-FR"/>
        </w:rPr>
        <w:t xml:space="preserve"> Justine et </w:t>
      </w:r>
      <w:proofErr w:type="spellStart"/>
      <w:r w:rsidRPr="00AE7D1D">
        <w:rPr>
          <w:rFonts w:ascii="Times New Roman" w:eastAsia="Times New Roman" w:hAnsi="Times New Roman" w:cs="Times New Roman"/>
          <w:smallCaps/>
          <w:lang w:eastAsia="fr-FR"/>
        </w:rPr>
        <w:t>Mazuy</w:t>
      </w:r>
      <w:proofErr w:type="spellEnd"/>
      <w:r w:rsidRPr="00AE7D1D">
        <w:rPr>
          <w:rFonts w:ascii="Times New Roman" w:eastAsia="Times New Roman" w:hAnsi="Times New Roman" w:cs="Times New Roman"/>
          <w:lang w:eastAsia="fr-FR"/>
        </w:rPr>
        <w:t xml:space="preserve"> Magali, 2020a, « Chapitre 5 ■ Au sein du couple, des situations de violence genrées et asymétriques » dans Alice </w:t>
      </w:r>
      <w:proofErr w:type="spellStart"/>
      <w:r w:rsidRPr="00AE7D1D">
        <w:rPr>
          <w:rFonts w:ascii="Times New Roman" w:eastAsia="Times New Roman" w:hAnsi="Times New Roman" w:cs="Times New Roman"/>
          <w:lang w:eastAsia="fr-FR"/>
        </w:rPr>
        <w:t>Debauche</w:t>
      </w:r>
      <w:proofErr w:type="spellEnd"/>
      <w:r w:rsidRPr="00AE7D1D">
        <w:rPr>
          <w:rFonts w:ascii="Times New Roman" w:eastAsia="Times New Roman" w:hAnsi="Times New Roman" w:cs="Times New Roman"/>
          <w:lang w:eastAsia="fr-FR"/>
        </w:rPr>
        <w:t xml:space="preserve"> et Christelle Hamel (</w:t>
      </w:r>
      <w:proofErr w:type="spellStart"/>
      <w:r w:rsidRPr="00AE7D1D">
        <w:rPr>
          <w:rFonts w:ascii="Times New Roman" w:eastAsia="Times New Roman" w:hAnsi="Times New Roman" w:cs="Times New Roman"/>
          <w:lang w:eastAsia="fr-FR"/>
        </w:rPr>
        <w:t>eds</w:t>
      </w:r>
      <w:proofErr w:type="spellEnd"/>
      <w:r w:rsidRPr="00AE7D1D">
        <w:rPr>
          <w:rFonts w:ascii="Times New Roman" w:eastAsia="Times New Roman" w:hAnsi="Times New Roman" w:cs="Times New Roman"/>
          <w:lang w:eastAsia="fr-FR"/>
        </w:rPr>
        <w:t xml:space="preserve">.), </w:t>
      </w:r>
      <w:r w:rsidRPr="00AE7D1D">
        <w:rPr>
          <w:rFonts w:ascii="Times New Roman" w:eastAsia="Times New Roman" w:hAnsi="Times New Roman" w:cs="Times New Roman"/>
          <w:i/>
          <w:iCs/>
          <w:lang w:eastAsia="fr-FR"/>
        </w:rPr>
        <w:t>Violences et rapports de genre : Enquête sur les violences de genre en France</w:t>
      </w:r>
      <w:r w:rsidRPr="00AE7D1D">
        <w:rPr>
          <w:rFonts w:ascii="Times New Roman" w:eastAsia="Times New Roman" w:hAnsi="Times New Roman" w:cs="Times New Roman"/>
          <w:lang w:eastAsia="fr-FR"/>
        </w:rPr>
        <w:t>, Paris, Ined Éditions (coll. « Grandes Enquêtes »), p. 183</w:t>
      </w:r>
      <w:r w:rsidRPr="00AE7D1D">
        <w:rPr>
          <w:rFonts w:ascii="Times New Roman" w:eastAsia="Times New Roman" w:hAnsi="Times New Roman" w:cs="Times New Roman"/>
          <w:lang w:eastAsia="fr-FR"/>
        </w:rPr>
        <w:noBreakHyphen/>
        <w:t>215.</w:t>
      </w:r>
    </w:p>
    <w:p w14:paraId="71E177DA"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lastRenderedPageBreak/>
        <w:t>Brown</w:t>
      </w:r>
      <w:r w:rsidRPr="00AE7D1D">
        <w:rPr>
          <w:rFonts w:ascii="Times New Roman" w:eastAsia="Times New Roman" w:hAnsi="Times New Roman" w:cs="Times New Roman"/>
          <w:lang w:eastAsia="fr-FR"/>
        </w:rPr>
        <w:t xml:space="preserve"> Elizabeth, </w:t>
      </w:r>
      <w:r w:rsidRPr="00AE7D1D">
        <w:rPr>
          <w:rFonts w:ascii="Times New Roman" w:eastAsia="Times New Roman" w:hAnsi="Times New Roman" w:cs="Times New Roman"/>
          <w:smallCaps/>
          <w:lang w:eastAsia="fr-FR"/>
        </w:rPr>
        <w:t>Dupuis</w:t>
      </w:r>
      <w:r w:rsidRPr="00AE7D1D">
        <w:rPr>
          <w:rFonts w:ascii="Times New Roman" w:eastAsia="Times New Roman" w:hAnsi="Times New Roman" w:cs="Times New Roman"/>
          <w:lang w:eastAsia="fr-FR"/>
        </w:rPr>
        <w:t xml:space="preserve"> Justine et </w:t>
      </w:r>
      <w:proofErr w:type="spellStart"/>
      <w:r w:rsidRPr="00AE7D1D">
        <w:rPr>
          <w:rFonts w:ascii="Times New Roman" w:eastAsia="Times New Roman" w:hAnsi="Times New Roman" w:cs="Times New Roman"/>
          <w:smallCaps/>
          <w:lang w:eastAsia="fr-FR"/>
        </w:rPr>
        <w:t>Mazuy</w:t>
      </w:r>
      <w:proofErr w:type="spellEnd"/>
      <w:r w:rsidRPr="00AE7D1D">
        <w:rPr>
          <w:rFonts w:ascii="Times New Roman" w:eastAsia="Times New Roman" w:hAnsi="Times New Roman" w:cs="Times New Roman"/>
          <w:lang w:eastAsia="fr-FR"/>
        </w:rPr>
        <w:t xml:space="preserve"> Magali, 2020b, « Chapitre 6 ■ Parcours conjugaux, violence conjugale et différences de genre » dans Alice </w:t>
      </w:r>
      <w:proofErr w:type="spellStart"/>
      <w:r w:rsidRPr="00AE7D1D">
        <w:rPr>
          <w:rFonts w:ascii="Times New Roman" w:eastAsia="Times New Roman" w:hAnsi="Times New Roman" w:cs="Times New Roman"/>
          <w:lang w:eastAsia="fr-FR"/>
        </w:rPr>
        <w:t>Debauche</w:t>
      </w:r>
      <w:proofErr w:type="spellEnd"/>
      <w:r w:rsidRPr="00AE7D1D">
        <w:rPr>
          <w:rFonts w:ascii="Times New Roman" w:eastAsia="Times New Roman" w:hAnsi="Times New Roman" w:cs="Times New Roman"/>
          <w:lang w:eastAsia="fr-FR"/>
        </w:rPr>
        <w:t xml:space="preserve"> et Christelle Hamel (</w:t>
      </w:r>
      <w:proofErr w:type="spellStart"/>
      <w:r w:rsidRPr="00AE7D1D">
        <w:rPr>
          <w:rFonts w:ascii="Times New Roman" w:eastAsia="Times New Roman" w:hAnsi="Times New Roman" w:cs="Times New Roman"/>
          <w:lang w:eastAsia="fr-FR"/>
        </w:rPr>
        <w:t>eds</w:t>
      </w:r>
      <w:proofErr w:type="spellEnd"/>
      <w:r w:rsidRPr="00AE7D1D">
        <w:rPr>
          <w:rFonts w:ascii="Times New Roman" w:eastAsia="Times New Roman" w:hAnsi="Times New Roman" w:cs="Times New Roman"/>
          <w:lang w:eastAsia="fr-FR"/>
        </w:rPr>
        <w:t xml:space="preserve">.), </w:t>
      </w:r>
      <w:r w:rsidRPr="00AE7D1D">
        <w:rPr>
          <w:rFonts w:ascii="Times New Roman" w:eastAsia="Times New Roman" w:hAnsi="Times New Roman" w:cs="Times New Roman"/>
          <w:i/>
          <w:iCs/>
          <w:lang w:eastAsia="fr-FR"/>
        </w:rPr>
        <w:t>Violences et rapports de genre : Enquête sur les violences de genre en France</w:t>
      </w:r>
      <w:r w:rsidRPr="00AE7D1D">
        <w:rPr>
          <w:rFonts w:ascii="Times New Roman" w:eastAsia="Times New Roman" w:hAnsi="Times New Roman" w:cs="Times New Roman"/>
          <w:lang w:eastAsia="fr-FR"/>
        </w:rPr>
        <w:t>, Paris, Ined Éditions (coll. « Grandes Enquêtes »), p. 223</w:t>
      </w:r>
      <w:r w:rsidRPr="00AE7D1D">
        <w:rPr>
          <w:rFonts w:ascii="Times New Roman" w:eastAsia="Times New Roman" w:hAnsi="Times New Roman" w:cs="Times New Roman"/>
          <w:lang w:eastAsia="fr-FR"/>
        </w:rPr>
        <w:noBreakHyphen/>
        <w:t>259.</w:t>
      </w:r>
    </w:p>
    <w:p w14:paraId="71BFD456"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Cavalin</w:t>
      </w:r>
      <w:proofErr w:type="spellEnd"/>
      <w:r w:rsidRPr="00AE7D1D">
        <w:rPr>
          <w:rFonts w:ascii="Times New Roman" w:eastAsia="Times New Roman" w:hAnsi="Times New Roman" w:cs="Times New Roman"/>
          <w:lang w:eastAsia="fr-FR"/>
        </w:rPr>
        <w:t xml:space="preserve"> Catherine, 2013, « Interroger les femmes et les hommes au sujet des violences conjugales en France et aux États-Unis : entre mesures statistiques et interprétations sociologiques », </w:t>
      </w:r>
      <w:r w:rsidRPr="00AE7D1D">
        <w:rPr>
          <w:rFonts w:ascii="Times New Roman" w:eastAsia="Times New Roman" w:hAnsi="Times New Roman" w:cs="Times New Roman"/>
          <w:i/>
          <w:iCs/>
          <w:lang w:eastAsia="fr-FR"/>
        </w:rPr>
        <w:t>Nouvelles Questions Féministes</w:t>
      </w:r>
      <w:r w:rsidRPr="00AE7D1D">
        <w:rPr>
          <w:rFonts w:ascii="Times New Roman" w:eastAsia="Times New Roman" w:hAnsi="Times New Roman" w:cs="Times New Roman"/>
          <w:lang w:eastAsia="fr-FR"/>
        </w:rPr>
        <w:t>, 2013, vol. 32,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1, p. 64</w:t>
      </w:r>
      <w:r w:rsidRPr="00AE7D1D">
        <w:rPr>
          <w:rFonts w:ascii="Times New Roman" w:eastAsia="Times New Roman" w:hAnsi="Times New Roman" w:cs="Times New Roman"/>
          <w:lang w:eastAsia="fr-FR"/>
        </w:rPr>
        <w:noBreakHyphen/>
        <w:t>76.</w:t>
      </w:r>
    </w:p>
    <w:p w14:paraId="6741E80B"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Chetcuti-Osorovitz</w:t>
      </w:r>
      <w:proofErr w:type="spellEnd"/>
      <w:r w:rsidRPr="00AE7D1D">
        <w:rPr>
          <w:rFonts w:ascii="Times New Roman" w:eastAsia="Times New Roman" w:hAnsi="Times New Roman" w:cs="Times New Roman"/>
          <w:lang w:eastAsia="fr-FR"/>
        </w:rPr>
        <w:t xml:space="preserve"> Natacha et </w:t>
      </w:r>
      <w:proofErr w:type="spellStart"/>
      <w:r w:rsidRPr="00AE7D1D">
        <w:rPr>
          <w:rFonts w:ascii="Times New Roman" w:eastAsia="Times New Roman" w:hAnsi="Times New Roman" w:cs="Times New Roman"/>
          <w:smallCaps/>
          <w:lang w:eastAsia="fr-FR"/>
        </w:rPr>
        <w:t>Jaspard</w:t>
      </w:r>
      <w:proofErr w:type="spellEnd"/>
      <w:r w:rsidRPr="00AE7D1D">
        <w:rPr>
          <w:rFonts w:ascii="Times New Roman" w:eastAsia="Times New Roman" w:hAnsi="Times New Roman" w:cs="Times New Roman"/>
          <w:lang w:eastAsia="fr-FR"/>
        </w:rPr>
        <w:t xml:space="preserve"> Maryse, 2007, </w:t>
      </w:r>
      <w:r w:rsidRPr="00AE7D1D">
        <w:rPr>
          <w:rFonts w:ascii="Times New Roman" w:eastAsia="Times New Roman" w:hAnsi="Times New Roman" w:cs="Times New Roman"/>
          <w:i/>
          <w:iCs/>
          <w:lang w:eastAsia="fr-FR"/>
        </w:rPr>
        <w:t xml:space="preserve">Violences envers les </w:t>
      </w:r>
      <w:proofErr w:type="gramStart"/>
      <w:r w:rsidRPr="00AE7D1D">
        <w:rPr>
          <w:rFonts w:ascii="Times New Roman" w:eastAsia="Times New Roman" w:hAnsi="Times New Roman" w:cs="Times New Roman"/>
          <w:i/>
          <w:iCs/>
          <w:lang w:eastAsia="fr-FR"/>
        </w:rPr>
        <w:t>femmes:</w:t>
      </w:r>
      <w:proofErr w:type="gramEnd"/>
      <w:r w:rsidRPr="00AE7D1D">
        <w:rPr>
          <w:rFonts w:ascii="Times New Roman" w:eastAsia="Times New Roman" w:hAnsi="Times New Roman" w:cs="Times New Roman"/>
          <w:i/>
          <w:iCs/>
          <w:lang w:eastAsia="fr-FR"/>
        </w:rPr>
        <w:t xml:space="preserve"> trois pas en avant deux pas en arrière</w:t>
      </w:r>
      <w:r w:rsidRPr="00AE7D1D">
        <w:rPr>
          <w:rFonts w:ascii="Times New Roman" w:eastAsia="Times New Roman" w:hAnsi="Times New Roman" w:cs="Times New Roman"/>
          <w:lang w:eastAsia="fr-FR"/>
        </w:rPr>
        <w:t xml:space="preserve">, Paris, </w:t>
      </w:r>
      <w:proofErr w:type="spellStart"/>
      <w:r w:rsidRPr="00AE7D1D">
        <w:rPr>
          <w:rFonts w:ascii="Times New Roman" w:eastAsia="Times New Roman" w:hAnsi="Times New Roman" w:cs="Times New Roman"/>
          <w:lang w:eastAsia="fr-FR"/>
        </w:rPr>
        <w:t>l’Harmattan</w:t>
      </w:r>
      <w:proofErr w:type="spellEnd"/>
      <w:r w:rsidRPr="00AE7D1D">
        <w:rPr>
          <w:rFonts w:ascii="Times New Roman" w:eastAsia="Times New Roman" w:hAnsi="Times New Roman" w:cs="Times New Roman"/>
          <w:lang w:eastAsia="fr-FR"/>
        </w:rPr>
        <w:t xml:space="preserve"> (coll. « Bibliothèque du féminisme »), 319 p.</w:t>
      </w:r>
    </w:p>
    <w:p w14:paraId="666FD120"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Crenshaw</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Kimberlé</w:t>
      </w:r>
      <w:proofErr w:type="spellEnd"/>
      <w:r w:rsidRPr="00AE7D1D">
        <w:rPr>
          <w:rFonts w:ascii="Times New Roman" w:eastAsia="Times New Roman" w:hAnsi="Times New Roman" w:cs="Times New Roman"/>
          <w:lang w:eastAsia="fr-FR"/>
        </w:rPr>
        <w:t xml:space="preserve"> W., 2005, « Cartographies des marges : intersectionnalité, politique de l’identité et violences contre les femmes de couleur », </w:t>
      </w:r>
      <w:r w:rsidRPr="00AE7D1D">
        <w:rPr>
          <w:rFonts w:ascii="Times New Roman" w:eastAsia="Times New Roman" w:hAnsi="Times New Roman" w:cs="Times New Roman"/>
          <w:i/>
          <w:iCs/>
          <w:lang w:eastAsia="fr-FR"/>
        </w:rPr>
        <w:t>Cahiers du Genre</w:t>
      </w:r>
      <w:r w:rsidRPr="00AE7D1D">
        <w:rPr>
          <w:rFonts w:ascii="Times New Roman" w:eastAsia="Times New Roman" w:hAnsi="Times New Roman" w:cs="Times New Roman"/>
          <w:lang w:eastAsia="fr-FR"/>
        </w:rPr>
        <w:t xml:space="preserve">, traduit par </w:t>
      </w:r>
      <w:proofErr w:type="spellStart"/>
      <w:r w:rsidRPr="00AE7D1D">
        <w:rPr>
          <w:rFonts w:ascii="Times New Roman" w:eastAsia="Times New Roman" w:hAnsi="Times New Roman" w:cs="Times New Roman"/>
          <w:lang w:eastAsia="fr-FR"/>
        </w:rPr>
        <w:t>Oristelle</w:t>
      </w:r>
      <w:proofErr w:type="spellEnd"/>
      <w:r w:rsidRPr="00AE7D1D">
        <w:rPr>
          <w:rFonts w:ascii="Times New Roman" w:eastAsia="Times New Roman" w:hAnsi="Times New Roman" w:cs="Times New Roman"/>
          <w:lang w:eastAsia="fr-FR"/>
        </w:rPr>
        <w:t xml:space="preserve"> Bonis, 2005, vol. 39,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2, p. 51</w:t>
      </w:r>
      <w:r w:rsidRPr="00AE7D1D">
        <w:rPr>
          <w:rFonts w:ascii="Times New Roman" w:eastAsia="Times New Roman" w:hAnsi="Times New Roman" w:cs="Times New Roman"/>
          <w:lang w:eastAsia="fr-FR"/>
        </w:rPr>
        <w:noBreakHyphen/>
        <w:t>82.</w:t>
      </w:r>
    </w:p>
    <w:p w14:paraId="6AB69E60"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Flanders</w:t>
      </w:r>
      <w:proofErr w:type="spellEnd"/>
      <w:r w:rsidRPr="00AE7D1D">
        <w:rPr>
          <w:rFonts w:ascii="Times New Roman" w:eastAsia="Times New Roman" w:hAnsi="Times New Roman" w:cs="Times New Roman"/>
          <w:lang w:eastAsia="fr-FR"/>
        </w:rPr>
        <w:t xml:space="preserve"> Corey E., </w:t>
      </w:r>
      <w:r w:rsidRPr="00AE7D1D">
        <w:rPr>
          <w:rFonts w:ascii="Times New Roman" w:eastAsia="Times New Roman" w:hAnsi="Times New Roman" w:cs="Times New Roman"/>
          <w:smallCaps/>
          <w:lang w:eastAsia="fr-FR"/>
        </w:rPr>
        <w:t>Anderson</w:t>
      </w:r>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RaeAnn</w:t>
      </w:r>
      <w:proofErr w:type="spellEnd"/>
      <w:r w:rsidRPr="00AE7D1D">
        <w:rPr>
          <w:rFonts w:ascii="Times New Roman" w:eastAsia="Times New Roman" w:hAnsi="Times New Roman" w:cs="Times New Roman"/>
          <w:lang w:eastAsia="fr-FR"/>
        </w:rPr>
        <w:t xml:space="preserve"> E., </w:t>
      </w:r>
      <w:proofErr w:type="spellStart"/>
      <w:r w:rsidRPr="00AE7D1D">
        <w:rPr>
          <w:rFonts w:ascii="Times New Roman" w:eastAsia="Times New Roman" w:hAnsi="Times New Roman" w:cs="Times New Roman"/>
          <w:smallCaps/>
          <w:lang w:eastAsia="fr-FR"/>
        </w:rPr>
        <w:t>Tarasoff</w:t>
      </w:r>
      <w:proofErr w:type="spellEnd"/>
      <w:r w:rsidRPr="00AE7D1D">
        <w:rPr>
          <w:rFonts w:ascii="Times New Roman" w:eastAsia="Times New Roman" w:hAnsi="Times New Roman" w:cs="Times New Roman"/>
          <w:lang w:eastAsia="fr-FR"/>
        </w:rPr>
        <w:t xml:space="preserve"> Lesley A. et </w:t>
      </w:r>
      <w:r w:rsidRPr="00AE7D1D">
        <w:rPr>
          <w:rFonts w:ascii="Times New Roman" w:eastAsia="Times New Roman" w:hAnsi="Times New Roman" w:cs="Times New Roman"/>
          <w:smallCaps/>
          <w:lang w:eastAsia="fr-FR"/>
        </w:rPr>
        <w:t>Robinson</w:t>
      </w:r>
      <w:r w:rsidRPr="00AE7D1D">
        <w:rPr>
          <w:rFonts w:ascii="Times New Roman" w:eastAsia="Times New Roman" w:hAnsi="Times New Roman" w:cs="Times New Roman"/>
          <w:lang w:eastAsia="fr-FR"/>
        </w:rPr>
        <w:t xml:space="preserve"> Margaret, 2019, «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Stigma, </w:t>
      </w:r>
      <w:proofErr w:type="spellStart"/>
      <w:r w:rsidRPr="00AE7D1D">
        <w:rPr>
          <w:rFonts w:ascii="Times New Roman" w:eastAsia="Times New Roman" w:hAnsi="Times New Roman" w:cs="Times New Roman"/>
          <w:lang w:eastAsia="fr-FR"/>
        </w:rPr>
        <w:t>Sexual</w:t>
      </w:r>
      <w:proofErr w:type="spellEnd"/>
      <w:r w:rsidRPr="00AE7D1D">
        <w:rPr>
          <w:rFonts w:ascii="Times New Roman" w:eastAsia="Times New Roman" w:hAnsi="Times New Roman" w:cs="Times New Roman"/>
          <w:lang w:eastAsia="fr-FR"/>
        </w:rPr>
        <w:t xml:space="preserve"> Violence, and </w:t>
      </w:r>
      <w:proofErr w:type="spellStart"/>
      <w:r w:rsidRPr="00AE7D1D">
        <w:rPr>
          <w:rFonts w:ascii="Times New Roman" w:eastAsia="Times New Roman" w:hAnsi="Times New Roman" w:cs="Times New Roman"/>
          <w:lang w:eastAsia="fr-FR"/>
        </w:rPr>
        <w:t>Sexual</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Health</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Among</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and </w:t>
      </w:r>
      <w:proofErr w:type="spellStart"/>
      <w:r w:rsidRPr="00AE7D1D">
        <w:rPr>
          <w:rFonts w:ascii="Times New Roman" w:eastAsia="Times New Roman" w:hAnsi="Times New Roman" w:cs="Times New Roman"/>
          <w:lang w:eastAsia="fr-FR"/>
        </w:rPr>
        <w:t>Other</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Plurisexual</w:t>
      </w:r>
      <w:proofErr w:type="spellEnd"/>
      <w:r w:rsidRPr="00AE7D1D">
        <w:rPr>
          <w:rFonts w:ascii="Times New Roman" w:eastAsia="Times New Roman" w:hAnsi="Times New Roman" w:cs="Times New Roman"/>
          <w:lang w:eastAsia="fr-FR"/>
        </w:rPr>
        <w:t xml:space="preserve"> </w:t>
      </w:r>
      <w:proofErr w:type="spellStart"/>
      <w:proofErr w:type="gramStart"/>
      <w:r w:rsidRPr="00AE7D1D">
        <w:rPr>
          <w:rFonts w:ascii="Times New Roman" w:eastAsia="Times New Roman" w:hAnsi="Times New Roman" w:cs="Times New Roman"/>
          <w:lang w:eastAsia="fr-FR"/>
        </w:rPr>
        <w:t>Women</w:t>
      </w:r>
      <w:proofErr w:type="spellEnd"/>
      <w:r w:rsidRPr="00AE7D1D">
        <w:rPr>
          <w:rFonts w:ascii="Times New Roman" w:eastAsia="Times New Roman" w:hAnsi="Times New Roman" w:cs="Times New Roman"/>
          <w:lang w:eastAsia="fr-FR"/>
        </w:rPr>
        <w:t>:</w:t>
      </w:r>
      <w:proofErr w:type="gramEnd"/>
      <w:r w:rsidRPr="00AE7D1D">
        <w:rPr>
          <w:rFonts w:ascii="Times New Roman" w:eastAsia="Times New Roman" w:hAnsi="Times New Roman" w:cs="Times New Roman"/>
          <w:lang w:eastAsia="fr-FR"/>
        </w:rPr>
        <w:t xml:space="preserve"> A Cross-Sectional Survey </w:t>
      </w:r>
      <w:proofErr w:type="spellStart"/>
      <w:r w:rsidRPr="00AE7D1D">
        <w:rPr>
          <w:rFonts w:ascii="Times New Roman" w:eastAsia="Times New Roman" w:hAnsi="Times New Roman" w:cs="Times New Roman"/>
          <w:lang w:eastAsia="fr-FR"/>
        </w:rPr>
        <w:t>Study</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The Journal of </w:t>
      </w:r>
      <w:proofErr w:type="spellStart"/>
      <w:r w:rsidRPr="00AE7D1D">
        <w:rPr>
          <w:rFonts w:ascii="Times New Roman" w:eastAsia="Times New Roman" w:hAnsi="Times New Roman" w:cs="Times New Roman"/>
          <w:i/>
          <w:iCs/>
          <w:lang w:eastAsia="fr-FR"/>
        </w:rPr>
        <w:t>Sex</w:t>
      </w:r>
      <w:proofErr w:type="spellEnd"/>
      <w:r w:rsidRPr="00AE7D1D">
        <w:rPr>
          <w:rFonts w:ascii="Times New Roman" w:eastAsia="Times New Roman" w:hAnsi="Times New Roman" w:cs="Times New Roman"/>
          <w:i/>
          <w:iCs/>
          <w:lang w:eastAsia="fr-FR"/>
        </w:rPr>
        <w:t xml:space="preserve"> </w:t>
      </w:r>
      <w:proofErr w:type="spellStart"/>
      <w:r w:rsidRPr="00AE7D1D">
        <w:rPr>
          <w:rFonts w:ascii="Times New Roman" w:eastAsia="Times New Roman" w:hAnsi="Times New Roman" w:cs="Times New Roman"/>
          <w:i/>
          <w:iCs/>
          <w:lang w:eastAsia="fr-FR"/>
        </w:rPr>
        <w:t>Research</w:t>
      </w:r>
      <w:proofErr w:type="spellEnd"/>
      <w:r w:rsidRPr="00AE7D1D">
        <w:rPr>
          <w:rFonts w:ascii="Times New Roman" w:eastAsia="Times New Roman" w:hAnsi="Times New Roman" w:cs="Times New Roman"/>
          <w:lang w:eastAsia="fr-FR"/>
        </w:rPr>
        <w:t>, 2019, vol. 56,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9, p. 1115</w:t>
      </w:r>
      <w:r w:rsidRPr="00AE7D1D">
        <w:rPr>
          <w:rFonts w:ascii="Times New Roman" w:eastAsia="Times New Roman" w:hAnsi="Times New Roman" w:cs="Times New Roman"/>
          <w:lang w:eastAsia="fr-FR"/>
        </w:rPr>
        <w:noBreakHyphen/>
        <w:t>1127.</w:t>
      </w:r>
    </w:p>
    <w:p w14:paraId="7AE6BC56"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Hamel</w:t>
      </w:r>
      <w:r w:rsidRPr="00AE7D1D">
        <w:rPr>
          <w:rFonts w:ascii="Times New Roman" w:eastAsia="Times New Roman" w:hAnsi="Times New Roman" w:cs="Times New Roman"/>
          <w:lang w:eastAsia="fr-FR"/>
        </w:rPr>
        <w:t xml:space="preserve"> Christelle, 2020, « Chapitre 1 ■ Faire une enquête sur les violences de genre » dans Elizabeth Brown, Alice </w:t>
      </w:r>
      <w:proofErr w:type="spellStart"/>
      <w:r w:rsidRPr="00AE7D1D">
        <w:rPr>
          <w:rFonts w:ascii="Times New Roman" w:eastAsia="Times New Roman" w:hAnsi="Times New Roman" w:cs="Times New Roman"/>
          <w:lang w:eastAsia="fr-FR"/>
        </w:rPr>
        <w:t>Debauche</w:t>
      </w:r>
      <w:proofErr w:type="spellEnd"/>
      <w:r w:rsidRPr="00AE7D1D">
        <w:rPr>
          <w:rFonts w:ascii="Times New Roman" w:eastAsia="Times New Roman" w:hAnsi="Times New Roman" w:cs="Times New Roman"/>
          <w:lang w:eastAsia="fr-FR"/>
        </w:rPr>
        <w:t xml:space="preserve"> et Magali </w:t>
      </w:r>
      <w:proofErr w:type="spellStart"/>
      <w:r w:rsidRPr="00AE7D1D">
        <w:rPr>
          <w:rFonts w:ascii="Times New Roman" w:eastAsia="Times New Roman" w:hAnsi="Times New Roman" w:cs="Times New Roman"/>
          <w:lang w:eastAsia="fr-FR"/>
        </w:rPr>
        <w:t>Mazuy</w:t>
      </w:r>
      <w:proofErr w:type="spellEnd"/>
      <w:r w:rsidRPr="00AE7D1D">
        <w:rPr>
          <w:rFonts w:ascii="Times New Roman" w:eastAsia="Times New Roman" w:hAnsi="Times New Roman" w:cs="Times New Roman"/>
          <w:lang w:eastAsia="fr-FR"/>
        </w:rPr>
        <w:t> (</w:t>
      </w:r>
      <w:proofErr w:type="spellStart"/>
      <w:r w:rsidRPr="00AE7D1D">
        <w:rPr>
          <w:rFonts w:ascii="Times New Roman" w:eastAsia="Times New Roman" w:hAnsi="Times New Roman" w:cs="Times New Roman"/>
          <w:lang w:eastAsia="fr-FR"/>
        </w:rPr>
        <w:t>eds</w:t>
      </w:r>
      <w:proofErr w:type="spellEnd"/>
      <w:r w:rsidRPr="00AE7D1D">
        <w:rPr>
          <w:rFonts w:ascii="Times New Roman" w:eastAsia="Times New Roman" w:hAnsi="Times New Roman" w:cs="Times New Roman"/>
          <w:lang w:eastAsia="fr-FR"/>
        </w:rPr>
        <w:t xml:space="preserve">.), </w:t>
      </w:r>
      <w:r w:rsidRPr="00AE7D1D">
        <w:rPr>
          <w:rFonts w:ascii="Times New Roman" w:eastAsia="Times New Roman" w:hAnsi="Times New Roman" w:cs="Times New Roman"/>
          <w:i/>
          <w:iCs/>
          <w:lang w:eastAsia="fr-FR"/>
        </w:rPr>
        <w:t>Violences et rapports de genre : Enquête sur les violences de genre en France</w:t>
      </w:r>
      <w:r w:rsidRPr="00AE7D1D">
        <w:rPr>
          <w:rFonts w:ascii="Times New Roman" w:eastAsia="Times New Roman" w:hAnsi="Times New Roman" w:cs="Times New Roman"/>
          <w:lang w:eastAsia="fr-FR"/>
        </w:rPr>
        <w:t>, Paris, Ined Éditions (coll. « Grandes Enquêtes »), p. 39</w:t>
      </w:r>
      <w:r w:rsidRPr="00AE7D1D">
        <w:rPr>
          <w:rFonts w:ascii="Times New Roman" w:eastAsia="Times New Roman" w:hAnsi="Times New Roman" w:cs="Times New Roman"/>
          <w:lang w:eastAsia="fr-FR"/>
        </w:rPr>
        <w:noBreakHyphen/>
        <w:t>86.</w:t>
      </w:r>
    </w:p>
    <w:p w14:paraId="00D42BED"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Hanmer</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Jalna</w:t>
      </w:r>
      <w:proofErr w:type="spellEnd"/>
      <w:r w:rsidRPr="00AE7D1D">
        <w:rPr>
          <w:rFonts w:ascii="Times New Roman" w:eastAsia="Times New Roman" w:hAnsi="Times New Roman" w:cs="Times New Roman"/>
          <w:lang w:eastAsia="fr-FR"/>
        </w:rPr>
        <w:t xml:space="preserve">, 1977, « Violence et contrôle social des femmes », </w:t>
      </w:r>
      <w:r w:rsidRPr="00AE7D1D">
        <w:rPr>
          <w:rFonts w:ascii="Times New Roman" w:eastAsia="Times New Roman" w:hAnsi="Times New Roman" w:cs="Times New Roman"/>
          <w:i/>
          <w:iCs/>
          <w:lang w:eastAsia="fr-FR"/>
        </w:rPr>
        <w:t>Questions féministes</w:t>
      </w:r>
      <w:r w:rsidRPr="00AE7D1D">
        <w:rPr>
          <w:rFonts w:ascii="Times New Roman" w:eastAsia="Times New Roman" w:hAnsi="Times New Roman" w:cs="Times New Roman"/>
          <w:lang w:eastAsia="fr-FR"/>
        </w:rPr>
        <w:t>, 1977,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1, p. 68</w:t>
      </w:r>
      <w:r w:rsidRPr="00AE7D1D">
        <w:rPr>
          <w:rFonts w:ascii="Times New Roman" w:eastAsia="Times New Roman" w:hAnsi="Times New Roman" w:cs="Times New Roman"/>
          <w:lang w:eastAsia="fr-FR"/>
        </w:rPr>
        <w:noBreakHyphen/>
        <w:t>88.</w:t>
      </w:r>
    </w:p>
    <w:p w14:paraId="66A5E02A"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Kelly</w:t>
      </w:r>
      <w:r w:rsidRPr="00AE7D1D">
        <w:rPr>
          <w:rFonts w:ascii="Times New Roman" w:eastAsia="Times New Roman" w:hAnsi="Times New Roman" w:cs="Times New Roman"/>
          <w:lang w:eastAsia="fr-FR"/>
        </w:rPr>
        <w:t xml:space="preserve"> Liz, 2019, « Le continuum de la violence sexuelle », </w:t>
      </w:r>
      <w:r w:rsidRPr="00AE7D1D">
        <w:rPr>
          <w:rFonts w:ascii="Times New Roman" w:eastAsia="Times New Roman" w:hAnsi="Times New Roman" w:cs="Times New Roman"/>
          <w:i/>
          <w:iCs/>
          <w:lang w:eastAsia="fr-FR"/>
        </w:rPr>
        <w:t>Cahiers du genre</w:t>
      </w:r>
      <w:r w:rsidRPr="00AE7D1D">
        <w:rPr>
          <w:rFonts w:ascii="Times New Roman" w:eastAsia="Times New Roman" w:hAnsi="Times New Roman" w:cs="Times New Roman"/>
          <w:lang w:eastAsia="fr-FR"/>
        </w:rPr>
        <w:t>, 2019,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66, p. 17</w:t>
      </w:r>
      <w:r w:rsidRPr="00AE7D1D">
        <w:rPr>
          <w:rFonts w:ascii="Times New Roman" w:eastAsia="Times New Roman" w:hAnsi="Times New Roman" w:cs="Times New Roman"/>
          <w:lang w:eastAsia="fr-FR"/>
        </w:rPr>
        <w:noBreakHyphen/>
        <w:t>269.</w:t>
      </w:r>
    </w:p>
    <w:p w14:paraId="04958687"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Klesse</w:t>
      </w:r>
      <w:r w:rsidRPr="00AE7D1D">
        <w:rPr>
          <w:rFonts w:ascii="Times New Roman" w:eastAsia="Times New Roman" w:hAnsi="Times New Roman" w:cs="Times New Roman"/>
          <w:lang w:eastAsia="fr-FR"/>
        </w:rPr>
        <w:t xml:space="preserve"> Christian, 2018, « </w:t>
      </w:r>
      <w:proofErr w:type="spellStart"/>
      <w:r w:rsidRPr="00AE7D1D">
        <w:rPr>
          <w:rFonts w:ascii="Times New Roman" w:eastAsia="Times New Roman" w:hAnsi="Times New Roman" w:cs="Times New Roman"/>
          <w:lang w:eastAsia="fr-FR"/>
        </w:rPr>
        <w:t>Bisexuality</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Slippery</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Slopes</w:t>
      </w:r>
      <w:proofErr w:type="spellEnd"/>
      <w:r w:rsidRPr="00AE7D1D">
        <w:rPr>
          <w:rFonts w:ascii="Times New Roman" w:eastAsia="Times New Roman" w:hAnsi="Times New Roman" w:cs="Times New Roman"/>
          <w:lang w:eastAsia="fr-FR"/>
        </w:rPr>
        <w:t xml:space="preserve">, and </w:t>
      </w:r>
      <w:proofErr w:type="spellStart"/>
      <w:r w:rsidRPr="00AE7D1D">
        <w:rPr>
          <w:rFonts w:ascii="Times New Roman" w:eastAsia="Times New Roman" w:hAnsi="Times New Roman" w:cs="Times New Roman"/>
          <w:lang w:eastAsia="fr-FR"/>
        </w:rPr>
        <w:t>Multipartner</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Marriage</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Journal of </w:t>
      </w:r>
      <w:proofErr w:type="spellStart"/>
      <w:r w:rsidRPr="00AE7D1D">
        <w:rPr>
          <w:rFonts w:ascii="Times New Roman" w:eastAsia="Times New Roman" w:hAnsi="Times New Roman" w:cs="Times New Roman"/>
          <w:i/>
          <w:iCs/>
          <w:lang w:eastAsia="fr-FR"/>
        </w:rPr>
        <w:t>Bisexuality</w:t>
      </w:r>
      <w:proofErr w:type="spellEnd"/>
      <w:r w:rsidRPr="00AE7D1D">
        <w:rPr>
          <w:rFonts w:ascii="Times New Roman" w:eastAsia="Times New Roman" w:hAnsi="Times New Roman" w:cs="Times New Roman"/>
          <w:lang w:eastAsia="fr-FR"/>
        </w:rPr>
        <w:t>, 2 janvier 2018, vol. 18,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1, p. 35</w:t>
      </w:r>
      <w:r w:rsidRPr="00AE7D1D">
        <w:rPr>
          <w:rFonts w:ascii="Times New Roman" w:eastAsia="Times New Roman" w:hAnsi="Times New Roman" w:cs="Times New Roman"/>
          <w:lang w:eastAsia="fr-FR"/>
        </w:rPr>
        <w:noBreakHyphen/>
        <w:t>53.</w:t>
      </w:r>
    </w:p>
    <w:p w14:paraId="77568AC2"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lastRenderedPageBreak/>
        <w:t>Klesse</w:t>
      </w:r>
      <w:r w:rsidRPr="00AE7D1D">
        <w:rPr>
          <w:rFonts w:ascii="Times New Roman" w:eastAsia="Times New Roman" w:hAnsi="Times New Roman" w:cs="Times New Roman"/>
          <w:lang w:eastAsia="fr-FR"/>
        </w:rPr>
        <w:t xml:space="preserve"> Christian, 2011, « </w:t>
      </w:r>
      <w:proofErr w:type="spellStart"/>
      <w:r w:rsidRPr="00AE7D1D">
        <w:rPr>
          <w:rFonts w:ascii="Times New Roman" w:eastAsia="Times New Roman" w:hAnsi="Times New Roman" w:cs="Times New Roman"/>
          <w:lang w:eastAsia="fr-FR"/>
        </w:rPr>
        <w:t>Shady</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Characters</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Untrustworthy</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Partners</w:t>
      </w:r>
      <w:proofErr w:type="spellEnd"/>
      <w:r w:rsidRPr="00AE7D1D">
        <w:rPr>
          <w:rFonts w:ascii="Times New Roman" w:eastAsia="Times New Roman" w:hAnsi="Times New Roman" w:cs="Times New Roman"/>
          <w:lang w:eastAsia="fr-FR"/>
        </w:rPr>
        <w:t xml:space="preserve">, and </w:t>
      </w:r>
      <w:proofErr w:type="spellStart"/>
      <w:r w:rsidRPr="00AE7D1D">
        <w:rPr>
          <w:rFonts w:ascii="Times New Roman" w:eastAsia="Times New Roman" w:hAnsi="Times New Roman" w:cs="Times New Roman"/>
          <w:lang w:eastAsia="fr-FR"/>
        </w:rPr>
        <w:t>Promiscuous</w:t>
      </w:r>
      <w:proofErr w:type="spellEnd"/>
      <w:r w:rsidRPr="00AE7D1D">
        <w:rPr>
          <w:rFonts w:ascii="Times New Roman" w:eastAsia="Times New Roman" w:hAnsi="Times New Roman" w:cs="Times New Roman"/>
          <w:lang w:eastAsia="fr-FR"/>
        </w:rPr>
        <w:t xml:space="preserve"> </w:t>
      </w:r>
      <w:proofErr w:type="spellStart"/>
      <w:proofErr w:type="gramStart"/>
      <w:r w:rsidRPr="00AE7D1D">
        <w:rPr>
          <w:rFonts w:ascii="Times New Roman" w:eastAsia="Times New Roman" w:hAnsi="Times New Roman" w:cs="Times New Roman"/>
          <w:lang w:eastAsia="fr-FR"/>
        </w:rPr>
        <w:t>Sluts</w:t>
      </w:r>
      <w:proofErr w:type="spellEnd"/>
      <w:r w:rsidRPr="00AE7D1D">
        <w:rPr>
          <w:rFonts w:ascii="Times New Roman" w:eastAsia="Times New Roman" w:hAnsi="Times New Roman" w:cs="Times New Roman"/>
          <w:lang w:eastAsia="fr-FR"/>
        </w:rPr>
        <w:t>:</w:t>
      </w:r>
      <w:proofErr w:type="gram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Creating</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Intimacies</w:t>
      </w:r>
      <w:proofErr w:type="spellEnd"/>
      <w:r w:rsidRPr="00AE7D1D">
        <w:rPr>
          <w:rFonts w:ascii="Times New Roman" w:eastAsia="Times New Roman" w:hAnsi="Times New Roman" w:cs="Times New Roman"/>
          <w:lang w:eastAsia="fr-FR"/>
        </w:rPr>
        <w:t xml:space="preserve"> in the Face of </w:t>
      </w:r>
      <w:proofErr w:type="spellStart"/>
      <w:r w:rsidRPr="00AE7D1D">
        <w:rPr>
          <w:rFonts w:ascii="Times New Roman" w:eastAsia="Times New Roman" w:hAnsi="Times New Roman" w:cs="Times New Roman"/>
          <w:lang w:eastAsia="fr-FR"/>
        </w:rPr>
        <w:t>Heteronormativity</w:t>
      </w:r>
      <w:proofErr w:type="spellEnd"/>
      <w:r w:rsidRPr="00AE7D1D">
        <w:rPr>
          <w:rFonts w:ascii="Times New Roman" w:eastAsia="Times New Roman" w:hAnsi="Times New Roman" w:cs="Times New Roman"/>
          <w:lang w:eastAsia="fr-FR"/>
        </w:rPr>
        <w:t xml:space="preserve"> and </w:t>
      </w:r>
      <w:proofErr w:type="spellStart"/>
      <w:r w:rsidRPr="00AE7D1D">
        <w:rPr>
          <w:rFonts w:ascii="Times New Roman" w:eastAsia="Times New Roman" w:hAnsi="Times New Roman" w:cs="Times New Roman"/>
          <w:lang w:eastAsia="fr-FR"/>
        </w:rPr>
        <w:t>Biphobia</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Journal of </w:t>
      </w:r>
      <w:proofErr w:type="spellStart"/>
      <w:r w:rsidRPr="00AE7D1D">
        <w:rPr>
          <w:rFonts w:ascii="Times New Roman" w:eastAsia="Times New Roman" w:hAnsi="Times New Roman" w:cs="Times New Roman"/>
          <w:i/>
          <w:iCs/>
          <w:lang w:eastAsia="fr-FR"/>
        </w:rPr>
        <w:t>Bisexuality</w:t>
      </w:r>
      <w:proofErr w:type="spellEnd"/>
      <w:r w:rsidRPr="00AE7D1D">
        <w:rPr>
          <w:rFonts w:ascii="Times New Roman" w:eastAsia="Times New Roman" w:hAnsi="Times New Roman" w:cs="Times New Roman"/>
          <w:lang w:eastAsia="fr-FR"/>
        </w:rPr>
        <w:t>, avril 2011, vol. 11,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2</w:t>
      </w:r>
      <w:r w:rsidRPr="00AE7D1D">
        <w:rPr>
          <w:rFonts w:ascii="Times New Roman" w:eastAsia="Times New Roman" w:hAnsi="Times New Roman" w:cs="Times New Roman"/>
          <w:lang w:eastAsia="fr-FR"/>
        </w:rPr>
        <w:noBreakHyphen/>
        <w:t>3, p. 227</w:t>
      </w:r>
      <w:r w:rsidRPr="00AE7D1D">
        <w:rPr>
          <w:rFonts w:ascii="Times New Roman" w:eastAsia="Times New Roman" w:hAnsi="Times New Roman" w:cs="Times New Roman"/>
          <w:lang w:eastAsia="fr-FR"/>
        </w:rPr>
        <w:noBreakHyphen/>
        <w:t>244.</w:t>
      </w:r>
    </w:p>
    <w:p w14:paraId="4E162AA3"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Klesse</w:t>
      </w:r>
      <w:r w:rsidRPr="00AE7D1D">
        <w:rPr>
          <w:rFonts w:ascii="Times New Roman" w:eastAsia="Times New Roman" w:hAnsi="Times New Roman" w:cs="Times New Roman"/>
          <w:lang w:eastAsia="fr-FR"/>
        </w:rPr>
        <w:t xml:space="preserve"> Christian, 2005, «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Women</w:t>
      </w:r>
      <w:proofErr w:type="spellEnd"/>
      <w:r w:rsidRPr="00AE7D1D">
        <w:rPr>
          <w:rFonts w:ascii="Times New Roman" w:eastAsia="Times New Roman" w:hAnsi="Times New Roman" w:cs="Times New Roman"/>
          <w:lang w:eastAsia="fr-FR"/>
        </w:rPr>
        <w:t>, Non-</w:t>
      </w:r>
      <w:proofErr w:type="spellStart"/>
      <w:r w:rsidRPr="00AE7D1D">
        <w:rPr>
          <w:rFonts w:ascii="Times New Roman" w:eastAsia="Times New Roman" w:hAnsi="Times New Roman" w:cs="Times New Roman"/>
          <w:lang w:eastAsia="fr-FR"/>
        </w:rPr>
        <w:t>Monogamy</w:t>
      </w:r>
      <w:proofErr w:type="spellEnd"/>
      <w:r w:rsidRPr="00AE7D1D">
        <w:rPr>
          <w:rFonts w:ascii="Times New Roman" w:eastAsia="Times New Roman" w:hAnsi="Times New Roman" w:cs="Times New Roman"/>
          <w:lang w:eastAsia="fr-FR"/>
        </w:rPr>
        <w:t xml:space="preserve"> and </w:t>
      </w:r>
      <w:proofErr w:type="spellStart"/>
      <w:r w:rsidRPr="00AE7D1D">
        <w:rPr>
          <w:rFonts w:ascii="Times New Roman" w:eastAsia="Times New Roman" w:hAnsi="Times New Roman" w:cs="Times New Roman"/>
          <w:lang w:eastAsia="fr-FR"/>
        </w:rPr>
        <w:t>Differentialist</w:t>
      </w:r>
      <w:proofErr w:type="spellEnd"/>
      <w:r w:rsidRPr="00AE7D1D">
        <w:rPr>
          <w:rFonts w:ascii="Times New Roman" w:eastAsia="Times New Roman" w:hAnsi="Times New Roman" w:cs="Times New Roman"/>
          <w:lang w:eastAsia="fr-FR"/>
        </w:rPr>
        <w:t xml:space="preserve"> Anti-</w:t>
      </w:r>
      <w:proofErr w:type="spellStart"/>
      <w:r w:rsidRPr="00AE7D1D">
        <w:rPr>
          <w:rFonts w:ascii="Times New Roman" w:eastAsia="Times New Roman" w:hAnsi="Times New Roman" w:cs="Times New Roman"/>
          <w:lang w:eastAsia="fr-FR"/>
        </w:rPr>
        <w:t>Promiscuity</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Discourses</w:t>
      </w:r>
      <w:proofErr w:type="spellEnd"/>
      <w:r w:rsidRPr="00AE7D1D">
        <w:rPr>
          <w:rFonts w:ascii="Times New Roman" w:eastAsia="Times New Roman" w:hAnsi="Times New Roman" w:cs="Times New Roman"/>
          <w:lang w:eastAsia="fr-FR"/>
        </w:rPr>
        <w:t xml:space="preserve"> », </w:t>
      </w:r>
      <w:proofErr w:type="spellStart"/>
      <w:r w:rsidRPr="00AE7D1D">
        <w:rPr>
          <w:rFonts w:ascii="Times New Roman" w:eastAsia="Times New Roman" w:hAnsi="Times New Roman" w:cs="Times New Roman"/>
          <w:i/>
          <w:iCs/>
          <w:lang w:eastAsia="fr-FR"/>
        </w:rPr>
        <w:t>Sexualities</w:t>
      </w:r>
      <w:proofErr w:type="spellEnd"/>
      <w:r w:rsidRPr="00AE7D1D">
        <w:rPr>
          <w:rFonts w:ascii="Times New Roman" w:eastAsia="Times New Roman" w:hAnsi="Times New Roman" w:cs="Times New Roman"/>
          <w:lang w:eastAsia="fr-FR"/>
        </w:rPr>
        <w:t>, 2005, vol. 8,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4, p. 445</w:t>
      </w:r>
      <w:r w:rsidRPr="00AE7D1D">
        <w:rPr>
          <w:rFonts w:ascii="Times New Roman" w:eastAsia="Times New Roman" w:hAnsi="Times New Roman" w:cs="Times New Roman"/>
          <w:lang w:eastAsia="fr-FR"/>
        </w:rPr>
        <w:noBreakHyphen/>
        <w:t>464.</w:t>
      </w:r>
    </w:p>
    <w:p w14:paraId="436E9A4A"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Lejbowicz</w:t>
      </w:r>
      <w:r w:rsidRPr="00AE7D1D">
        <w:rPr>
          <w:rFonts w:ascii="Times New Roman" w:eastAsia="Times New Roman" w:hAnsi="Times New Roman" w:cs="Times New Roman"/>
          <w:lang w:eastAsia="fr-FR"/>
        </w:rPr>
        <w:t xml:space="preserve"> Tania, 2022a, </w:t>
      </w:r>
      <w:r w:rsidRPr="00AE7D1D">
        <w:rPr>
          <w:rFonts w:ascii="Times New Roman" w:eastAsia="Times New Roman" w:hAnsi="Times New Roman" w:cs="Times New Roman"/>
          <w:i/>
          <w:iCs/>
          <w:lang w:eastAsia="fr-FR"/>
        </w:rPr>
        <w:t>Violences et écarts aux normes de genre : enquête sur les trajectoires de femmes victimes de violences sexuelles</w:t>
      </w:r>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These</w:t>
      </w:r>
      <w:proofErr w:type="spellEnd"/>
      <w:r w:rsidRPr="00AE7D1D">
        <w:rPr>
          <w:rFonts w:ascii="Times New Roman" w:eastAsia="Times New Roman" w:hAnsi="Times New Roman" w:cs="Times New Roman"/>
          <w:lang w:eastAsia="fr-FR"/>
        </w:rPr>
        <w:t xml:space="preserve"> de doctorat, Paris 10, </w:t>
      </w:r>
      <w:proofErr w:type="spellStart"/>
      <w:r w:rsidRPr="00AE7D1D">
        <w:rPr>
          <w:rFonts w:ascii="Times New Roman" w:eastAsia="Times New Roman" w:hAnsi="Times New Roman" w:cs="Times New Roman"/>
          <w:lang w:eastAsia="fr-FR"/>
        </w:rPr>
        <w:t>s.l</w:t>
      </w:r>
      <w:proofErr w:type="spellEnd"/>
      <w:r w:rsidRPr="00AE7D1D">
        <w:rPr>
          <w:rFonts w:ascii="Times New Roman" w:eastAsia="Times New Roman" w:hAnsi="Times New Roman" w:cs="Times New Roman"/>
          <w:lang w:eastAsia="fr-FR"/>
        </w:rPr>
        <w:t>.</w:t>
      </w:r>
    </w:p>
    <w:p w14:paraId="0521D204"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Lejbowicz</w:t>
      </w:r>
      <w:r w:rsidRPr="00AE7D1D">
        <w:rPr>
          <w:rFonts w:ascii="Times New Roman" w:eastAsia="Times New Roman" w:hAnsi="Times New Roman" w:cs="Times New Roman"/>
          <w:lang w:eastAsia="fr-FR"/>
        </w:rPr>
        <w:t xml:space="preserve"> Tania, 2022b, « Les écarts de déclaration de violences conjugales entre les femmes lesbiennes, bisexuelles et hétérosexuelles », </w:t>
      </w:r>
      <w:r w:rsidRPr="00AE7D1D">
        <w:rPr>
          <w:rFonts w:ascii="Times New Roman" w:eastAsia="Times New Roman" w:hAnsi="Times New Roman" w:cs="Times New Roman"/>
          <w:i/>
          <w:iCs/>
          <w:lang w:eastAsia="fr-FR"/>
        </w:rPr>
        <w:t>Population (France)</w:t>
      </w:r>
      <w:r w:rsidRPr="00AE7D1D">
        <w:rPr>
          <w:rFonts w:ascii="Times New Roman" w:eastAsia="Times New Roman" w:hAnsi="Times New Roman" w:cs="Times New Roman"/>
          <w:lang w:eastAsia="fr-FR"/>
        </w:rPr>
        <w:t>, 2022, vol. 77,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4, p. 615</w:t>
      </w:r>
      <w:r w:rsidRPr="00AE7D1D">
        <w:rPr>
          <w:rFonts w:ascii="Times New Roman" w:eastAsia="Times New Roman" w:hAnsi="Times New Roman" w:cs="Times New Roman"/>
          <w:lang w:eastAsia="fr-FR"/>
        </w:rPr>
        <w:noBreakHyphen/>
        <w:t>644.</w:t>
      </w:r>
    </w:p>
    <w:p w14:paraId="7D82A1B7"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Maillochon</w:t>
      </w:r>
      <w:proofErr w:type="spellEnd"/>
      <w:r w:rsidRPr="00AE7D1D">
        <w:rPr>
          <w:rFonts w:ascii="Times New Roman" w:eastAsia="Times New Roman" w:hAnsi="Times New Roman" w:cs="Times New Roman"/>
          <w:lang w:eastAsia="fr-FR"/>
        </w:rPr>
        <w:t xml:space="preserve"> Florence, 2023, « La mesure des bisexualités à </w:t>
      </w:r>
      <w:proofErr w:type="gramStart"/>
      <w:r w:rsidRPr="00AE7D1D">
        <w:rPr>
          <w:rFonts w:ascii="Times New Roman" w:eastAsia="Times New Roman" w:hAnsi="Times New Roman" w:cs="Times New Roman"/>
          <w:lang w:eastAsia="fr-FR"/>
        </w:rPr>
        <w:t>l’adolescence:</w:t>
      </w:r>
      <w:proofErr w:type="gramEnd"/>
      <w:r w:rsidRPr="00AE7D1D">
        <w:rPr>
          <w:rFonts w:ascii="Times New Roman" w:eastAsia="Times New Roman" w:hAnsi="Times New Roman" w:cs="Times New Roman"/>
          <w:lang w:eastAsia="fr-FR"/>
        </w:rPr>
        <w:t xml:space="preserve"> Le cas des enquêtes sur la sexualité et la santé des </w:t>
      </w:r>
      <w:proofErr w:type="spellStart"/>
      <w:r w:rsidRPr="00AE7D1D">
        <w:rPr>
          <w:rFonts w:ascii="Times New Roman" w:eastAsia="Times New Roman" w:hAnsi="Times New Roman" w:cs="Times New Roman"/>
          <w:lang w:eastAsia="fr-FR"/>
        </w:rPr>
        <w:t>adolescent‧es</w:t>
      </w:r>
      <w:proofErr w:type="spellEnd"/>
      <w:r w:rsidRPr="00AE7D1D">
        <w:rPr>
          <w:rFonts w:ascii="Times New Roman" w:eastAsia="Times New Roman" w:hAnsi="Times New Roman" w:cs="Times New Roman"/>
          <w:lang w:eastAsia="fr-FR"/>
        </w:rPr>
        <w:t xml:space="preserve"> » dans </w:t>
      </w:r>
      <w:r w:rsidRPr="00AE7D1D">
        <w:rPr>
          <w:rFonts w:ascii="Times New Roman" w:eastAsia="Times New Roman" w:hAnsi="Times New Roman" w:cs="Times New Roman"/>
          <w:i/>
          <w:iCs/>
          <w:lang w:eastAsia="fr-FR"/>
        </w:rPr>
        <w:t>Minorités de genre et de sexualité : Objectivation, catégorisations et pratiques d’enquête</w:t>
      </w:r>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s.l</w:t>
      </w:r>
      <w:proofErr w:type="spellEnd"/>
      <w:r w:rsidRPr="00AE7D1D">
        <w:rPr>
          <w:rFonts w:ascii="Times New Roman" w:eastAsia="Times New Roman" w:hAnsi="Times New Roman" w:cs="Times New Roman"/>
          <w:lang w:eastAsia="fr-FR"/>
        </w:rPr>
        <w:t xml:space="preserve">., Editions de </w:t>
      </w:r>
      <w:proofErr w:type="spellStart"/>
      <w:r w:rsidRPr="00AE7D1D">
        <w:rPr>
          <w:rFonts w:ascii="Times New Roman" w:eastAsia="Times New Roman" w:hAnsi="Times New Roman" w:cs="Times New Roman"/>
          <w:lang w:eastAsia="fr-FR"/>
        </w:rPr>
        <w:t>l’Ined</w:t>
      </w:r>
      <w:proofErr w:type="spellEnd"/>
      <w:r w:rsidRPr="00AE7D1D">
        <w:rPr>
          <w:rFonts w:ascii="Times New Roman" w:eastAsia="Times New Roman" w:hAnsi="Times New Roman" w:cs="Times New Roman"/>
          <w:lang w:eastAsia="fr-FR"/>
        </w:rPr>
        <w:t xml:space="preserve"> (coll. « Méthodes et Savoirs »), p. 39</w:t>
      </w:r>
      <w:r w:rsidRPr="00AE7D1D">
        <w:rPr>
          <w:rFonts w:ascii="Times New Roman" w:eastAsia="Times New Roman" w:hAnsi="Times New Roman" w:cs="Times New Roman"/>
          <w:lang w:eastAsia="fr-FR"/>
        </w:rPr>
        <w:noBreakHyphen/>
        <w:t>59.</w:t>
      </w:r>
    </w:p>
    <w:p w14:paraId="1782E783"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Myhill</w:t>
      </w:r>
      <w:proofErr w:type="spellEnd"/>
      <w:r w:rsidRPr="00AE7D1D">
        <w:rPr>
          <w:rFonts w:ascii="Times New Roman" w:eastAsia="Times New Roman" w:hAnsi="Times New Roman" w:cs="Times New Roman"/>
          <w:lang w:eastAsia="fr-FR"/>
        </w:rPr>
        <w:t xml:space="preserve"> Andy, 2017, « </w:t>
      </w:r>
      <w:proofErr w:type="spellStart"/>
      <w:r w:rsidRPr="00AE7D1D">
        <w:rPr>
          <w:rFonts w:ascii="Times New Roman" w:eastAsia="Times New Roman" w:hAnsi="Times New Roman" w:cs="Times New Roman"/>
          <w:lang w:eastAsia="fr-FR"/>
        </w:rPr>
        <w:t>Measuring</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domestic</w:t>
      </w:r>
      <w:proofErr w:type="spellEnd"/>
      <w:r w:rsidRPr="00AE7D1D">
        <w:rPr>
          <w:rFonts w:ascii="Times New Roman" w:eastAsia="Times New Roman" w:hAnsi="Times New Roman" w:cs="Times New Roman"/>
          <w:lang w:eastAsia="fr-FR"/>
        </w:rPr>
        <w:t xml:space="preserve"> </w:t>
      </w:r>
      <w:proofErr w:type="gramStart"/>
      <w:r w:rsidRPr="00AE7D1D">
        <w:rPr>
          <w:rFonts w:ascii="Times New Roman" w:eastAsia="Times New Roman" w:hAnsi="Times New Roman" w:cs="Times New Roman"/>
          <w:lang w:eastAsia="fr-FR"/>
        </w:rPr>
        <w:t>violence:</w:t>
      </w:r>
      <w:proofErr w:type="gram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context</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is</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everything</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Journal of </w:t>
      </w:r>
      <w:proofErr w:type="spellStart"/>
      <w:r w:rsidRPr="00AE7D1D">
        <w:rPr>
          <w:rFonts w:ascii="Times New Roman" w:eastAsia="Times New Roman" w:hAnsi="Times New Roman" w:cs="Times New Roman"/>
          <w:i/>
          <w:iCs/>
          <w:lang w:eastAsia="fr-FR"/>
        </w:rPr>
        <w:t>Gender-Based</w:t>
      </w:r>
      <w:proofErr w:type="spellEnd"/>
      <w:r w:rsidRPr="00AE7D1D">
        <w:rPr>
          <w:rFonts w:ascii="Times New Roman" w:eastAsia="Times New Roman" w:hAnsi="Times New Roman" w:cs="Times New Roman"/>
          <w:i/>
          <w:iCs/>
          <w:lang w:eastAsia="fr-FR"/>
        </w:rPr>
        <w:t xml:space="preserve"> Violence</w:t>
      </w:r>
      <w:r w:rsidRPr="00AE7D1D">
        <w:rPr>
          <w:rFonts w:ascii="Times New Roman" w:eastAsia="Times New Roman" w:hAnsi="Times New Roman" w:cs="Times New Roman"/>
          <w:lang w:eastAsia="fr-FR"/>
        </w:rPr>
        <w:t>, 1 mai 2017, vol. 1,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1, p. 33</w:t>
      </w:r>
      <w:r w:rsidRPr="00AE7D1D">
        <w:rPr>
          <w:rFonts w:ascii="Times New Roman" w:eastAsia="Times New Roman" w:hAnsi="Times New Roman" w:cs="Times New Roman"/>
          <w:lang w:eastAsia="fr-FR"/>
        </w:rPr>
        <w:noBreakHyphen/>
        <w:t>44.</w:t>
      </w:r>
    </w:p>
    <w:p w14:paraId="13F85426"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Myhill</w:t>
      </w:r>
      <w:proofErr w:type="spellEnd"/>
      <w:r w:rsidRPr="00AE7D1D">
        <w:rPr>
          <w:rFonts w:ascii="Times New Roman" w:eastAsia="Times New Roman" w:hAnsi="Times New Roman" w:cs="Times New Roman"/>
          <w:lang w:eastAsia="fr-FR"/>
        </w:rPr>
        <w:t xml:space="preserve"> Andy, 2015, « </w:t>
      </w:r>
      <w:proofErr w:type="spellStart"/>
      <w:r w:rsidRPr="00AE7D1D">
        <w:rPr>
          <w:rFonts w:ascii="Times New Roman" w:eastAsia="Times New Roman" w:hAnsi="Times New Roman" w:cs="Times New Roman"/>
          <w:lang w:eastAsia="fr-FR"/>
        </w:rPr>
        <w:t>Measuring</w:t>
      </w:r>
      <w:proofErr w:type="spellEnd"/>
      <w:r w:rsidRPr="00AE7D1D">
        <w:rPr>
          <w:rFonts w:ascii="Times New Roman" w:eastAsia="Times New Roman" w:hAnsi="Times New Roman" w:cs="Times New Roman"/>
          <w:lang w:eastAsia="fr-FR"/>
        </w:rPr>
        <w:t xml:space="preserve"> Coercive </w:t>
      </w:r>
      <w:proofErr w:type="gramStart"/>
      <w:r w:rsidRPr="00AE7D1D">
        <w:rPr>
          <w:rFonts w:ascii="Times New Roman" w:eastAsia="Times New Roman" w:hAnsi="Times New Roman" w:cs="Times New Roman"/>
          <w:lang w:eastAsia="fr-FR"/>
        </w:rPr>
        <w:t>Control:</w:t>
      </w:r>
      <w:proofErr w:type="gram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What</w:t>
      </w:r>
      <w:proofErr w:type="spellEnd"/>
      <w:r w:rsidRPr="00AE7D1D">
        <w:rPr>
          <w:rFonts w:ascii="Times New Roman" w:eastAsia="Times New Roman" w:hAnsi="Times New Roman" w:cs="Times New Roman"/>
          <w:lang w:eastAsia="fr-FR"/>
        </w:rPr>
        <w:t xml:space="preserve"> Can </w:t>
      </w:r>
      <w:proofErr w:type="spellStart"/>
      <w:r w:rsidRPr="00AE7D1D">
        <w:rPr>
          <w:rFonts w:ascii="Times New Roman" w:eastAsia="Times New Roman" w:hAnsi="Times New Roman" w:cs="Times New Roman"/>
          <w:lang w:eastAsia="fr-FR"/>
        </w:rPr>
        <w:t>We</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Learn</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From</w:t>
      </w:r>
      <w:proofErr w:type="spellEnd"/>
      <w:r w:rsidRPr="00AE7D1D">
        <w:rPr>
          <w:rFonts w:ascii="Times New Roman" w:eastAsia="Times New Roman" w:hAnsi="Times New Roman" w:cs="Times New Roman"/>
          <w:lang w:eastAsia="fr-FR"/>
        </w:rPr>
        <w:t xml:space="preserve"> National Population </w:t>
      </w:r>
      <w:proofErr w:type="spellStart"/>
      <w:r w:rsidRPr="00AE7D1D">
        <w:rPr>
          <w:rFonts w:ascii="Times New Roman" w:eastAsia="Times New Roman" w:hAnsi="Times New Roman" w:cs="Times New Roman"/>
          <w:lang w:eastAsia="fr-FR"/>
        </w:rPr>
        <w:t>Surveys</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Violence Against </w:t>
      </w:r>
      <w:proofErr w:type="spellStart"/>
      <w:r w:rsidRPr="00AE7D1D">
        <w:rPr>
          <w:rFonts w:ascii="Times New Roman" w:eastAsia="Times New Roman" w:hAnsi="Times New Roman" w:cs="Times New Roman"/>
          <w:i/>
          <w:iCs/>
          <w:lang w:eastAsia="fr-FR"/>
        </w:rPr>
        <w:t>Women</w:t>
      </w:r>
      <w:proofErr w:type="spellEnd"/>
      <w:r w:rsidRPr="00AE7D1D">
        <w:rPr>
          <w:rFonts w:ascii="Times New Roman" w:eastAsia="Times New Roman" w:hAnsi="Times New Roman" w:cs="Times New Roman"/>
          <w:lang w:eastAsia="fr-FR"/>
        </w:rPr>
        <w:t>, 1 mars 2015, vol. 21,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3, p. 355</w:t>
      </w:r>
      <w:r w:rsidRPr="00AE7D1D">
        <w:rPr>
          <w:rFonts w:ascii="Times New Roman" w:eastAsia="Times New Roman" w:hAnsi="Times New Roman" w:cs="Times New Roman"/>
          <w:lang w:eastAsia="fr-FR"/>
        </w:rPr>
        <w:noBreakHyphen/>
        <w:t>375.</w:t>
      </w:r>
    </w:p>
    <w:p w14:paraId="38C0FB30"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Ochs</w:t>
      </w:r>
      <w:r w:rsidRPr="00AE7D1D">
        <w:rPr>
          <w:rFonts w:ascii="Times New Roman" w:eastAsia="Times New Roman" w:hAnsi="Times New Roman" w:cs="Times New Roman"/>
          <w:lang w:eastAsia="fr-FR"/>
        </w:rPr>
        <w:t xml:space="preserve"> Robyn, 1996, « </w:t>
      </w:r>
      <w:proofErr w:type="spellStart"/>
      <w:proofErr w:type="gramStart"/>
      <w:r w:rsidRPr="00AE7D1D">
        <w:rPr>
          <w:rFonts w:ascii="Times New Roman" w:eastAsia="Times New Roman" w:hAnsi="Times New Roman" w:cs="Times New Roman"/>
          <w:lang w:eastAsia="fr-FR"/>
        </w:rPr>
        <w:t>Biphobia</w:t>
      </w:r>
      <w:proofErr w:type="spellEnd"/>
      <w:r w:rsidRPr="00AE7D1D">
        <w:rPr>
          <w:rFonts w:ascii="Times New Roman" w:eastAsia="Times New Roman" w:hAnsi="Times New Roman" w:cs="Times New Roman"/>
          <w:lang w:eastAsia="fr-FR"/>
        </w:rPr>
        <w:t>:</w:t>
      </w:r>
      <w:proofErr w:type="gramEnd"/>
      <w:r w:rsidRPr="00AE7D1D">
        <w:rPr>
          <w:rFonts w:ascii="Times New Roman" w:eastAsia="Times New Roman" w:hAnsi="Times New Roman" w:cs="Times New Roman"/>
          <w:lang w:eastAsia="fr-FR"/>
        </w:rPr>
        <w:t xml:space="preserve"> It </w:t>
      </w:r>
      <w:proofErr w:type="spellStart"/>
      <w:r w:rsidRPr="00AE7D1D">
        <w:rPr>
          <w:rFonts w:ascii="Times New Roman" w:eastAsia="Times New Roman" w:hAnsi="Times New Roman" w:cs="Times New Roman"/>
          <w:lang w:eastAsia="fr-FR"/>
        </w:rPr>
        <w:t>goes</w:t>
      </w:r>
      <w:proofErr w:type="spellEnd"/>
      <w:r w:rsidRPr="00AE7D1D">
        <w:rPr>
          <w:rFonts w:ascii="Times New Roman" w:eastAsia="Times New Roman" w:hAnsi="Times New Roman" w:cs="Times New Roman"/>
          <w:lang w:eastAsia="fr-FR"/>
        </w:rPr>
        <w:t xml:space="preserve"> more </w:t>
      </w:r>
      <w:proofErr w:type="spellStart"/>
      <w:r w:rsidRPr="00AE7D1D">
        <w:rPr>
          <w:rFonts w:ascii="Times New Roman" w:eastAsia="Times New Roman" w:hAnsi="Times New Roman" w:cs="Times New Roman"/>
          <w:lang w:eastAsia="fr-FR"/>
        </w:rPr>
        <w:t>than</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two</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ways</w:t>
      </w:r>
      <w:proofErr w:type="spellEnd"/>
      <w:r w:rsidRPr="00AE7D1D">
        <w:rPr>
          <w:rFonts w:ascii="Times New Roman" w:eastAsia="Times New Roman" w:hAnsi="Times New Roman" w:cs="Times New Roman"/>
          <w:lang w:eastAsia="fr-FR"/>
        </w:rPr>
        <w:t xml:space="preserve"> » dans </w:t>
      </w:r>
      <w:proofErr w:type="spellStart"/>
      <w:r w:rsidRPr="00AE7D1D">
        <w:rPr>
          <w:rFonts w:ascii="Times New Roman" w:eastAsia="Times New Roman" w:hAnsi="Times New Roman" w:cs="Times New Roman"/>
          <w:i/>
          <w:iCs/>
          <w:lang w:eastAsia="fr-FR"/>
        </w:rPr>
        <w:t>Bisexuality</w:t>
      </w:r>
      <w:proofErr w:type="spellEnd"/>
      <w:r w:rsidRPr="00AE7D1D">
        <w:rPr>
          <w:rFonts w:ascii="Times New Roman" w:eastAsia="Times New Roman" w:hAnsi="Times New Roman" w:cs="Times New Roman"/>
          <w:i/>
          <w:iCs/>
          <w:lang w:eastAsia="fr-FR"/>
        </w:rPr>
        <w:t xml:space="preserve">:  The </w:t>
      </w:r>
      <w:proofErr w:type="spellStart"/>
      <w:r w:rsidRPr="00AE7D1D">
        <w:rPr>
          <w:rFonts w:ascii="Times New Roman" w:eastAsia="Times New Roman" w:hAnsi="Times New Roman" w:cs="Times New Roman"/>
          <w:i/>
          <w:iCs/>
          <w:lang w:eastAsia="fr-FR"/>
        </w:rPr>
        <w:t>psychology</w:t>
      </w:r>
      <w:proofErr w:type="spellEnd"/>
      <w:r w:rsidRPr="00AE7D1D">
        <w:rPr>
          <w:rFonts w:ascii="Times New Roman" w:eastAsia="Times New Roman" w:hAnsi="Times New Roman" w:cs="Times New Roman"/>
          <w:i/>
          <w:iCs/>
          <w:lang w:eastAsia="fr-FR"/>
        </w:rPr>
        <w:t xml:space="preserve"> and </w:t>
      </w:r>
      <w:proofErr w:type="spellStart"/>
      <w:r w:rsidRPr="00AE7D1D">
        <w:rPr>
          <w:rFonts w:ascii="Times New Roman" w:eastAsia="Times New Roman" w:hAnsi="Times New Roman" w:cs="Times New Roman"/>
          <w:i/>
          <w:iCs/>
          <w:lang w:eastAsia="fr-FR"/>
        </w:rPr>
        <w:t>politics</w:t>
      </w:r>
      <w:proofErr w:type="spellEnd"/>
      <w:r w:rsidRPr="00AE7D1D">
        <w:rPr>
          <w:rFonts w:ascii="Times New Roman" w:eastAsia="Times New Roman" w:hAnsi="Times New Roman" w:cs="Times New Roman"/>
          <w:i/>
          <w:iCs/>
          <w:lang w:eastAsia="fr-FR"/>
        </w:rPr>
        <w:t xml:space="preserve"> of an invisible </w:t>
      </w:r>
      <w:proofErr w:type="spellStart"/>
      <w:r w:rsidRPr="00AE7D1D">
        <w:rPr>
          <w:rFonts w:ascii="Times New Roman" w:eastAsia="Times New Roman" w:hAnsi="Times New Roman" w:cs="Times New Roman"/>
          <w:i/>
          <w:iCs/>
          <w:lang w:eastAsia="fr-FR"/>
        </w:rPr>
        <w:t>minority</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Thousand</w:t>
      </w:r>
      <w:proofErr w:type="spellEnd"/>
      <w:r w:rsidRPr="00AE7D1D">
        <w:rPr>
          <w:rFonts w:ascii="Times New Roman" w:eastAsia="Times New Roman" w:hAnsi="Times New Roman" w:cs="Times New Roman"/>
          <w:lang w:eastAsia="fr-FR"/>
        </w:rPr>
        <w:t xml:space="preserve"> Oaks, CA, US, Sage Publications, </w:t>
      </w:r>
      <w:proofErr w:type="spellStart"/>
      <w:r w:rsidRPr="00AE7D1D">
        <w:rPr>
          <w:rFonts w:ascii="Times New Roman" w:eastAsia="Times New Roman" w:hAnsi="Times New Roman" w:cs="Times New Roman"/>
          <w:lang w:eastAsia="fr-FR"/>
        </w:rPr>
        <w:t>Inc</w:t>
      </w:r>
      <w:proofErr w:type="spellEnd"/>
      <w:r w:rsidRPr="00AE7D1D">
        <w:rPr>
          <w:rFonts w:ascii="Times New Roman" w:eastAsia="Times New Roman" w:hAnsi="Times New Roman" w:cs="Times New Roman"/>
          <w:lang w:eastAsia="fr-FR"/>
        </w:rPr>
        <w:t>, p. 217</w:t>
      </w:r>
      <w:r w:rsidRPr="00AE7D1D">
        <w:rPr>
          <w:rFonts w:ascii="Times New Roman" w:eastAsia="Times New Roman" w:hAnsi="Times New Roman" w:cs="Times New Roman"/>
          <w:lang w:eastAsia="fr-FR"/>
        </w:rPr>
        <w:noBreakHyphen/>
        <w:t>239.</w:t>
      </w:r>
    </w:p>
    <w:p w14:paraId="5E7141EB"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Rust</w:t>
      </w:r>
      <w:r w:rsidRPr="00AE7D1D">
        <w:rPr>
          <w:rFonts w:ascii="Times New Roman" w:eastAsia="Times New Roman" w:hAnsi="Times New Roman" w:cs="Times New Roman"/>
          <w:lang w:eastAsia="fr-FR"/>
        </w:rPr>
        <w:t xml:space="preserve"> Paula C. </w:t>
      </w:r>
      <w:proofErr w:type="spellStart"/>
      <w:r w:rsidRPr="00AE7D1D">
        <w:rPr>
          <w:rFonts w:ascii="Times New Roman" w:eastAsia="Times New Roman" w:hAnsi="Times New Roman" w:cs="Times New Roman"/>
          <w:lang w:eastAsia="fr-FR"/>
        </w:rPr>
        <w:t>Rodríguez</w:t>
      </w:r>
      <w:proofErr w:type="spellEnd"/>
      <w:r w:rsidRPr="00AE7D1D">
        <w:rPr>
          <w:rFonts w:ascii="Times New Roman" w:eastAsia="Times New Roman" w:hAnsi="Times New Roman" w:cs="Times New Roman"/>
          <w:lang w:eastAsia="fr-FR"/>
        </w:rPr>
        <w:t>, 2002, « </w:t>
      </w:r>
      <w:proofErr w:type="spellStart"/>
      <w:proofErr w:type="gramStart"/>
      <w:r w:rsidRPr="00AE7D1D">
        <w:rPr>
          <w:rFonts w:ascii="Times New Roman" w:eastAsia="Times New Roman" w:hAnsi="Times New Roman" w:cs="Times New Roman"/>
          <w:lang w:eastAsia="fr-FR"/>
        </w:rPr>
        <w:t>Bisexuality</w:t>
      </w:r>
      <w:proofErr w:type="spellEnd"/>
      <w:r w:rsidRPr="00AE7D1D">
        <w:rPr>
          <w:rFonts w:ascii="Times New Roman" w:eastAsia="Times New Roman" w:hAnsi="Times New Roman" w:cs="Times New Roman"/>
          <w:lang w:eastAsia="fr-FR"/>
        </w:rPr>
        <w:t>:</w:t>
      </w:r>
      <w:proofErr w:type="gramEnd"/>
      <w:r w:rsidRPr="00AE7D1D">
        <w:rPr>
          <w:rFonts w:ascii="Times New Roman" w:eastAsia="Times New Roman" w:hAnsi="Times New Roman" w:cs="Times New Roman"/>
          <w:lang w:eastAsia="fr-FR"/>
        </w:rPr>
        <w:t xml:space="preserve"> the state of the union », </w:t>
      </w:r>
      <w:proofErr w:type="spellStart"/>
      <w:r w:rsidRPr="00AE7D1D">
        <w:rPr>
          <w:rFonts w:ascii="Times New Roman" w:eastAsia="Times New Roman" w:hAnsi="Times New Roman" w:cs="Times New Roman"/>
          <w:i/>
          <w:iCs/>
          <w:lang w:eastAsia="fr-FR"/>
        </w:rPr>
        <w:t>Annual</w:t>
      </w:r>
      <w:proofErr w:type="spellEnd"/>
      <w:r w:rsidRPr="00AE7D1D">
        <w:rPr>
          <w:rFonts w:ascii="Times New Roman" w:eastAsia="Times New Roman" w:hAnsi="Times New Roman" w:cs="Times New Roman"/>
          <w:i/>
          <w:iCs/>
          <w:lang w:eastAsia="fr-FR"/>
        </w:rPr>
        <w:t xml:space="preserve"> </w:t>
      </w:r>
      <w:proofErr w:type="spellStart"/>
      <w:r w:rsidRPr="00AE7D1D">
        <w:rPr>
          <w:rFonts w:ascii="Times New Roman" w:eastAsia="Times New Roman" w:hAnsi="Times New Roman" w:cs="Times New Roman"/>
          <w:i/>
          <w:iCs/>
          <w:lang w:eastAsia="fr-FR"/>
        </w:rPr>
        <w:t>Review</w:t>
      </w:r>
      <w:proofErr w:type="spellEnd"/>
      <w:r w:rsidRPr="00AE7D1D">
        <w:rPr>
          <w:rFonts w:ascii="Times New Roman" w:eastAsia="Times New Roman" w:hAnsi="Times New Roman" w:cs="Times New Roman"/>
          <w:i/>
          <w:iCs/>
          <w:lang w:eastAsia="fr-FR"/>
        </w:rPr>
        <w:t xml:space="preserve"> of </w:t>
      </w:r>
      <w:proofErr w:type="spellStart"/>
      <w:r w:rsidRPr="00AE7D1D">
        <w:rPr>
          <w:rFonts w:ascii="Times New Roman" w:eastAsia="Times New Roman" w:hAnsi="Times New Roman" w:cs="Times New Roman"/>
          <w:i/>
          <w:iCs/>
          <w:lang w:eastAsia="fr-FR"/>
        </w:rPr>
        <w:t>Sex</w:t>
      </w:r>
      <w:proofErr w:type="spellEnd"/>
      <w:r w:rsidRPr="00AE7D1D">
        <w:rPr>
          <w:rFonts w:ascii="Times New Roman" w:eastAsia="Times New Roman" w:hAnsi="Times New Roman" w:cs="Times New Roman"/>
          <w:i/>
          <w:iCs/>
          <w:lang w:eastAsia="fr-FR"/>
        </w:rPr>
        <w:t xml:space="preserve"> </w:t>
      </w:r>
      <w:proofErr w:type="spellStart"/>
      <w:r w:rsidRPr="00AE7D1D">
        <w:rPr>
          <w:rFonts w:ascii="Times New Roman" w:eastAsia="Times New Roman" w:hAnsi="Times New Roman" w:cs="Times New Roman"/>
          <w:i/>
          <w:iCs/>
          <w:lang w:eastAsia="fr-FR"/>
        </w:rPr>
        <w:t>Research</w:t>
      </w:r>
      <w:proofErr w:type="spellEnd"/>
      <w:r w:rsidRPr="00AE7D1D">
        <w:rPr>
          <w:rFonts w:ascii="Times New Roman" w:eastAsia="Times New Roman" w:hAnsi="Times New Roman" w:cs="Times New Roman"/>
          <w:lang w:eastAsia="fr-FR"/>
        </w:rPr>
        <w:t>, 2002, vol. 13, p. 180</w:t>
      </w:r>
      <w:r w:rsidRPr="00AE7D1D">
        <w:rPr>
          <w:rFonts w:ascii="Times New Roman" w:eastAsia="Times New Roman" w:hAnsi="Times New Roman" w:cs="Times New Roman"/>
          <w:lang w:eastAsia="fr-FR"/>
        </w:rPr>
        <w:noBreakHyphen/>
        <w:t>240.</w:t>
      </w:r>
    </w:p>
    <w:p w14:paraId="39FABA46"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t>Trachman</w:t>
      </w:r>
      <w:proofErr w:type="spellEnd"/>
      <w:r w:rsidRPr="00AE7D1D">
        <w:rPr>
          <w:rFonts w:ascii="Times New Roman" w:eastAsia="Times New Roman" w:hAnsi="Times New Roman" w:cs="Times New Roman"/>
          <w:lang w:eastAsia="fr-FR"/>
        </w:rPr>
        <w:t xml:space="preserve"> Mathieu et </w:t>
      </w:r>
      <w:r w:rsidRPr="00AE7D1D">
        <w:rPr>
          <w:rFonts w:ascii="Times New Roman" w:eastAsia="Times New Roman" w:hAnsi="Times New Roman" w:cs="Times New Roman"/>
          <w:smallCaps/>
          <w:lang w:eastAsia="fr-FR"/>
        </w:rPr>
        <w:t>Lejbowicz</w:t>
      </w:r>
      <w:r w:rsidRPr="00AE7D1D">
        <w:rPr>
          <w:rFonts w:ascii="Times New Roman" w:eastAsia="Times New Roman" w:hAnsi="Times New Roman" w:cs="Times New Roman"/>
          <w:lang w:eastAsia="fr-FR"/>
        </w:rPr>
        <w:t xml:space="preserve"> Tania, 2020, « Chapitre 10 ■ Lesbiennes, gays, </w:t>
      </w:r>
      <w:proofErr w:type="spellStart"/>
      <w:r w:rsidRPr="00AE7D1D">
        <w:rPr>
          <w:rFonts w:ascii="Times New Roman" w:eastAsia="Times New Roman" w:hAnsi="Times New Roman" w:cs="Times New Roman"/>
          <w:lang w:eastAsia="fr-FR"/>
        </w:rPr>
        <w:t>bisexuel·le·s</w:t>
      </w:r>
      <w:proofErr w:type="spellEnd"/>
      <w:r w:rsidRPr="00AE7D1D">
        <w:rPr>
          <w:rFonts w:ascii="Times New Roman" w:eastAsia="Times New Roman" w:hAnsi="Times New Roman" w:cs="Times New Roman"/>
          <w:lang w:eastAsia="fr-FR"/>
        </w:rPr>
        <w:t xml:space="preserve"> et trans (LGBT) : une catégorie hétérogène, des violences spécifiques » dans Elizabeth Brown, Alice </w:t>
      </w:r>
      <w:proofErr w:type="spellStart"/>
      <w:r w:rsidRPr="00AE7D1D">
        <w:rPr>
          <w:rFonts w:ascii="Times New Roman" w:eastAsia="Times New Roman" w:hAnsi="Times New Roman" w:cs="Times New Roman"/>
          <w:lang w:eastAsia="fr-FR"/>
        </w:rPr>
        <w:t>Debauche</w:t>
      </w:r>
      <w:proofErr w:type="spellEnd"/>
      <w:r w:rsidRPr="00AE7D1D">
        <w:rPr>
          <w:rFonts w:ascii="Times New Roman" w:eastAsia="Times New Roman" w:hAnsi="Times New Roman" w:cs="Times New Roman"/>
          <w:lang w:eastAsia="fr-FR"/>
        </w:rPr>
        <w:t xml:space="preserve">, Christelle Hamel et Magali </w:t>
      </w:r>
      <w:proofErr w:type="spellStart"/>
      <w:r w:rsidRPr="00AE7D1D">
        <w:rPr>
          <w:rFonts w:ascii="Times New Roman" w:eastAsia="Times New Roman" w:hAnsi="Times New Roman" w:cs="Times New Roman"/>
          <w:lang w:eastAsia="fr-FR"/>
        </w:rPr>
        <w:t>Mazuy</w:t>
      </w:r>
      <w:proofErr w:type="spellEnd"/>
      <w:r w:rsidRPr="00AE7D1D">
        <w:rPr>
          <w:rFonts w:ascii="Times New Roman" w:eastAsia="Times New Roman" w:hAnsi="Times New Roman" w:cs="Times New Roman"/>
          <w:lang w:eastAsia="fr-FR"/>
        </w:rPr>
        <w:t> (</w:t>
      </w:r>
      <w:proofErr w:type="spellStart"/>
      <w:r w:rsidRPr="00AE7D1D">
        <w:rPr>
          <w:rFonts w:ascii="Times New Roman" w:eastAsia="Times New Roman" w:hAnsi="Times New Roman" w:cs="Times New Roman"/>
          <w:lang w:eastAsia="fr-FR"/>
        </w:rPr>
        <w:t>eds</w:t>
      </w:r>
      <w:proofErr w:type="spellEnd"/>
      <w:r w:rsidRPr="00AE7D1D">
        <w:rPr>
          <w:rFonts w:ascii="Times New Roman" w:eastAsia="Times New Roman" w:hAnsi="Times New Roman" w:cs="Times New Roman"/>
          <w:lang w:eastAsia="fr-FR"/>
        </w:rPr>
        <w:t xml:space="preserve">.), </w:t>
      </w:r>
      <w:r w:rsidRPr="00AE7D1D">
        <w:rPr>
          <w:rFonts w:ascii="Times New Roman" w:eastAsia="Times New Roman" w:hAnsi="Times New Roman" w:cs="Times New Roman"/>
          <w:i/>
          <w:iCs/>
          <w:lang w:eastAsia="fr-FR"/>
        </w:rPr>
        <w:t>Violences et rapports de genre : Enquête sur les violences de genre en France</w:t>
      </w:r>
      <w:r w:rsidRPr="00AE7D1D">
        <w:rPr>
          <w:rFonts w:ascii="Times New Roman" w:eastAsia="Times New Roman" w:hAnsi="Times New Roman" w:cs="Times New Roman"/>
          <w:lang w:eastAsia="fr-FR"/>
        </w:rPr>
        <w:t>, Paris, Ined Éditions (coll. « Grandes Enquêtes »), p. 355</w:t>
      </w:r>
      <w:r w:rsidRPr="00AE7D1D">
        <w:rPr>
          <w:rFonts w:ascii="Times New Roman" w:eastAsia="Times New Roman" w:hAnsi="Times New Roman" w:cs="Times New Roman"/>
          <w:lang w:eastAsia="fr-FR"/>
        </w:rPr>
        <w:noBreakHyphen/>
        <w:t>390.</w:t>
      </w:r>
    </w:p>
    <w:p w14:paraId="62C8EA77"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proofErr w:type="spellStart"/>
      <w:r w:rsidRPr="00AE7D1D">
        <w:rPr>
          <w:rFonts w:ascii="Times New Roman" w:eastAsia="Times New Roman" w:hAnsi="Times New Roman" w:cs="Times New Roman"/>
          <w:smallCaps/>
          <w:lang w:eastAsia="fr-FR"/>
        </w:rPr>
        <w:lastRenderedPageBreak/>
        <w:t>Turell</w:t>
      </w:r>
      <w:proofErr w:type="spellEnd"/>
      <w:r w:rsidRPr="00AE7D1D">
        <w:rPr>
          <w:rFonts w:ascii="Times New Roman" w:eastAsia="Times New Roman" w:hAnsi="Times New Roman" w:cs="Times New Roman"/>
          <w:lang w:eastAsia="fr-FR"/>
        </w:rPr>
        <w:t xml:space="preserve"> Susan C., </w:t>
      </w:r>
      <w:r w:rsidRPr="00AE7D1D">
        <w:rPr>
          <w:rFonts w:ascii="Times New Roman" w:eastAsia="Times New Roman" w:hAnsi="Times New Roman" w:cs="Times New Roman"/>
          <w:smallCaps/>
          <w:lang w:eastAsia="fr-FR"/>
        </w:rPr>
        <w:t>Brown</w:t>
      </w:r>
      <w:r w:rsidRPr="00AE7D1D">
        <w:rPr>
          <w:rFonts w:ascii="Times New Roman" w:eastAsia="Times New Roman" w:hAnsi="Times New Roman" w:cs="Times New Roman"/>
          <w:lang w:eastAsia="fr-FR"/>
        </w:rPr>
        <w:t xml:space="preserve"> Michael et </w:t>
      </w:r>
      <w:r w:rsidRPr="00AE7D1D">
        <w:rPr>
          <w:rFonts w:ascii="Times New Roman" w:eastAsia="Times New Roman" w:hAnsi="Times New Roman" w:cs="Times New Roman"/>
          <w:smallCaps/>
          <w:lang w:eastAsia="fr-FR"/>
        </w:rPr>
        <w:t>Herrmann</w:t>
      </w:r>
      <w:r w:rsidRPr="00AE7D1D">
        <w:rPr>
          <w:rFonts w:ascii="Times New Roman" w:eastAsia="Times New Roman" w:hAnsi="Times New Roman" w:cs="Times New Roman"/>
          <w:lang w:eastAsia="fr-FR"/>
        </w:rPr>
        <w:t xml:space="preserve"> Molly, 2018, « </w:t>
      </w:r>
      <w:proofErr w:type="spellStart"/>
      <w:r w:rsidRPr="00AE7D1D">
        <w:rPr>
          <w:rFonts w:ascii="Times New Roman" w:eastAsia="Times New Roman" w:hAnsi="Times New Roman" w:cs="Times New Roman"/>
          <w:lang w:eastAsia="fr-FR"/>
        </w:rPr>
        <w:t>Disproportionately</w:t>
      </w:r>
      <w:proofErr w:type="spellEnd"/>
      <w:r w:rsidRPr="00AE7D1D">
        <w:rPr>
          <w:rFonts w:ascii="Times New Roman" w:eastAsia="Times New Roman" w:hAnsi="Times New Roman" w:cs="Times New Roman"/>
          <w:lang w:eastAsia="fr-FR"/>
        </w:rPr>
        <w:t xml:space="preserve"> </w:t>
      </w:r>
      <w:proofErr w:type="gramStart"/>
      <w:r w:rsidRPr="00AE7D1D">
        <w:rPr>
          <w:rFonts w:ascii="Times New Roman" w:eastAsia="Times New Roman" w:hAnsi="Times New Roman" w:cs="Times New Roman"/>
          <w:lang w:eastAsia="fr-FR"/>
        </w:rPr>
        <w:t>high:</w:t>
      </w:r>
      <w:proofErr w:type="gramEnd"/>
      <w:r w:rsidRPr="00AE7D1D">
        <w:rPr>
          <w:rFonts w:ascii="Times New Roman" w:eastAsia="Times New Roman" w:hAnsi="Times New Roman" w:cs="Times New Roman"/>
          <w:lang w:eastAsia="fr-FR"/>
        </w:rPr>
        <w:t xml:space="preserve"> an exploration of </w:t>
      </w:r>
      <w:proofErr w:type="spellStart"/>
      <w:r w:rsidRPr="00AE7D1D">
        <w:rPr>
          <w:rFonts w:ascii="Times New Roman" w:eastAsia="Times New Roman" w:hAnsi="Times New Roman" w:cs="Times New Roman"/>
          <w:lang w:eastAsia="fr-FR"/>
        </w:rPr>
        <w:t>intimate</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partner</w:t>
      </w:r>
      <w:proofErr w:type="spellEnd"/>
      <w:r w:rsidRPr="00AE7D1D">
        <w:rPr>
          <w:rFonts w:ascii="Times New Roman" w:eastAsia="Times New Roman" w:hAnsi="Times New Roman" w:cs="Times New Roman"/>
          <w:lang w:eastAsia="fr-FR"/>
        </w:rPr>
        <w:t xml:space="preserve"> violence </w:t>
      </w:r>
      <w:proofErr w:type="spellStart"/>
      <w:r w:rsidRPr="00AE7D1D">
        <w:rPr>
          <w:rFonts w:ascii="Times New Roman" w:eastAsia="Times New Roman" w:hAnsi="Times New Roman" w:cs="Times New Roman"/>
          <w:lang w:eastAsia="fr-FR"/>
        </w:rPr>
        <w:t>prevalence</w:t>
      </w:r>
      <w:proofErr w:type="spellEnd"/>
      <w:r w:rsidRPr="00AE7D1D">
        <w:rPr>
          <w:rFonts w:ascii="Times New Roman" w:eastAsia="Times New Roman" w:hAnsi="Times New Roman" w:cs="Times New Roman"/>
          <w:lang w:eastAsia="fr-FR"/>
        </w:rPr>
        <w:t xml:space="preserve"> rates for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people », </w:t>
      </w:r>
      <w:proofErr w:type="spellStart"/>
      <w:r w:rsidRPr="00AE7D1D">
        <w:rPr>
          <w:rFonts w:ascii="Times New Roman" w:eastAsia="Times New Roman" w:hAnsi="Times New Roman" w:cs="Times New Roman"/>
          <w:i/>
          <w:iCs/>
          <w:lang w:eastAsia="fr-FR"/>
        </w:rPr>
        <w:t>Sexual</w:t>
      </w:r>
      <w:proofErr w:type="spellEnd"/>
      <w:r w:rsidRPr="00AE7D1D">
        <w:rPr>
          <w:rFonts w:ascii="Times New Roman" w:eastAsia="Times New Roman" w:hAnsi="Times New Roman" w:cs="Times New Roman"/>
          <w:i/>
          <w:iCs/>
          <w:lang w:eastAsia="fr-FR"/>
        </w:rPr>
        <w:t xml:space="preserve"> and Relationship </w:t>
      </w:r>
      <w:proofErr w:type="spellStart"/>
      <w:r w:rsidRPr="00AE7D1D">
        <w:rPr>
          <w:rFonts w:ascii="Times New Roman" w:eastAsia="Times New Roman" w:hAnsi="Times New Roman" w:cs="Times New Roman"/>
          <w:i/>
          <w:iCs/>
          <w:lang w:eastAsia="fr-FR"/>
        </w:rPr>
        <w:t>Therapy</w:t>
      </w:r>
      <w:proofErr w:type="spellEnd"/>
      <w:r w:rsidRPr="00AE7D1D">
        <w:rPr>
          <w:rFonts w:ascii="Times New Roman" w:eastAsia="Times New Roman" w:hAnsi="Times New Roman" w:cs="Times New Roman"/>
          <w:lang w:eastAsia="fr-FR"/>
        </w:rPr>
        <w:t>, 2018, vol. 33,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1</w:t>
      </w:r>
      <w:r w:rsidRPr="00AE7D1D">
        <w:rPr>
          <w:rFonts w:ascii="Times New Roman" w:eastAsia="Times New Roman" w:hAnsi="Times New Roman" w:cs="Times New Roman"/>
          <w:lang w:eastAsia="fr-FR"/>
        </w:rPr>
        <w:noBreakHyphen/>
        <w:t>2, p. 113</w:t>
      </w:r>
      <w:r w:rsidRPr="00AE7D1D">
        <w:rPr>
          <w:rFonts w:ascii="Times New Roman" w:eastAsia="Times New Roman" w:hAnsi="Times New Roman" w:cs="Times New Roman"/>
          <w:lang w:eastAsia="fr-FR"/>
        </w:rPr>
        <w:noBreakHyphen/>
        <w:t>131.</w:t>
      </w:r>
    </w:p>
    <w:p w14:paraId="50D7CBAB" w14:textId="77777777" w:rsidR="00AE7D1D" w:rsidRPr="00AE7D1D" w:rsidRDefault="00AE7D1D" w:rsidP="00AE7D1D">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Widmer</w:t>
      </w:r>
      <w:r w:rsidRPr="00AE7D1D">
        <w:rPr>
          <w:rFonts w:ascii="Times New Roman" w:eastAsia="Times New Roman" w:hAnsi="Times New Roman" w:cs="Times New Roman"/>
          <w:lang w:eastAsia="fr-FR"/>
        </w:rPr>
        <w:t xml:space="preserve"> Éric D., </w:t>
      </w:r>
      <w:r w:rsidRPr="00AE7D1D">
        <w:rPr>
          <w:rFonts w:ascii="Times New Roman" w:eastAsia="Times New Roman" w:hAnsi="Times New Roman" w:cs="Times New Roman"/>
          <w:smallCaps/>
          <w:lang w:eastAsia="fr-FR"/>
        </w:rPr>
        <w:t>Kellerhals</w:t>
      </w:r>
      <w:r w:rsidRPr="00AE7D1D">
        <w:rPr>
          <w:rFonts w:ascii="Times New Roman" w:eastAsia="Times New Roman" w:hAnsi="Times New Roman" w:cs="Times New Roman"/>
          <w:lang w:eastAsia="fr-FR"/>
        </w:rPr>
        <w:t xml:space="preserve"> Jean et </w:t>
      </w:r>
      <w:r w:rsidRPr="00AE7D1D">
        <w:rPr>
          <w:rFonts w:ascii="Times New Roman" w:eastAsia="Times New Roman" w:hAnsi="Times New Roman" w:cs="Times New Roman"/>
          <w:smallCaps/>
          <w:lang w:eastAsia="fr-FR"/>
        </w:rPr>
        <w:t>Lévy</w:t>
      </w:r>
      <w:r w:rsidRPr="00AE7D1D">
        <w:rPr>
          <w:rFonts w:ascii="Times New Roman" w:eastAsia="Times New Roman" w:hAnsi="Times New Roman" w:cs="Times New Roman"/>
          <w:lang w:eastAsia="fr-FR"/>
        </w:rPr>
        <w:t xml:space="preserve"> René, 2004, « Quelle pluralisation des relations </w:t>
      </w:r>
      <w:proofErr w:type="gramStart"/>
      <w:r w:rsidRPr="00AE7D1D">
        <w:rPr>
          <w:rFonts w:ascii="Times New Roman" w:eastAsia="Times New Roman" w:hAnsi="Times New Roman" w:cs="Times New Roman"/>
          <w:lang w:eastAsia="fr-FR"/>
        </w:rPr>
        <w:t>familiales ?:</w:t>
      </w:r>
      <w:proofErr w:type="gramEnd"/>
      <w:r w:rsidRPr="00AE7D1D">
        <w:rPr>
          <w:rFonts w:ascii="Times New Roman" w:eastAsia="Times New Roman" w:hAnsi="Times New Roman" w:cs="Times New Roman"/>
          <w:lang w:eastAsia="fr-FR"/>
        </w:rPr>
        <w:t xml:space="preserve">Conflits, styles d’interactions conjugales et milieu social », </w:t>
      </w:r>
      <w:r w:rsidRPr="00AE7D1D">
        <w:rPr>
          <w:rFonts w:ascii="Times New Roman" w:eastAsia="Times New Roman" w:hAnsi="Times New Roman" w:cs="Times New Roman"/>
          <w:i/>
          <w:iCs/>
          <w:lang w:eastAsia="fr-FR"/>
        </w:rPr>
        <w:t>Revue française de sociologie</w:t>
      </w:r>
      <w:r w:rsidRPr="00AE7D1D">
        <w:rPr>
          <w:rFonts w:ascii="Times New Roman" w:eastAsia="Times New Roman" w:hAnsi="Times New Roman" w:cs="Times New Roman"/>
          <w:lang w:eastAsia="fr-FR"/>
        </w:rPr>
        <w:t>, 2004, vol. 45,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1, p. 37</w:t>
      </w:r>
      <w:r w:rsidRPr="00AE7D1D">
        <w:rPr>
          <w:rFonts w:ascii="Times New Roman" w:eastAsia="Times New Roman" w:hAnsi="Times New Roman" w:cs="Times New Roman"/>
          <w:lang w:eastAsia="fr-FR"/>
        </w:rPr>
        <w:noBreakHyphen/>
        <w:t>67.</w:t>
      </w:r>
    </w:p>
    <w:p w14:paraId="41D2642C" w14:textId="4210E3E7" w:rsidR="00AE7D1D" w:rsidRPr="000244D8" w:rsidRDefault="00AE7D1D" w:rsidP="000244D8">
      <w:pPr>
        <w:widowControl/>
        <w:suppressAutoHyphens w:val="0"/>
        <w:autoSpaceDN/>
        <w:spacing w:before="240" w:line="360" w:lineRule="auto"/>
        <w:textAlignment w:val="auto"/>
        <w:rPr>
          <w:rFonts w:ascii="Times New Roman" w:eastAsia="Times New Roman" w:hAnsi="Times New Roman" w:cs="Times New Roman"/>
          <w:lang w:eastAsia="fr-FR"/>
        </w:rPr>
      </w:pPr>
      <w:r w:rsidRPr="00AE7D1D">
        <w:rPr>
          <w:rFonts w:ascii="Times New Roman" w:eastAsia="Times New Roman" w:hAnsi="Times New Roman" w:cs="Times New Roman"/>
          <w:smallCaps/>
          <w:lang w:eastAsia="fr-FR"/>
        </w:rPr>
        <w:t>Yoshino</w:t>
      </w:r>
      <w:r w:rsidRPr="00AE7D1D">
        <w:rPr>
          <w:rFonts w:ascii="Times New Roman" w:eastAsia="Times New Roman" w:hAnsi="Times New Roman" w:cs="Times New Roman"/>
          <w:lang w:eastAsia="fr-FR"/>
        </w:rPr>
        <w:t xml:space="preserve"> Kenji, 2000, « The </w:t>
      </w:r>
      <w:proofErr w:type="spellStart"/>
      <w:r w:rsidRPr="00AE7D1D">
        <w:rPr>
          <w:rFonts w:ascii="Times New Roman" w:eastAsia="Times New Roman" w:hAnsi="Times New Roman" w:cs="Times New Roman"/>
          <w:lang w:eastAsia="fr-FR"/>
        </w:rPr>
        <w:t>Epistemic</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Contract</w:t>
      </w:r>
      <w:proofErr w:type="spellEnd"/>
      <w:r w:rsidRPr="00AE7D1D">
        <w:rPr>
          <w:rFonts w:ascii="Times New Roman" w:eastAsia="Times New Roman" w:hAnsi="Times New Roman" w:cs="Times New Roman"/>
          <w:lang w:eastAsia="fr-FR"/>
        </w:rPr>
        <w:t xml:space="preserve"> of </w:t>
      </w:r>
      <w:proofErr w:type="spellStart"/>
      <w:r w:rsidRPr="00AE7D1D">
        <w:rPr>
          <w:rFonts w:ascii="Times New Roman" w:eastAsia="Times New Roman" w:hAnsi="Times New Roman" w:cs="Times New Roman"/>
          <w:lang w:eastAsia="fr-FR"/>
        </w:rPr>
        <w:t>Bisexual</w:t>
      </w:r>
      <w:proofErr w:type="spellEnd"/>
      <w:r w:rsidRPr="00AE7D1D">
        <w:rPr>
          <w:rFonts w:ascii="Times New Roman" w:eastAsia="Times New Roman" w:hAnsi="Times New Roman" w:cs="Times New Roman"/>
          <w:lang w:eastAsia="fr-FR"/>
        </w:rPr>
        <w:t xml:space="preserve"> </w:t>
      </w:r>
      <w:proofErr w:type="spellStart"/>
      <w:r w:rsidRPr="00AE7D1D">
        <w:rPr>
          <w:rFonts w:ascii="Times New Roman" w:eastAsia="Times New Roman" w:hAnsi="Times New Roman" w:cs="Times New Roman"/>
          <w:lang w:eastAsia="fr-FR"/>
        </w:rPr>
        <w:t>Erasure</w:t>
      </w:r>
      <w:proofErr w:type="spellEnd"/>
      <w:r w:rsidRPr="00AE7D1D">
        <w:rPr>
          <w:rFonts w:ascii="Times New Roman" w:eastAsia="Times New Roman" w:hAnsi="Times New Roman" w:cs="Times New Roman"/>
          <w:lang w:eastAsia="fr-FR"/>
        </w:rPr>
        <w:t xml:space="preserve"> », </w:t>
      </w:r>
      <w:r w:rsidRPr="00AE7D1D">
        <w:rPr>
          <w:rFonts w:ascii="Times New Roman" w:eastAsia="Times New Roman" w:hAnsi="Times New Roman" w:cs="Times New Roman"/>
          <w:i/>
          <w:iCs/>
          <w:lang w:eastAsia="fr-FR"/>
        </w:rPr>
        <w:t xml:space="preserve">Stanford </w:t>
      </w:r>
      <w:proofErr w:type="spellStart"/>
      <w:r w:rsidRPr="00AE7D1D">
        <w:rPr>
          <w:rFonts w:ascii="Times New Roman" w:eastAsia="Times New Roman" w:hAnsi="Times New Roman" w:cs="Times New Roman"/>
          <w:i/>
          <w:iCs/>
          <w:lang w:eastAsia="fr-FR"/>
        </w:rPr>
        <w:t>law</w:t>
      </w:r>
      <w:proofErr w:type="spellEnd"/>
      <w:r w:rsidRPr="00AE7D1D">
        <w:rPr>
          <w:rFonts w:ascii="Times New Roman" w:eastAsia="Times New Roman" w:hAnsi="Times New Roman" w:cs="Times New Roman"/>
          <w:i/>
          <w:iCs/>
          <w:lang w:eastAsia="fr-FR"/>
        </w:rPr>
        <w:t xml:space="preserve"> </w:t>
      </w:r>
      <w:proofErr w:type="spellStart"/>
      <w:r w:rsidRPr="00AE7D1D">
        <w:rPr>
          <w:rFonts w:ascii="Times New Roman" w:eastAsia="Times New Roman" w:hAnsi="Times New Roman" w:cs="Times New Roman"/>
          <w:i/>
          <w:iCs/>
          <w:lang w:eastAsia="fr-FR"/>
        </w:rPr>
        <w:t>review</w:t>
      </w:r>
      <w:proofErr w:type="spellEnd"/>
      <w:r w:rsidRPr="00AE7D1D">
        <w:rPr>
          <w:rFonts w:ascii="Times New Roman" w:eastAsia="Times New Roman" w:hAnsi="Times New Roman" w:cs="Times New Roman"/>
          <w:lang w:eastAsia="fr-FR"/>
        </w:rPr>
        <w:t>, 2000, vol. 52, n</w:t>
      </w:r>
      <w:r w:rsidRPr="00AE7D1D">
        <w:rPr>
          <w:rFonts w:ascii="Times New Roman" w:eastAsia="Times New Roman" w:hAnsi="Times New Roman" w:cs="Times New Roman"/>
          <w:vertAlign w:val="superscript"/>
          <w:lang w:eastAsia="fr-FR"/>
        </w:rPr>
        <w:t>o</w:t>
      </w:r>
      <w:r w:rsidRPr="00AE7D1D">
        <w:rPr>
          <w:rFonts w:ascii="Times New Roman" w:eastAsia="Times New Roman" w:hAnsi="Times New Roman" w:cs="Times New Roman"/>
          <w:lang w:eastAsia="fr-FR"/>
        </w:rPr>
        <w:t> 2, p. 353</w:t>
      </w:r>
      <w:r w:rsidRPr="00AE7D1D">
        <w:rPr>
          <w:rFonts w:ascii="Times New Roman" w:eastAsia="Times New Roman" w:hAnsi="Times New Roman" w:cs="Times New Roman"/>
          <w:lang w:eastAsia="fr-FR"/>
        </w:rPr>
        <w:noBreakHyphen/>
        <w:t>461.</w:t>
      </w:r>
    </w:p>
    <w:p w14:paraId="6B7583D2" w14:textId="6D366B2D" w:rsidR="008B6C56" w:rsidRDefault="008B6C56" w:rsidP="008B6C56">
      <w:pPr>
        <w:pStyle w:val="Titre1"/>
      </w:pPr>
      <w:bookmarkStart w:id="16" w:name="_Toc238741958"/>
      <w:r>
        <w:t>Annexes</w:t>
      </w:r>
      <w:bookmarkEnd w:id="16"/>
    </w:p>
    <w:p w14:paraId="1E07C0E8" w14:textId="3C483EA7" w:rsidR="008B6C56" w:rsidRPr="00DC2108" w:rsidRDefault="009D2B34" w:rsidP="008B6C56">
      <w:pPr>
        <w:pStyle w:val="Table"/>
      </w:pPr>
      <w:r>
        <w:t xml:space="preserve">Annexe 1 </w:t>
      </w:r>
      <w:r w:rsidR="008B6C56">
        <w:t xml:space="preserve">: </w:t>
      </w:r>
      <w:r w:rsidR="008B6C56" w:rsidRPr="005D5189">
        <w:t xml:space="preserve">Indicateur global de violence dans le couple </w:t>
      </w:r>
      <w:r w:rsidR="008B6C56">
        <w:t>avant</w:t>
      </w:r>
      <w:r w:rsidR="008B6C56" w:rsidRPr="005D5189">
        <w:t xml:space="preserve"> les 12 derniers mois</w:t>
      </w:r>
      <w:r w:rsidR="008B6C56">
        <w:t>.</w:t>
      </w:r>
    </w:p>
    <w:tbl>
      <w:tblPr>
        <w:tblW w:w="4974" w:type="pct"/>
        <w:jc w:val="center"/>
        <w:tblLook w:val="0420" w:firstRow="1" w:lastRow="0" w:firstColumn="0" w:lastColumn="0" w:noHBand="0" w:noVBand="1"/>
      </w:tblPr>
      <w:tblGrid>
        <w:gridCol w:w="2400"/>
        <w:gridCol w:w="1154"/>
        <w:gridCol w:w="1154"/>
        <w:gridCol w:w="1154"/>
        <w:gridCol w:w="1154"/>
        <w:gridCol w:w="1154"/>
        <w:gridCol w:w="1155"/>
      </w:tblGrid>
      <w:tr w:rsidR="008B6C56" w14:paraId="2B128EF2" w14:textId="77777777" w:rsidTr="00330156">
        <w:trPr>
          <w:tblHeader/>
          <w:jc w:val="center"/>
        </w:trPr>
        <w:tc>
          <w:tcPr>
            <w:tcW w:w="2400" w:type="dxa"/>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2A80367C"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3462" w:type="dxa"/>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B7015A"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DC2108">
              <w:rPr>
                <w:rFonts w:ascii="Times New Roman" w:eastAsia="Arial" w:hAnsi="Times New Roman" w:cs="Times New Roman"/>
                <w:b/>
                <w:color w:val="000000"/>
                <w:sz w:val="14"/>
                <w:szCs w:val="14"/>
              </w:rPr>
              <w:t>Virage PG — Femmes</w:t>
            </w:r>
          </w:p>
        </w:tc>
        <w:tc>
          <w:tcPr>
            <w:tcW w:w="3463" w:type="dxa"/>
            <w:gridSpan w:val="3"/>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6EBB860D"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DC2108">
              <w:rPr>
                <w:rFonts w:ascii="Times New Roman" w:eastAsia="Arial" w:hAnsi="Times New Roman" w:cs="Times New Roman"/>
                <w:b/>
                <w:color w:val="000000"/>
                <w:sz w:val="14"/>
                <w:szCs w:val="14"/>
              </w:rPr>
              <w:t>Virage PG — Hommes</w:t>
            </w:r>
          </w:p>
        </w:tc>
      </w:tr>
      <w:tr w:rsidR="008B6C56" w14:paraId="48C97533" w14:textId="77777777" w:rsidTr="00330156">
        <w:trPr>
          <w:tblHeader/>
          <w:jc w:val="center"/>
        </w:trPr>
        <w:tc>
          <w:tcPr>
            <w:tcW w:w="2400" w:type="dxa"/>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020294E3"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167A11"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Homo</w:t>
            </w:r>
            <w:r w:rsidRPr="00DC2108">
              <w:rPr>
                <w:rFonts w:ascii="Times New Roman" w:eastAsia="Arial" w:hAnsi="Times New Roman" w:cs="Times New Roman"/>
                <w:color w:val="000000"/>
                <w:sz w:val="14"/>
                <w:szCs w:val="14"/>
              </w:rPr>
              <w:br/>
              <w:t>(90)</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55C175"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Bi</w:t>
            </w:r>
            <w:r w:rsidRPr="00DC2108">
              <w:rPr>
                <w:rFonts w:ascii="Times New Roman" w:eastAsia="Arial" w:hAnsi="Times New Roman" w:cs="Times New Roman"/>
                <w:color w:val="000000"/>
                <w:sz w:val="14"/>
                <w:szCs w:val="14"/>
              </w:rPr>
              <w:br/>
              <w:t>(126)</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EB89D5"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Hétéro</w:t>
            </w:r>
            <w:r w:rsidRPr="00DC2108">
              <w:rPr>
                <w:rFonts w:ascii="Times New Roman" w:eastAsia="Arial" w:hAnsi="Times New Roman" w:cs="Times New Roman"/>
                <w:color w:val="000000"/>
                <w:sz w:val="14"/>
                <w:szCs w:val="14"/>
              </w:rPr>
              <w:br/>
              <w:t>(14</w:t>
            </w:r>
            <w:r>
              <w:rPr>
                <w:rFonts w:ascii="Times New Roman" w:eastAsia="Arial" w:hAnsi="Times New Roman" w:cs="Times New Roman"/>
                <w:color w:val="000000"/>
                <w:sz w:val="14"/>
                <w:szCs w:val="14"/>
              </w:rPr>
              <w:t xml:space="preserve"> </w:t>
            </w:r>
            <w:r w:rsidRPr="00DC2108">
              <w:rPr>
                <w:rFonts w:ascii="Times New Roman" w:eastAsia="Arial" w:hAnsi="Times New Roman" w:cs="Times New Roman"/>
                <w:color w:val="000000"/>
                <w:sz w:val="14"/>
                <w:szCs w:val="14"/>
              </w:rPr>
              <w:t>573)</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139289"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Homo</w:t>
            </w:r>
            <w:r w:rsidRPr="00DC2108">
              <w:rPr>
                <w:rFonts w:ascii="Times New Roman" w:eastAsia="Arial" w:hAnsi="Times New Roman" w:cs="Times New Roman"/>
                <w:color w:val="000000"/>
                <w:sz w:val="14"/>
                <w:szCs w:val="14"/>
              </w:rPr>
              <w:br/>
              <w:t>(152)</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E969AA"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Bi</w:t>
            </w:r>
            <w:r w:rsidRPr="00DC2108">
              <w:rPr>
                <w:rFonts w:ascii="Times New Roman" w:eastAsia="Arial" w:hAnsi="Times New Roman" w:cs="Times New Roman"/>
                <w:color w:val="000000"/>
                <w:sz w:val="14"/>
                <w:szCs w:val="14"/>
              </w:rPr>
              <w:br/>
              <w:t>(76)</w:t>
            </w:r>
            <w:r w:rsidRPr="00DC2108">
              <w:rPr>
                <w:rFonts w:ascii="Times New Roman" w:eastAsia="Arial" w:hAnsi="Times New Roman" w:cs="Times New Roman"/>
                <w:color w:val="000000"/>
                <w:sz w:val="14"/>
                <w:szCs w:val="14"/>
                <w:vertAlign w:val="superscript"/>
              </w:rPr>
              <w:t>1</w:t>
            </w:r>
          </w:p>
        </w:tc>
        <w:tc>
          <w:tcPr>
            <w:tcW w:w="1155" w:type="dxa"/>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1E8754B5"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Hétéro</w:t>
            </w:r>
            <w:r w:rsidRPr="00DC2108">
              <w:rPr>
                <w:rFonts w:ascii="Times New Roman" w:eastAsia="Arial" w:hAnsi="Times New Roman" w:cs="Times New Roman"/>
                <w:color w:val="000000"/>
                <w:sz w:val="14"/>
                <w:szCs w:val="14"/>
              </w:rPr>
              <w:br/>
              <w:t>(10</w:t>
            </w:r>
            <w:r>
              <w:rPr>
                <w:rFonts w:ascii="Times New Roman" w:eastAsia="Arial" w:hAnsi="Times New Roman" w:cs="Times New Roman"/>
                <w:color w:val="000000"/>
                <w:sz w:val="14"/>
                <w:szCs w:val="14"/>
              </w:rPr>
              <w:t xml:space="preserve"> </w:t>
            </w:r>
            <w:r w:rsidRPr="00DC2108">
              <w:rPr>
                <w:rFonts w:ascii="Times New Roman" w:eastAsia="Arial" w:hAnsi="Times New Roman" w:cs="Times New Roman"/>
                <w:color w:val="000000"/>
                <w:sz w:val="14"/>
                <w:szCs w:val="14"/>
              </w:rPr>
              <w:t>700)</w:t>
            </w:r>
            <w:r w:rsidRPr="00DC2108">
              <w:rPr>
                <w:rFonts w:ascii="Times New Roman" w:eastAsia="Arial" w:hAnsi="Times New Roman" w:cs="Times New Roman"/>
                <w:color w:val="000000"/>
                <w:sz w:val="14"/>
                <w:szCs w:val="14"/>
                <w:vertAlign w:val="superscript"/>
              </w:rPr>
              <w:t>1</w:t>
            </w:r>
          </w:p>
        </w:tc>
      </w:tr>
      <w:tr w:rsidR="008B6C56" w14:paraId="2B5B0D77" w14:textId="77777777" w:rsidTr="00330156">
        <w:trPr>
          <w:jc w:val="center"/>
        </w:trPr>
        <w:tc>
          <w:tcPr>
            <w:tcW w:w="9325" w:type="dxa"/>
            <w:gridSpan w:val="7"/>
            <w:tcBorders>
              <w:top w:val="single" w:sz="8"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73A2105F"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DC2108">
              <w:rPr>
                <w:rFonts w:ascii="Times New Roman" w:eastAsia="Arial" w:hAnsi="Times New Roman" w:cs="Times New Roman"/>
                <w:bCs/>
                <w:i/>
                <w:iCs/>
                <w:color w:val="000000"/>
                <w:sz w:val="14"/>
                <w:szCs w:val="14"/>
              </w:rPr>
              <w:t>Violence dans le couple (</w:t>
            </w:r>
            <w:proofErr w:type="spellStart"/>
            <w:r w:rsidRPr="00DC2108">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DC2108">
              <w:rPr>
                <w:rFonts w:ascii="Times New Roman" w:eastAsia="Arial" w:hAnsi="Times New Roman" w:cs="Times New Roman"/>
                <w:bCs/>
                <w:i/>
                <w:iCs/>
                <w:color w:val="000000"/>
                <w:sz w:val="14"/>
                <w:szCs w:val="14"/>
              </w:rPr>
              <w:t>e</w:t>
            </w:r>
            <w:proofErr w:type="spellEnd"/>
            <w:r w:rsidRPr="00DC2108">
              <w:rPr>
                <w:rFonts w:ascii="Times New Roman" w:eastAsia="Arial" w:hAnsi="Times New Roman" w:cs="Times New Roman"/>
                <w:bCs/>
                <w:i/>
                <w:iCs/>
                <w:color w:val="000000"/>
                <w:sz w:val="14"/>
                <w:szCs w:val="14"/>
              </w:rPr>
              <w:t xml:space="preserve"> </w:t>
            </w:r>
            <w:proofErr w:type="spellStart"/>
            <w:r w:rsidRPr="00DC2108">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DC2108">
              <w:rPr>
                <w:rFonts w:ascii="Times New Roman" w:eastAsia="Arial" w:hAnsi="Times New Roman" w:cs="Times New Roman"/>
                <w:bCs/>
                <w:i/>
                <w:iCs/>
                <w:color w:val="000000"/>
                <w:sz w:val="14"/>
                <w:szCs w:val="14"/>
              </w:rPr>
              <w:t>le</w:t>
            </w:r>
            <w:proofErr w:type="spellEnd"/>
            <w:r w:rsidRPr="00DC2108">
              <w:rPr>
                <w:rFonts w:ascii="Times New Roman" w:eastAsia="Arial" w:hAnsi="Times New Roman" w:cs="Times New Roman"/>
                <w:bCs/>
                <w:i/>
                <w:iCs/>
                <w:color w:val="000000"/>
                <w:sz w:val="14"/>
                <w:szCs w:val="14"/>
              </w:rPr>
              <w:t xml:space="preserve"> ou ex) avant les 12 derniers mois</w:t>
            </w:r>
          </w:p>
        </w:tc>
      </w:tr>
      <w:tr w:rsidR="008B6C56" w14:paraId="6244F9FC" w14:textId="77777777" w:rsidTr="00330156">
        <w:trPr>
          <w:jc w:val="center"/>
        </w:trPr>
        <w:tc>
          <w:tcPr>
            <w:tcW w:w="2400" w:type="dxa"/>
            <w:tcBorders>
              <w:left w:val="single" w:sz="12" w:space="0" w:color="auto"/>
              <w:right w:val="single" w:sz="4" w:space="0" w:color="auto"/>
            </w:tcBorders>
            <w:shd w:val="clear" w:color="auto" w:fill="FFFFFF"/>
            <w:tcMar>
              <w:top w:w="0" w:type="dxa"/>
              <w:left w:w="0" w:type="dxa"/>
              <w:bottom w:w="0" w:type="dxa"/>
              <w:right w:w="0" w:type="dxa"/>
            </w:tcMar>
          </w:tcPr>
          <w:p w14:paraId="5F2058EF"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Oui</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7700A655"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9.5%</w:t>
            </w:r>
            <w:r w:rsidRPr="00DC2108">
              <w:rPr>
                <w:rFonts w:ascii="Times New Roman" w:eastAsia="Arial" w:hAnsi="Times New Roman" w:cs="Times New Roman"/>
                <w:color w:val="000000"/>
                <w:sz w:val="14"/>
                <w:szCs w:val="14"/>
              </w:rPr>
              <w:br/>
              <w:t>(8)</w:t>
            </w:r>
            <w:r w:rsidRPr="00DC2108">
              <w:rPr>
                <w:rFonts w:ascii="Times New Roman" w:eastAsia="Arial" w:hAnsi="Times New Roman" w:cs="Times New Roman"/>
                <w:color w:val="000000"/>
                <w:sz w:val="14"/>
                <w:szCs w:val="14"/>
              </w:rPr>
              <w:br/>
              <w:t>[3.3-24]</w:t>
            </w:r>
            <w:r w:rsidRPr="00DC2108">
              <w:rPr>
                <w:rFonts w:ascii="Times New Roman" w:eastAsia="Arial" w:hAnsi="Times New Roman" w:cs="Times New Roman"/>
                <w:color w:val="000000"/>
                <w:sz w:val="14"/>
                <w:szCs w:val="14"/>
                <w:vertAlign w:val="superscript"/>
              </w:rPr>
              <w:t>3</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6EF9FF17"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15.8%</w:t>
            </w:r>
            <w:r w:rsidRPr="00DC2108">
              <w:rPr>
                <w:rFonts w:ascii="Times New Roman" w:eastAsia="Arial" w:hAnsi="Times New Roman" w:cs="Times New Roman"/>
                <w:color w:val="000000"/>
                <w:sz w:val="14"/>
                <w:szCs w:val="14"/>
              </w:rPr>
              <w:br/>
              <w:t>(21)</w:t>
            </w:r>
            <w:r w:rsidRPr="00DC2108">
              <w:rPr>
                <w:rFonts w:ascii="Times New Roman" w:eastAsia="Arial" w:hAnsi="Times New Roman" w:cs="Times New Roman"/>
                <w:color w:val="000000"/>
                <w:sz w:val="14"/>
                <w:szCs w:val="14"/>
              </w:rPr>
              <w:br/>
              <w:t>[9.6-25]</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07BC0B12"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6.1%</w:t>
            </w:r>
            <w:r w:rsidRPr="00DC2108">
              <w:rPr>
                <w:rFonts w:ascii="Times New Roman" w:eastAsia="Arial" w:hAnsi="Times New Roman" w:cs="Times New Roman"/>
                <w:color w:val="000000"/>
                <w:sz w:val="14"/>
                <w:szCs w:val="14"/>
              </w:rPr>
              <w:br/>
              <w:t>(1,032)</w:t>
            </w:r>
            <w:r w:rsidRPr="00DC2108">
              <w:rPr>
                <w:rFonts w:ascii="Times New Roman" w:eastAsia="Arial" w:hAnsi="Times New Roman" w:cs="Times New Roman"/>
                <w:color w:val="000000"/>
                <w:sz w:val="14"/>
                <w:szCs w:val="14"/>
              </w:rPr>
              <w:br/>
              <w:t>[5.6-6.6]</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540172CD"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5.0%</w:t>
            </w:r>
            <w:r w:rsidRPr="00DC2108">
              <w:rPr>
                <w:rFonts w:ascii="Times New Roman" w:eastAsia="Arial" w:hAnsi="Times New Roman" w:cs="Times New Roman"/>
                <w:color w:val="000000"/>
                <w:sz w:val="14"/>
                <w:szCs w:val="14"/>
              </w:rPr>
              <w:br/>
              <w:t>(7)</w:t>
            </w:r>
            <w:r w:rsidRPr="00DC2108">
              <w:rPr>
                <w:rFonts w:ascii="Times New Roman" w:eastAsia="Arial" w:hAnsi="Times New Roman" w:cs="Times New Roman"/>
                <w:color w:val="000000"/>
                <w:sz w:val="14"/>
                <w:szCs w:val="14"/>
              </w:rPr>
              <w:br/>
              <w:t>[2.0-12]</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569E0454"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9.6%</w:t>
            </w:r>
            <w:r w:rsidRPr="00DC2108">
              <w:rPr>
                <w:rFonts w:ascii="Times New Roman" w:eastAsia="Arial" w:hAnsi="Times New Roman" w:cs="Times New Roman"/>
                <w:color w:val="000000"/>
                <w:sz w:val="14"/>
                <w:szCs w:val="14"/>
              </w:rPr>
              <w:br/>
              <w:t>(4)</w:t>
            </w:r>
            <w:r w:rsidRPr="00DC2108">
              <w:rPr>
                <w:rFonts w:ascii="Times New Roman" w:eastAsia="Arial" w:hAnsi="Times New Roman" w:cs="Times New Roman"/>
                <w:color w:val="000000"/>
                <w:sz w:val="14"/>
                <w:szCs w:val="14"/>
              </w:rPr>
              <w:br/>
              <w:t>[3.4-24]</w:t>
            </w:r>
          </w:p>
        </w:tc>
        <w:tc>
          <w:tcPr>
            <w:tcW w:w="1155" w:type="dxa"/>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0718ECE6"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2.2%</w:t>
            </w:r>
            <w:r w:rsidRPr="00DC2108">
              <w:rPr>
                <w:rFonts w:ascii="Times New Roman" w:eastAsia="Arial" w:hAnsi="Times New Roman" w:cs="Times New Roman"/>
                <w:color w:val="000000"/>
                <w:sz w:val="14"/>
                <w:szCs w:val="14"/>
              </w:rPr>
              <w:br/>
              <w:t>(266)</w:t>
            </w:r>
            <w:r w:rsidRPr="00DC2108">
              <w:rPr>
                <w:rFonts w:ascii="Times New Roman" w:eastAsia="Arial" w:hAnsi="Times New Roman" w:cs="Times New Roman"/>
                <w:color w:val="000000"/>
                <w:sz w:val="14"/>
                <w:szCs w:val="14"/>
              </w:rPr>
              <w:br/>
              <w:t>[1.9-2.5]</w:t>
            </w:r>
          </w:p>
        </w:tc>
      </w:tr>
      <w:tr w:rsidR="008B6C56" w14:paraId="3BE5EB4F" w14:textId="77777777" w:rsidTr="00330156">
        <w:trPr>
          <w:jc w:val="center"/>
        </w:trPr>
        <w:tc>
          <w:tcPr>
            <w:tcW w:w="2400" w:type="dxa"/>
            <w:tcBorders>
              <w:left w:val="single" w:sz="12" w:space="0" w:color="auto"/>
              <w:right w:val="single" w:sz="4" w:space="0" w:color="auto"/>
            </w:tcBorders>
            <w:shd w:val="clear" w:color="auto" w:fill="FFFFFF"/>
            <w:tcMar>
              <w:top w:w="0" w:type="dxa"/>
              <w:left w:w="0" w:type="dxa"/>
              <w:bottom w:w="0" w:type="dxa"/>
              <w:right w:w="0" w:type="dxa"/>
            </w:tcMar>
          </w:tcPr>
          <w:p w14:paraId="0B372EDD"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Non</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5F0D807E"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90.5%</w:t>
            </w:r>
            <w:r w:rsidRPr="00DC2108">
              <w:rPr>
                <w:rFonts w:ascii="Times New Roman" w:eastAsia="Arial" w:hAnsi="Times New Roman" w:cs="Times New Roman"/>
                <w:color w:val="000000"/>
                <w:sz w:val="14"/>
                <w:szCs w:val="14"/>
              </w:rPr>
              <w:br/>
              <w:t>(82)</w:t>
            </w:r>
            <w:r w:rsidRPr="00DC2108">
              <w:rPr>
                <w:rFonts w:ascii="Times New Roman" w:eastAsia="Arial" w:hAnsi="Times New Roman" w:cs="Times New Roman"/>
                <w:color w:val="000000"/>
                <w:sz w:val="14"/>
                <w:szCs w:val="14"/>
              </w:rPr>
              <w:br/>
              <w:t>[76-97]</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2407420F"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84.2%</w:t>
            </w:r>
            <w:r w:rsidRPr="00DC2108">
              <w:rPr>
                <w:rFonts w:ascii="Times New Roman" w:eastAsia="Arial" w:hAnsi="Times New Roman" w:cs="Times New Roman"/>
                <w:color w:val="000000"/>
                <w:sz w:val="14"/>
                <w:szCs w:val="14"/>
              </w:rPr>
              <w:br/>
              <w:t>(105)</w:t>
            </w:r>
            <w:r w:rsidRPr="00DC2108">
              <w:rPr>
                <w:rFonts w:ascii="Times New Roman" w:eastAsia="Arial" w:hAnsi="Times New Roman" w:cs="Times New Roman"/>
                <w:color w:val="000000"/>
                <w:sz w:val="14"/>
                <w:szCs w:val="14"/>
              </w:rPr>
              <w:br/>
              <w:t>[75-90]</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57DFC96"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93.9%</w:t>
            </w:r>
            <w:r w:rsidRPr="00DC2108">
              <w:rPr>
                <w:rFonts w:ascii="Times New Roman" w:eastAsia="Arial" w:hAnsi="Times New Roman" w:cs="Times New Roman"/>
                <w:color w:val="000000"/>
                <w:sz w:val="14"/>
                <w:szCs w:val="14"/>
              </w:rPr>
              <w:br/>
              <w:t>(13,537)</w:t>
            </w:r>
            <w:r w:rsidRPr="00DC2108">
              <w:rPr>
                <w:rFonts w:ascii="Times New Roman" w:eastAsia="Arial" w:hAnsi="Times New Roman" w:cs="Times New Roman"/>
                <w:color w:val="000000"/>
                <w:sz w:val="14"/>
                <w:szCs w:val="14"/>
              </w:rPr>
              <w:br/>
              <w:t>[93-94]</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0D4FD6BE"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95.0%</w:t>
            </w:r>
            <w:r w:rsidRPr="00DC2108">
              <w:rPr>
                <w:rFonts w:ascii="Times New Roman" w:eastAsia="Arial" w:hAnsi="Times New Roman" w:cs="Times New Roman"/>
                <w:color w:val="000000"/>
                <w:sz w:val="14"/>
                <w:szCs w:val="14"/>
              </w:rPr>
              <w:br/>
              <w:t>(145)</w:t>
            </w:r>
            <w:r w:rsidRPr="00DC2108">
              <w:rPr>
                <w:rFonts w:ascii="Times New Roman" w:eastAsia="Arial" w:hAnsi="Times New Roman" w:cs="Times New Roman"/>
                <w:color w:val="000000"/>
                <w:sz w:val="14"/>
                <w:szCs w:val="14"/>
              </w:rPr>
              <w:br/>
              <w:t>[88-98]</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AEDFF1B"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90.4%</w:t>
            </w:r>
            <w:r w:rsidRPr="00DC2108">
              <w:rPr>
                <w:rFonts w:ascii="Times New Roman" w:eastAsia="Arial" w:hAnsi="Times New Roman" w:cs="Times New Roman"/>
                <w:color w:val="000000"/>
                <w:sz w:val="14"/>
                <w:szCs w:val="14"/>
              </w:rPr>
              <w:br/>
              <w:t>(72)</w:t>
            </w:r>
            <w:r w:rsidRPr="00DC2108">
              <w:rPr>
                <w:rFonts w:ascii="Times New Roman" w:eastAsia="Arial" w:hAnsi="Times New Roman" w:cs="Times New Roman"/>
                <w:color w:val="000000"/>
                <w:sz w:val="14"/>
                <w:szCs w:val="14"/>
              </w:rPr>
              <w:br/>
              <w:t>[76-97]</w:t>
            </w:r>
          </w:p>
        </w:tc>
        <w:tc>
          <w:tcPr>
            <w:tcW w:w="1155" w:type="dxa"/>
            <w:tcBorders>
              <w:left w:val="single" w:sz="4" w:space="0" w:color="auto"/>
              <w:right w:val="single" w:sz="12" w:space="0" w:color="auto"/>
            </w:tcBorders>
            <w:shd w:val="clear" w:color="auto" w:fill="FFFFFF"/>
            <w:tcMar>
              <w:top w:w="0" w:type="dxa"/>
              <w:left w:w="0" w:type="dxa"/>
              <w:bottom w:w="0" w:type="dxa"/>
              <w:right w:w="0" w:type="dxa"/>
            </w:tcMar>
          </w:tcPr>
          <w:p w14:paraId="27607E9C"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97.8%</w:t>
            </w:r>
            <w:r w:rsidRPr="00DC2108">
              <w:rPr>
                <w:rFonts w:ascii="Times New Roman" w:eastAsia="Arial" w:hAnsi="Times New Roman" w:cs="Times New Roman"/>
                <w:color w:val="000000"/>
                <w:sz w:val="14"/>
                <w:szCs w:val="14"/>
              </w:rPr>
              <w:br/>
              <w:t>(10,433)</w:t>
            </w:r>
            <w:r w:rsidRPr="00DC2108">
              <w:rPr>
                <w:rFonts w:ascii="Times New Roman" w:eastAsia="Arial" w:hAnsi="Times New Roman" w:cs="Times New Roman"/>
                <w:color w:val="000000"/>
                <w:sz w:val="14"/>
                <w:szCs w:val="14"/>
              </w:rPr>
              <w:br/>
              <w:t>[97-98]</w:t>
            </w:r>
          </w:p>
        </w:tc>
      </w:tr>
      <w:tr w:rsidR="008B6C56" w14:paraId="576718F6" w14:textId="77777777" w:rsidTr="00330156">
        <w:trPr>
          <w:jc w:val="center"/>
        </w:trPr>
        <w:tc>
          <w:tcPr>
            <w:tcW w:w="2400" w:type="dxa"/>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7E80F7DB"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P-valeur</w:t>
            </w:r>
          </w:p>
        </w:tc>
        <w:tc>
          <w:tcPr>
            <w:tcW w:w="3462" w:type="dxa"/>
            <w:gridSpan w:val="3"/>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34B19BAC"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0.004</w:t>
            </w:r>
            <w:r w:rsidRPr="005D5189">
              <w:rPr>
                <w:rFonts w:ascii="Times New Roman" w:eastAsia="Arial" w:hAnsi="Times New Roman" w:cs="Times New Roman"/>
                <w:i/>
                <w:iCs/>
                <w:color w:val="000000"/>
                <w:sz w:val="14"/>
                <w:szCs w:val="14"/>
                <w:vertAlign w:val="superscript"/>
              </w:rPr>
              <w:t>2</w:t>
            </w:r>
          </w:p>
        </w:tc>
        <w:tc>
          <w:tcPr>
            <w:tcW w:w="3463" w:type="dxa"/>
            <w:gridSpan w:val="3"/>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1CADECEE"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0.001</w:t>
            </w:r>
            <w:r w:rsidRPr="005D5189">
              <w:rPr>
                <w:rFonts w:ascii="Times New Roman" w:eastAsia="Arial" w:hAnsi="Times New Roman" w:cs="Times New Roman"/>
                <w:i/>
                <w:iCs/>
                <w:color w:val="000000"/>
                <w:sz w:val="14"/>
                <w:szCs w:val="14"/>
                <w:vertAlign w:val="superscript"/>
              </w:rPr>
              <w:t>2</w:t>
            </w:r>
          </w:p>
        </w:tc>
      </w:tr>
      <w:tr w:rsidR="008B6C56" w14:paraId="6E9A9617" w14:textId="77777777" w:rsidTr="00330156">
        <w:trPr>
          <w:jc w:val="center"/>
        </w:trPr>
        <w:tc>
          <w:tcPr>
            <w:tcW w:w="9325" w:type="dxa"/>
            <w:gridSpan w:val="7"/>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tcPr>
          <w:p w14:paraId="29357F8B" w14:textId="77777777" w:rsidR="008B6C56" w:rsidRPr="009E54A4"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1</w:t>
            </w:r>
            <w:r w:rsidRPr="009E54A4">
              <w:rPr>
                <w:rFonts w:ascii="Times New Roman" w:eastAsia="Arial" w:hAnsi="Times New Roman" w:cs="Times New Roman"/>
                <w:color w:val="000000"/>
                <w:sz w:val="14"/>
                <w:szCs w:val="14"/>
              </w:rPr>
              <w:t>Effectifs non-pondérés entre parenthèses.</w:t>
            </w:r>
          </w:p>
          <w:p w14:paraId="046AB9BD" w14:textId="77777777" w:rsidR="008B6C56" w:rsidRPr="009E54A4"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2</w:t>
            </w:r>
            <w:r w:rsidRPr="009E54A4">
              <w:rPr>
                <w:rFonts w:ascii="Times New Roman" w:eastAsia="Arial" w:hAnsi="Times New Roman" w:cs="Times New Roman"/>
                <w:color w:val="000000"/>
                <w:sz w:val="14"/>
                <w:szCs w:val="14"/>
              </w:rPr>
              <w:t>Test du Chi-deux ajusté de Rao &amp; Scott pour données pondérées.</w:t>
            </w:r>
          </w:p>
          <w:p w14:paraId="0D642AA8" w14:textId="77777777" w:rsidR="008B6C56"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3</w:t>
            </w:r>
            <w:r w:rsidRPr="009E54A4">
              <w:rPr>
                <w:rFonts w:ascii="Times New Roman" w:eastAsia="Arial" w:hAnsi="Times New Roman" w:cs="Times New Roman"/>
                <w:color w:val="000000"/>
                <w:sz w:val="14"/>
                <w:szCs w:val="14"/>
              </w:rPr>
              <w:t xml:space="preserve">Pourcentages pondérés </w:t>
            </w:r>
            <w:r>
              <w:rPr>
                <w:rFonts w:ascii="Times New Roman" w:eastAsia="Arial" w:hAnsi="Times New Roman" w:cs="Times New Roman"/>
                <w:color w:val="000000"/>
                <w:sz w:val="14"/>
                <w:szCs w:val="14"/>
              </w:rPr>
              <w:t>(Effectifs non pondérés) [</w:t>
            </w:r>
            <w:r w:rsidRPr="009E54A4">
              <w:rPr>
                <w:rFonts w:ascii="Times New Roman" w:eastAsia="Arial" w:hAnsi="Times New Roman" w:cs="Times New Roman"/>
                <w:color w:val="000000"/>
                <w:sz w:val="14"/>
                <w:szCs w:val="14"/>
              </w:rPr>
              <w:t>Intervalle de confiance à 95 %</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w:t>
            </w:r>
          </w:p>
          <w:p w14:paraId="56C51BD6" w14:textId="77777777" w:rsidR="008B6C56"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Champ</w:t>
            </w:r>
            <w:r w:rsidRPr="009E54A4">
              <w:rPr>
                <w:rFonts w:ascii="Times New Roman" w:eastAsia="Arial" w:hAnsi="Times New Roman" w:cs="Times New Roman"/>
                <w:color w:val="000000"/>
                <w:sz w:val="14"/>
                <w:szCs w:val="14"/>
              </w:rPr>
              <w:t xml:space="preserve"> : </w:t>
            </w:r>
            <w:proofErr w:type="spellStart"/>
            <w:r w:rsidRPr="009E54A4">
              <w:rPr>
                <w:rFonts w:ascii="Times New Roman" w:eastAsia="Arial" w:hAnsi="Times New Roman" w:cs="Times New Roman"/>
                <w:color w:val="000000"/>
                <w:sz w:val="14"/>
                <w:szCs w:val="14"/>
              </w:rPr>
              <w:t>Répondant</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es</w:t>
            </w:r>
            <w:proofErr w:type="spellEnd"/>
            <w:r w:rsidRPr="009E54A4">
              <w:rPr>
                <w:rFonts w:ascii="Times New Roman" w:eastAsia="Arial" w:hAnsi="Times New Roman" w:cs="Times New Roman"/>
                <w:color w:val="000000"/>
                <w:sz w:val="14"/>
                <w:szCs w:val="14"/>
              </w:rPr>
              <w:t xml:space="preserve"> en couple dans les 12 mois de l'enquête Virage.</w:t>
            </w:r>
            <w:r>
              <w:rPr>
                <w:rFonts w:ascii="Times New Roman" w:eastAsia="Arial" w:hAnsi="Times New Roman" w:cs="Times New Roman"/>
                <w:color w:val="000000"/>
                <w:sz w:val="14"/>
                <w:szCs w:val="14"/>
              </w:rPr>
              <w:t xml:space="preserve"> </w:t>
            </w:r>
            <w:r w:rsidRPr="009E54A4">
              <w:rPr>
                <w:rFonts w:ascii="Times New Roman" w:eastAsia="Arial" w:hAnsi="Times New Roman" w:cs="Times New Roman"/>
                <w:color w:val="000000"/>
                <w:sz w:val="14"/>
                <w:szCs w:val="14"/>
              </w:rPr>
              <w:t>Données pondérées</w:t>
            </w:r>
          </w:p>
          <w:p w14:paraId="62C9D268" w14:textId="77777777" w:rsidR="008B6C56"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Lecture</w:t>
            </w:r>
            <w:r w:rsidRPr="009E54A4">
              <w:rPr>
                <w:rFonts w:ascii="Times New Roman" w:eastAsia="Arial" w:hAnsi="Times New Roman" w:cs="Times New Roman"/>
                <w:color w:val="000000"/>
                <w:sz w:val="14"/>
                <w:szCs w:val="14"/>
              </w:rPr>
              <w:t xml:space="preserve"> : 1.6% des femmes homosexuelles dans l'enquête Virage en population générale déclarent de la violence dans le couple dans les 12 mois précédent l'enquête, avec un intervalle de confiance à 95% de [0,36% - 7,2%].</w:t>
            </w:r>
          </w:p>
          <w:p w14:paraId="7399CEAC" w14:textId="77777777" w:rsidR="008B6C56" w:rsidRPr="00DC2108" w:rsidRDefault="008B6C56" w:rsidP="0033015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Source</w:t>
            </w:r>
            <w:r w:rsidRPr="009E54A4">
              <w:rPr>
                <w:rFonts w:ascii="Times New Roman" w:eastAsia="Arial" w:hAnsi="Times New Roman" w:cs="Times New Roman"/>
                <w:color w:val="000000"/>
                <w:sz w:val="14"/>
                <w:szCs w:val="14"/>
              </w:rPr>
              <w:t xml:space="preserve"> : Enquête Virage PG, Ined, 2015.</w:t>
            </w:r>
          </w:p>
        </w:tc>
      </w:tr>
    </w:tbl>
    <w:p w14:paraId="09BE9406" w14:textId="32D2BFFE" w:rsidR="008B6C56" w:rsidRDefault="009D2B34" w:rsidP="008B6C56">
      <w:pPr>
        <w:pStyle w:val="Table"/>
      </w:pPr>
      <w:r>
        <w:t>Annexe 2</w:t>
      </w:r>
      <w:r w:rsidR="008B6C56">
        <w:t xml:space="preserve"> : Types</w:t>
      </w:r>
      <w:r w:rsidR="008B6C56" w:rsidRPr="005D5189">
        <w:t xml:space="preserve"> de violence dans le couple </w:t>
      </w:r>
      <w:r w:rsidR="008B6C56">
        <w:t>avant</w:t>
      </w:r>
      <w:r w:rsidR="008B6C56" w:rsidRPr="005D5189">
        <w:t xml:space="preserve"> les 12 derniers mois</w:t>
      </w:r>
      <w:r w:rsidR="008B6C56">
        <w:t>.</w:t>
      </w:r>
    </w:p>
    <w:tbl>
      <w:tblPr>
        <w:tblW w:w="5000" w:type="pct"/>
        <w:jc w:val="center"/>
        <w:tblLook w:val="0420" w:firstRow="1" w:lastRow="0" w:firstColumn="0" w:lastColumn="0" w:noHBand="0" w:noVBand="1"/>
      </w:tblPr>
      <w:tblGrid>
        <w:gridCol w:w="2263"/>
        <w:gridCol w:w="3095"/>
        <w:gridCol w:w="3097"/>
        <w:gridCol w:w="929"/>
      </w:tblGrid>
      <w:tr w:rsidR="008B6C56" w14:paraId="54AF5B33" w14:textId="77777777" w:rsidTr="00330156">
        <w:trPr>
          <w:tblHeader/>
          <w:jc w:val="center"/>
        </w:trPr>
        <w:tc>
          <w:tcPr>
            <w:tcW w:w="1206" w:type="pct"/>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6F415603"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299"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388D94E5"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EF3394">
              <w:rPr>
                <w:rFonts w:ascii="Times New Roman" w:eastAsia="Arial" w:hAnsi="Times New Roman" w:cs="Times New Roman"/>
                <w:b/>
                <w:color w:val="000000"/>
                <w:sz w:val="14"/>
                <w:szCs w:val="14"/>
              </w:rPr>
              <w:t>Virage PG — Femmes</w:t>
            </w:r>
          </w:p>
        </w:tc>
        <w:tc>
          <w:tcPr>
            <w:tcW w:w="495" w:type="pct"/>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A95ECEF"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p>
        </w:tc>
      </w:tr>
      <w:tr w:rsidR="008B6C56" w14:paraId="3F90DBB4" w14:textId="77777777" w:rsidTr="00330156">
        <w:trPr>
          <w:tblHeader/>
          <w:jc w:val="center"/>
        </w:trPr>
        <w:tc>
          <w:tcPr>
            <w:tcW w:w="1206" w:type="pct"/>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664A8D37"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649"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55186114"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b/>
                <w:color w:val="000000"/>
                <w:sz w:val="14"/>
                <w:szCs w:val="14"/>
              </w:rPr>
              <w:t>Bi</w:t>
            </w:r>
            <w:r w:rsidRPr="00EF3394">
              <w:rPr>
                <w:rFonts w:ascii="Times New Roman" w:eastAsia="Arial" w:hAnsi="Times New Roman" w:cs="Times New Roman"/>
                <w:color w:val="000000"/>
                <w:sz w:val="14"/>
                <w:szCs w:val="14"/>
              </w:rPr>
              <w:br/>
              <w:t>(126)</w:t>
            </w:r>
            <w:r w:rsidRPr="00EF3394">
              <w:rPr>
                <w:rFonts w:ascii="Times New Roman" w:eastAsia="Arial" w:hAnsi="Times New Roman" w:cs="Times New Roman"/>
                <w:color w:val="000000"/>
                <w:sz w:val="14"/>
                <w:szCs w:val="14"/>
                <w:vertAlign w:val="superscript"/>
              </w:rPr>
              <w:t>1</w:t>
            </w:r>
          </w:p>
        </w:tc>
        <w:tc>
          <w:tcPr>
            <w:tcW w:w="1650"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23511DE6"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b/>
                <w:color w:val="000000"/>
                <w:sz w:val="14"/>
                <w:szCs w:val="14"/>
              </w:rPr>
              <w:t>Hétéro</w:t>
            </w:r>
            <w:r w:rsidRPr="00EF3394">
              <w:rPr>
                <w:rFonts w:ascii="Times New Roman" w:eastAsia="Arial" w:hAnsi="Times New Roman" w:cs="Times New Roman"/>
                <w:color w:val="000000"/>
                <w:sz w:val="14"/>
                <w:szCs w:val="14"/>
              </w:rPr>
              <w:br/>
              <w:t>(14573)</w:t>
            </w:r>
            <w:r w:rsidRPr="00EF3394">
              <w:rPr>
                <w:rFonts w:ascii="Times New Roman" w:eastAsia="Arial" w:hAnsi="Times New Roman" w:cs="Times New Roman"/>
                <w:color w:val="000000"/>
                <w:sz w:val="14"/>
                <w:szCs w:val="14"/>
                <w:vertAlign w:val="superscript"/>
              </w:rPr>
              <w:t>1</w:t>
            </w:r>
          </w:p>
        </w:tc>
        <w:tc>
          <w:tcPr>
            <w:tcW w:w="495" w:type="pct"/>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9F4CE07"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i/>
                <w:iCs/>
                <w:color w:val="000000"/>
                <w:sz w:val="14"/>
                <w:szCs w:val="14"/>
              </w:rPr>
            </w:pPr>
            <w:r w:rsidRPr="00EF3394">
              <w:rPr>
                <w:rFonts w:ascii="Times New Roman" w:eastAsia="Arial" w:hAnsi="Times New Roman" w:cs="Times New Roman"/>
                <w:bCs/>
                <w:i/>
                <w:iCs/>
                <w:color w:val="000000"/>
                <w:sz w:val="14"/>
                <w:szCs w:val="14"/>
              </w:rPr>
              <w:t>P-valeur</w:t>
            </w:r>
            <w:r w:rsidRPr="00EF3394">
              <w:rPr>
                <w:rFonts w:ascii="Times New Roman" w:eastAsia="Arial" w:hAnsi="Times New Roman" w:cs="Times New Roman"/>
                <w:bCs/>
                <w:i/>
                <w:iCs/>
                <w:color w:val="000000"/>
                <w:sz w:val="14"/>
                <w:szCs w:val="14"/>
                <w:vertAlign w:val="superscript"/>
              </w:rPr>
              <w:t>2</w:t>
            </w:r>
          </w:p>
        </w:tc>
      </w:tr>
      <w:tr w:rsidR="008B6C56" w14:paraId="54D4D829" w14:textId="77777777" w:rsidTr="00330156">
        <w:trPr>
          <w:jc w:val="center"/>
        </w:trPr>
        <w:tc>
          <w:tcPr>
            <w:tcW w:w="4505" w:type="pct"/>
            <w:gridSpan w:val="3"/>
            <w:tcBorders>
              <w:top w:val="single" w:sz="8" w:space="0" w:color="000000"/>
              <w:left w:val="single" w:sz="8" w:space="0" w:color="000000"/>
              <w:bottom w:val="none" w:sz="0" w:space="0" w:color="000000"/>
            </w:tcBorders>
            <w:shd w:val="clear" w:color="auto" w:fill="FFFFFF"/>
            <w:tcMar>
              <w:top w:w="0" w:type="dxa"/>
              <w:left w:w="0" w:type="dxa"/>
              <w:bottom w:w="0" w:type="dxa"/>
              <w:right w:w="0" w:type="dxa"/>
            </w:tcMar>
          </w:tcPr>
          <w:p w14:paraId="3349574B"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Violence physique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single" w:sz="8" w:space="0" w:color="000000"/>
              <w:bottom w:val="none" w:sz="0" w:space="0" w:color="000000"/>
              <w:right w:val="single" w:sz="8" w:space="0" w:color="000000"/>
            </w:tcBorders>
            <w:shd w:val="clear" w:color="auto" w:fill="FFFFFF"/>
            <w:tcMar>
              <w:top w:w="0" w:type="dxa"/>
              <w:left w:w="0" w:type="dxa"/>
              <w:bottom w:w="0" w:type="dxa"/>
              <w:right w:w="0" w:type="dxa"/>
            </w:tcMar>
          </w:tcPr>
          <w:p w14:paraId="1FA695FD"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0,2</w:t>
            </w:r>
          </w:p>
        </w:tc>
      </w:tr>
      <w:tr w:rsidR="008B6C56" w14:paraId="75D4D278" w14:textId="77777777" w:rsidTr="00330156">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04758127"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2AE869FE"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5,6</w:t>
            </w:r>
            <w:r w:rsidRPr="00EF3394">
              <w:rPr>
                <w:rFonts w:ascii="Times New Roman" w:eastAsia="Arial" w:hAnsi="Times New Roman" w:cs="Times New Roman"/>
                <w:color w:val="000000"/>
                <w:sz w:val="14"/>
                <w:szCs w:val="14"/>
              </w:rPr>
              <w:br/>
              <w:t>(8)</w:t>
            </w:r>
            <w:r w:rsidRPr="00EF3394">
              <w:rPr>
                <w:rFonts w:ascii="Times New Roman" w:eastAsia="Arial" w:hAnsi="Times New Roman" w:cs="Times New Roman"/>
                <w:color w:val="000000"/>
                <w:sz w:val="14"/>
                <w:szCs w:val="14"/>
              </w:rPr>
              <w:br/>
              <w:t>[2,6-12]</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31371149"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3,4</w:t>
            </w:r>
            <w:r w:rsidRPr="00EF3394">
              <w:rPr>
                <w:rFonts w:ascii="Times New Roman" w:eastAsia="Arial" w:hAnsi="Times New Roman" w:cs="Times New Roman"/>
                <w:color w:val="000000"/>
                <w:sz w:val="14"/>
                <w:szCs w:val="14"/>
              </w:rPr>
              <w:br/>
              <w:t>(581)</w:t>
            </w:r>
            <w:r w:rsidRPr="00EF3394">
              <w:rPr>
                <w:rFonts w:ascii="Times New Roman" w:eastAsia="Arial" w:hAnsi="Times New Roman" w:cs="Times New Roman"/>
                <w:color w:val="000000"/>
                <w:sz w:val="14"/>
                <w:szCs w:val="14"/>
              </w:rPr>
              <w:br/>
              <w:t>[3,0-3,8]</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289EF975"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8B6C56" w14:paraId="1A6910F9" w14:textId="77777777" w:rsidTr="00330156">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009B450D"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5FB4B626"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94,4</w:t>
            </w:r>
            <w:r w:rsidRPr="00EF3394">
              <w:rPr>
                <w:rFonts w:ascii="Times New Roman" w:eastAsia="Arial" w:hAnsi="Times New Roman" w:cs="Times New Roman"/>
                <w:color w:val="000000"/>
                <w:sz w:val="14"/>
                <w:szCs w:val="14"/>
              </w:rPr>
              <w:br/>
              <w:t>(118)</w:t>
            </w:r>
            <w:r w:rsidRPr="00EF3394">
              <w:rPr>
                <w:rFonts w:ascii="Times New Roman" w:eastAsia="Arial" w:hAnsi="Times New Roman" w:cs="Times New Roman"/>
                <w:color w:val="000000"/>
                <w:sz w:val="14"/>
                <w:szCs w:val="14"/>
              </w:rPr>
              <w:br/>
              <w:t>[88-97]</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32BCB303"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96,6</w:t>
            </w:r>
            <w:r w:rsidRPr="00EF3394">
              <w:rPr>
                <w:rFonts w:ascii="Times New Roman" w:eastAsia="Arial" w:hAnsi="Times New Roman" w:cs="Times New Roman"/>
                <w:color w:val="000000"/>
                <w:sz w:val="14"/>
                <w:szCs w:val="14"/>
              </w:rPr>
              <w:br/>
              <w:t>(13 990)</w:t>
            </w:r>
            <w:r w:rsidRPr="00EF3394">
              <w:rPr>
                <w:rFonts w:ascii="Times New Roman" w:eastAsia="Arial" w:hAnsi="Times New Roman" w:cs="Times New Roman"/>
                <w:color w:val="000000"/>
                <w:sz w:val="14"/>
                <w:szCs w:val="14"/>
              </w:rPr>
              <w:br/>
              <w:t>[96-97]</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0C2C4BEA"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8B6C56" w14:paraId="65CF9185" w14:textId="77777777" w:rsidTr="00330156">
        <w:trPr>
          <w:jc w:val="center"/>
        </w:trPr>
        <w:tc>
          <w:tcPr>
            <w:tcW w:w="4505" w:type="pct"/>
            <w:gridSpan w:val="3"/>
            <w:tcBorders>
              <w:top w:val="none" w:sz="0" w:space="0" w:color="000000"/>
              <w:left w:val="single" w:sz="8" w:space="0" w:color="000000"/>
              <w:bottom w:val="none" w:sz="0" w:space="0" w:color="000000"/>
            </w:tcBorders>
            <w:shd w:val="clear" w:color="auto" w:fill="FFFFFF"/>
            <w:tcMar>
              <w:top w:w="0" w:type="dxa"/>
              <w:left w:w="0" w:type="dxa"/>
              <w:bottom w:w="0" w:type="dxa"/>
              <w:right w:w="0" w:type="dxa"/>
            </w:tcMar>
          </w:tcPr>
          <w:p w14:paraId="4BBCE671"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lastRenderedPageBreak/>
              <w:t xml:space="preserve">Violence </w:t>
            </w:r>
            <w:r>
              <w:rPr>
                <w:rFonts w:ascii="Times New Roman" w:eastAsia="Arial" w:hAnsi="Times New Roman" w:cs="Times New Roman"/>
                <w:bCs/>
                <w:i/>
                <w:iCs/>
                <w:color w:val="000000"/>
                <w:sz w:val="14"/>
                <w:szCs w:val="14"/>
              </w:rPr>
              <w:t>psychologique</w:t>
            </w:r>
            <w:r w:rsidRPr="00EF3394">
              <w:rPr>
                <w:rFonts w:ascii="Times New Roman" w:eastAsia="Arial" w:hAnsi="Times New Roman" w:cs="Times New Roman"/>
                <w:bCs/>
                <w:i/>
                <w:iCs/>
                <w:color w:val="000000"/>
                <w:sz w:val="14"/>
                <w:szCs w:val="14"/>
              </w:rPr>
              <w:t xml:space="preserv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28E1498E"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0,002</w:t>
            </w:r>
          </w:p>
        </w:tc>
      </w:tr>
      <w:tr w:rsidR="008B6C56" w14:paraId="00742906" w14:textId="77777777" w:rsidTr="00330156">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670E7959"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315249F6"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11,9</w:t>
            </w:r>
            <w:r w:rsidRPr="00EF3394">
              <w:rPr>
                <w:rFonts w:ascii="Times New Roman" w:eastAsia="Arial" w:hAnsi="Times New Roman" w:cs="Times New Roman"/>
                <w:color w:val="000000"/>
                <w:sz w:val="14"/>
                <w:szCs w:val="14"/>
              </w:rPr>
              <w:br/>
              <w:t>(15)</w:t>
            </w:r>
            <w:r w:rsidRPr="00EF3394">
              <w:rPr>
                <w:rFonts w:ascii="Times New Roman" w:eastAsia="Arial" w:hAnsi="Times New Roman" w:cs="Times New Roman"/>
                <w:color w:val="000000"/>
                <w:sz w:val="14"/>
                <w:szCs w:val="14"/>
              </w:rPr>
              <w:br/>
              <w:t>[6,5-21]</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3CEC3B28"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4,7</w:t>
            </w:r>
            <w:r w:rsidRPr="00EF3394">
              <w:rPr>
                <w:rFonts w:ascii="Times New Roman" w:eastAsia="Arial" w:hAnsi="Times New Roman" w:cs="Times New Roman"/>
                <w:color w:val="000000"/>
                <w:sz w:val="14"/>
                <w:szCs w:val="14"/>
              </w:rPr>
              <w:br/>
              <w:t>(808)</w:t>
            </w:r>
            <w:r w:rsidRPr="00EF3394">
              <w:rPr>
                <w:rFonts w:ascii="Times New Roman" w:eastAsia="Arial" w:hAnsi="Times New Roman" w:cs="Times New Roman"/>
                <w:color w:val="000000"/>
                <w:sz w:val="14"/>
                <w:szCs w:val="14"/>
              </w:rPr>
              <w:br/>
              <w:t>[4,3-5,2]</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4DA650BC"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8B6C56" w14:paraId="54DD9174" w14:textId="77777777" w:rsidTr="00330156">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03566DCD"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25BF01CE"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88,1</w:t>
            </w:r>
            <w:r w:rsidRPr="00EF3394">
              <w:rPr>
                <w:rFonts w:ascii="Times New Roman" w:eastAsia="Arial" w:hAnsi="Times New Roman" w:cs="Times New Roman"/>
                <w:color w:val="000000"/>
                <w:sz w:val="14"/>
                <w:szCs w:val="14"/>
              </w:rPr>
              <w:br/>
              <w:t>(111)</w:t>
            </w:r>
            <w:r w:rsidRPr="00EF3394">
              <w:rPr>
                <w:rFonts w:ascii="Times New Roman" w:eastAsia="Arial" w:hAnsi="Times New Roman" w:cs="Times New Roman"/>
                <w:color w:val="000000"/>
                <w:sz w:val="14"/>
                <w:szCs w:val="14"/>
              </w:rPr>
              <w:br/>
              <w:t>[79-93]</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2BB500E1"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95,3</w:t>
            </w:r>
            <w:r w:rsidRPr="00EF3394">
              <w:rPr>
                <w:rFonts w:ascii="Times New Roman" w:eastAsia="Arial" w:hAnsi="Times New Roman" w:cs="Times New Roman"/>
                <w:color w:val="000000"/>
                <w:sz w:val="14"/>
                <w:szCs w:val="14"/>
              </w:rPr>
              <w:br/>
              <w:t>(13 763)</w:t>
            </w:r>
            <w:r w:rsidRPr="00EF3394">
              <w:rPr>
                <w:rFonts w:ascii="Times New Roman" w:eastAsia="Arial" w:hAnsi="Times New Roman" w:cs="Times New Roman"/>
                <w:color w:val="000000"/>
                <w:sz w:val="14"/>
                <w:szCs w:val="14"/>
              </w:rPr>
              <w:br/>
              <w:t>[95-96]</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59EF8566"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8B6C56" w14:paraId="60C0CA1E" w14:textId="77777777" w:rsidTr="00330156">
        <w:trPr>
          <w:jc w:val="center"/>
        </w:trPr>
        <w:tc>
          <w:tcPr>
            <w:tcW w:w="4505" w:type="pct"/>
            <w:gridSpan w:val="3"/>
            <w:tcBorders>
              <w:top w:val="none" w:sz="0" w:space="0" w:color="000000"/>
              <w:left w:val="single" w:sz="8" w:space="0" w:color="000000"/>
              <w:bottom w:val="none" w:sz="0" w:space="0" w:color="000000"/>
            </w:tcBorders>
            <w:shd w:val="clear" w:color="auto" w:fill="FFFFFF"/>
            <w:tcMar>
              <w:top w:w="0" w:type="dxa"/>
              <w:left w:w="0" w:type="dxa"/>
              <w:bottom w:w="0" w:type="dxa"/>
              <w:right w:w="0" w:type="dxa"/>
            </w:tcMar>
          </w:tcPr>
          <w:p w14:paraId="5321E6CE"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sexuelle</w:t>
            </w:r>
            <w:r w:rsidRPr="00EF3394">
              <w:rPr>
                <w:rFonts w:ascii="Times New Roman" w:eastAsia="Arial" w:hAnsi="Times New Roman" w:cs="Times New Roman"/>
                <w:bCs/>
                <w:i/>
                <w:iCs/>
                <w:color w:val="000000"/>
                <w:sz w:val="14"/>
                <w:szCs w:val="14"/>
              </w:rPr>
              <w:t xml:space="preserv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56A05A9B"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0,001</w:t>
            </w:r>
          </w:p>
        </w:tc>
      </w:tr>
      <w:tr w:rsidR="008B6C56" w14:paraId="5257283A" w14:textId="77777777" w:rsidTr="00330156">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5F16CA9F"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08681AEB"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2,8</w:t>
            </w:r>
            <w:r w:rsidRPr="00EF3394">
              <w:rPr>
                <w:rFonts w:ascii="Times New Roman" w:eastAsia="Arial" w:hAnsi="Times New Roman" w:cs="Times New Roman"/>
                <w:color w:val="000000"/>
                <w:sz w:val="14"/>
                <w:szCs w:val="14"/>
              </w:rPr>
              <w:br/>
              <w:t>(5)</w:t>
            </w:r>
            <w:r w:rsidRPr="00EF3394">
              <w:rPr>
                <w:rFonts w:ascii="Times New Roman" w:eastAsia="Arial" w:hAnsi="Times New Roman" w:cs="Times New Roman"/>
                <w:color w:val="000000"/>
                <w:sz w:val="14"/>
                <w:szCs w:val="14"/>
              </w:rPr>
              <w:br/>
              <w:t>[1,1-6,8]</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1CDD6517"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0,7</w:t>
            </w:r>
            <w:r w:rsidRPr="00EF3394">
              <w:rPr>
                <w:rFonts w:ascii="Times New Roman" w:eastAsia="Arial" w:hAnsi="Times New Roman" w:cs="Times New Roman"/>
                <w:color w:val="000000"/>
                <w:sz w:val="14"/>
                <w:szCs w:val="14"/>
              </w:rPr>
              <w:br/>
              <w:t>(127)</w:t>
            </w:r>
            <w:r w:rsidRPr="00EF3394">
              <w:rPr>
                <w:rFonts w:ascii="Times New Roman" w:eastAsia="Arial" w:hAnsi="Times New Roman" w:cs="Times New Roman"/>
                <w:color w:val="000000"/>
                <w:sz w:val="14"/>
                <w:szCs w:val="14"/>
              </w:rPr>
              <w:br/>
              <w:t>[0,53-0,83]</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747BF446"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8B6C56" w14:paraId="592C9AC5" w14:textId="77777777" w:rsidTr="00330156">
        <w:trPr>
          <w:jc w:val="center"/>
        </w:trPr>
        <w:tc>
          <w:tcPr>
            <w:tcW w:w="1206" w:type="pct"/>
            <w:tcBorders>
              <w:left w:val="single" w:sz="8" w:space="0" w:color="000000"/>
              <w:bottom w:val="single" w:sz="8" w:space="0" w:color="000000"/>
              <w:right w:val="single" w:sz="4" w:space="0" w:color="auto"/>
            </w:tcBorders>
            <w:shd w:val="clear" w:color="auto" w:fill="FFFFFF"/>
            <w:tcMar>
              <w:top w:w="0" w:type="dxa"/>
              <w:left w:w="0" w:type="dxa"/>
              <w:bottom w:w="0" w:type="dxa"/>
              <w:right w:w="0" w:type="dxa"/>
            </w:tcMar>
          </w:tcPr>
          <w:p w14:paraId="74AF0A37"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7A27D551"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97,2</w:t>
            </w:r>
            <w:r w:rsidRPr="00EF3394">
              <w:rPr>
                <w:rFonts w:ascii="Times New Roman" w:eastAsia="Arial" w:hAnsi="Times New Roman" w:cs="Times New Roman"/>
                <w:color w:val="000000"/>
                <w:sz w:val="14"/>
                <w:szCs w:val="14"/>
              </w:rPr>
              <w:br/>
              <w:t>(121)</w:t>
            </w:r>
            <w:r w:rsidRPr="00EF3394">
              <w:rPr>
                <w:rFonts w:ascii="Times New Roman" w:eastAsia="Arial" w:hAnsi="Times New Roman" w:cs="Times New Roman"/>
                <w:color w:val="000000"/>
                <w:sz w:val="14"/>
                <w:szCs w:val="14"/>
              </w:rPr>
              <w:br/>
              <w:t>[93-99]</w:t>
            </w:r>
          </w:p>
        </w:tc>
        <w:tc>
          <w:tcPr>
            <w:tcW w:w="1650"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652F6FA5"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99,3</w:t>
            </w:r>
            <w:r w:rsidRPr="00EF3394">
              <w:rPr>
                <w:rFonts w:ascii="Times New Roman" w:eastAsia="Arial" w:hAnsi="Times New Roman" w:cs="Times New Roman"/>
                <w:color w:val="000000"/>
                <w:sz w:val="14"/>
                <w:szCs w:val="14"/>
              </w:rPr>
              <w:br/>
              <w:t>(14 446)</w:t>
            </w:r>
            <w:r w:rsidRPr="00EF3394">
              <w:rPr>
                <w:rFonts w:ascii="Times New Roman" w:eastAsia="Arial" w:hAnsi="Times New Roman" w:cs="Times New Roman"/>
                <w:color w:val="000000"/>
                <w:sz w:val="14"/>
                <w:szCs w:val="14"/>
              </w:rPr>
              <w:br/>
              <w:t>[99-99]</w:t>
            </w:r>
          </w:p>
        </w:tc>
        <w:tc>
          <w:tcPr>
            <w:tcW w:w="495" w:type="pct"/>
            <w:tcBorders>
              <w:top w:val="none" w:sz="0" w:space="0" w:color="000000"/>
              <w:left w:val="single" w:sz="4" w:space="0" w:color="auto"/>
              <w:bottom w:val="single" w:sz="8" w:space="0" w:color="000000"/>
              <w:right w:val="single" w:sz="8" w:space="0" w:color="000000"/>
            </w:tcBorders>
            <w:shd w:val="clear" w:color="auto" w:fill="FFFFFF"/>
            <w:tcMar>
              <w:top w:w="0" w:type="dxa"/>
              <w:left w:w="0" w:type="dxa"/>
              <w:bottom w:w="0" w:type="dxa"/>
              <w:right w:w="0" w:type="dxa"/>
            </w:tcMar>
          </w:tcPr>
          <w:p w14:paraId="67DB0A72"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8B6C56" w14:paraId="31B1EFF9" w14:textId="77777777" w:rsidTr="00330156">
        <w:trPr>
          <w:trHeight w:val="1474"/>
          <w:jc w:val="center"/>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F3A4BDD" w14:textId="77777777" w:rsidR="008B6C56" w:rsidRPr="00F23351"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non-pondérés entre parenthèses.</w:t>
            </w:r>
          </w:p>
          <w:p w14:paraId="1A7D1E07" w14:textId="77777777" w:rsidR="008B6C56" w:rsidRPr="00F23351"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Test du Chi-deux ajusté de Rao &amp; Scott pour données pondérées.</w:t>
            </w:r>
          </w:p>
          <w:p w14:paraId="4CF5A39F" w14:textId="77777777" w:rsidR="008B6C56"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3</w:t>
            </w:r>
            <w:r w:rsidRPr="00F23351">
              <w:rPr>
                <w:rFonts w:ascii="Times New Roman" w:eastAsia="Arial" w:hAnsi="Times New Roman" w:cs="Times New Roman"/>
                <w:color w:val="000000"/>
                <w:sz w:val="14"/>
                <w:szCs w:val="14"/>
              </w:rPr>
              <w:t>Pourcentages pondérés (Effectifs non pondérés) [Intervalle de confiance à 95 %].</w:t>
            </w:r>
          </w:p>
          <w:p w14:paraId="0692E3A1" w14:textId="77777777" w:rsidR="008B6C56"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hétérosexuelles</w:t>
            </w:r>
            <w:r w:rsidRPr="00F23351">
              <w:rPr>
                <w:rFonts w:ascii="Times New Roman" w:eastAsia="Arial" w:hAnsi="Times New Roman" w:cs="Times New Roman"/>
                <w:color w:val="000000"/>
                <w:sz w:val="14"/>
                <w:szCs w:val="14"/>
              </w:rPr>
              <w:t xml:space="preserve"> </w:t>
            </w:r>
            <w:r>
              <w:rPr>
                <w:rFonts w:ascii="Times New Roman" w:eastAsia="Arial" w:hAnsi="Times New Roman" w:cs="Times New Roman"/>
                <w:color w:val="000000"/>
                <w:sz w:val="14"/>
                <w:szCs w:val="14"/>
              </w:rPr>
              <w:t>ayant été en couple au cours de la vie dans</w:t>
            </w:r>
            <w:r w:rsidRPr="00F23351">
              <w:rPr>
                <w:rFonts w:ascii="Times New Roman" w:eastAsia="Arial" w:hAnsi="Times New Roman" w:cs="Times New Roman"/>
                <w:color w:val="000000"/>
                <w:sz w:val="14"/>
                <w:szCs w:val="14"/>
              </w:rPr>
              <w:t xml:space="preserve"> l'enquête Virage. Données pondérées</w:t>
            </w:r>
          </w:p>
          <w:p w14:paraId="4C335B4C" w14:textId="77777777" w:rsidR="008B6C56" w:rsidRDefault="008B6C56" w:rsidP="00330156">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11,9</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dans </w:t>
            </w:r>
            <w:r w:rsidRPr="00F23351">
              <w:rPr>
                <w:rFonts w:ascii="Times New Roman" w:eastAsia="Arial" w:hAnsi="Times New Roman" w:cs="Times New Roman"/>
                <w:color w:val="000000"/>
                <w:sz w:val="14"/>
                <w:szCs w:val="14"/>
              </w:rPr>
              <w:t xml:space="preserve">l'enquête Virage 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 xml:space="preserve">dans le couple </w:t>
            </w:r>
            <w:r>
              <w:rPr>
                <w:rFonts w:ascii="Times New Roman" w:eastAsia="Arial" w:hAnsi="Times New Roman" w:cs="Times New Roman"/>
                <w:color w:val="000000"/>
                <w:sz w:val="14"/>
                <w:szCs w:val="14"/>
              </w:rPr>
              <w:t>au cours de la vie</w:t>
            </w:r>
            <w:r w:rsidRPr="00F23351">
              <w:rPr>
                <w:rFonts w:ascii="Times New Roman" w:eastAsia="Arial" w:hAnsi="Times New Roman" w:cs="Times New Roman"/>
                <w:color w:val="000000"/>
                <w:sz w:val="14"/>
                <w:szCs w:val="14"/>
              </w:rPr>
              <w:t>, avec un intervalle de confiance à 95% de [</w:t>
            </w:r>
            <w:r>
              <w:rPr>
                <w:rFonts w:ascii="Times New Roman" w:eastAsia="Arial" w:hAnsi="Times New Roman" w:cs="Times New Roman"/>
                <w:color w:val="000000"/>
                <w:sz w:val="14"/>
                <w:szCs w:val="14"/>
              </w:rPr>
              <w:t>6,5</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21</w:t>
            </w:r>
            <w:r w:rsidRPr="00F23351">
              <w:rPr>
                <w:rFonts w:ascii="Times New Roman" w:eastAsia="Arial" w:hAnsi="Times New Roman" w:cs="Times New Roman"/>
                <w:color w:val="000000"/>
                <w:sz w:val="14"/>
                <w:szCs w:val="14"/>
              </w:rPr>
              <w:t>%].</w:t>
            </w:r>
          </w:p>
          <w:p w14:paraId="69425B35" w14:textId="77777777" w:rsidR="008B6C56" w:rsidRPr="00EF3394" w:rsidRDefault="008B6C56" w:rsidP="0033015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PG, Ined, 2015.</w:t>
            </w:r>
          </w:p>
        </w:tc>
      </w:tr>
    </w:tbl>
    <w:p w14:paraId="5BBA8832" w14:textId="672C9481" w:rsidR="008B6C56" w:rsidRPr="008B6C56" w:rsidRDefault="00432DCB" w:rsidP="00432DCB">
      <w:pPr>
        <w:pStyle w:val="Table"/>
      </w:pPr>
      <w:r>
        <w:t xml:space="preserve">Annexe 3 : Formulation des questions sur les violences psychologiques dans le module « En couple au cours des 12 derniers mois ». </w:t>
      </w:r>
    </w:p>
    <w:p w14:paraId="78C934FE" w14:textId="77777777" w:rsidR="00432DCB" w:rsidRDefault="00432DCB" w:rsidP="00432DCB">
      <w:pPr>
        <w:pStyle w:val="Textbody"/>
      </w:pPr>
      <w:r>
        <w:t>« Au cours des 12 derniers mois, votre (précédente/dernier∙ière) conjoint∙e/partenaire a-t-il/elle…</w:t>
      </w:r>
    </w:p>
    <w:p w14:paraId="5A02FFA4" w14:textId="77777777" w:rsidR="00432DCB" w:rsidRDefault="00432DCB" w:rsidP="00432DCB">
      <w:pPr>
        <w:pStyle w:val="Textbody"/>
        <w:numPr>
          <w:ilvl w:val="0"/>
          <w:numId w:val="46"/>
        </w:numPr>
      </w:pPr>
      <w:r>
        <w:t>Reproché de parler à d'autres homme/femmes ?</w:t>
      </w:r>
    </w:p>
    <w:p w14:paraId="40160AB9" w14:textId="77777777" w:rsidR="00432DCB" w:rsidRDefault="00432DCB" w:rsidP="00432DCB">
      <w:pPr>
        <w:pStyle w:val="Textbody"/>
        <w:numPr>
          <w:ilvl w:val="0"/>
          <w:numId w:val="46"/>
        </w:numPr>
      </w:pPr>
      <w:r>
        <w:t>Empêché∙e de rencontrer ou de parler avec des amis ou membres de votre famille ?</w:t>
      </w:r>
    </w:p>
    <w:p w14:paraId="28A63460" w14:textId="77777777" w:rsidR="00432DCB" w:rsidRDefault="00432DCB" w:rsidP="00432DCB">
      <w:pPr>
        <w:pStyle w:val="Textbody"/>
        <w:numPr>
          <w:ilvl w:val="0"/>
          <w:numId w:val="46"/>
        </w:numPr>
      </w:pPr>
      <w:r>
        <w:t>Exigé de savoir avec qui et où vous étiez ?</w:t>
      </w:r>
    </w:p>
    <w:p w14:paraId="0B340033" w14:textId="77777777" w:rsidR="00432DCB" w:rsidRDefault="00432DCB" w:rsidP="00432DCB">
      <w:pPr>
        <w:pStyle w:val="Textbody"/>
        <w:numPr>
          <w:ilvl w:val="0"/>
          <w:numId w:val="46"/>
        </w:numPr>
      </w:pPr>
      <w:r>
        <w:t>Confisqué vos papiers, les clés de la voiture, votre téléphone, votre ordinateur ?</w:t>
      </w:r>
    </w:p>
    <w:p w14:paraId="64F85647" w14:textId="77777777" w:rsidR="00432DCB" w:rsidRDefault="00432DCB" w:rsidP="00432DCB">
      <w:pPr>
        <w:pStyle w:val="Textbody"/>
        <w:numPr>
          <w:ilvl w:val="0"/>
          <w:numId w:val="46"/>
        </w:numPr>
      </w:pPr>
      <w:r>
        <w:t>Lu votre courrier (lettres ou mails) sans votre accord ou vos échanges par SMS, sur les réseaux sociaux ou forums ?</w:t>
      </w:r>
    </w:p>
    <w:p w14:paraId="2612D303" w14:textId="77777777" w:rsidR="00432DCB" w:rsidRDefault="00432DCB" w:rsidP="00432DCB">
      <w:pPr>
        <w:pStyle w:val="Textbody"/>
        <w:numPr>
          <w:ilvl w:val="0"/>
          <w:numId w:val="46"/>
        </w:numPr>
      </w:pPr>
      <w:r>
        <w:t>Dévalorisé ce que vous faisiez ? (Tâches à la maison, comportement en famille, travail…)</w:t>
      </w:r>
    </w:p>
    <w:p w14:paraId="3B35DF2D" w14:textId="77777777" w:rsidR="00432DCB" w:rsidRDefault="00432DCB" w:rsidP="00432DCB">
      <w:pPr>
        <w:pStyle w:val="Textbody"/>
        <w:numPr>
          <w:ilvl w:val="0"/>
          <w:numId w:val="46"/>
        </w:numPr>
      </w:pPr>
      <w:r>
        <w:t>Fait des remarques désagréables sur votre apparence physique ou votre façon de vous habiller (trop gros∙se/maigre, moche, trop sexy...) ?</w:t>
      </w:r>
    </w:p>
    <w:p w14:paraId="1CBF86F5" w14:textId="77777777" w:rsidR="00432DCB" w:rsidRDefault="00432DCB" w:rsidP="00432DCB">
      <w:pPr>
        <w:pStyle w:val="Textbody"/>
        <w:numPr>
          <w:ilvl w:val="0"/>
          <w:numId w:val="46"/>
        </w:numPr>
      </w:pPr>
      <w:r>
        <w:lastRenderedPageBreak/>
        <w:t>N’a pas tenu compte ou a méprisé vos opinions, a prétendu vous expliquer ce que vous deviez penser ?</w:t>
      </w:r>
    </w:p>
    <w:p w14:paraId="7AA93506" w14:textId="77777777" w:rsidR="00432DCB" w:rsidRDefault="00432DCB" w:rsidP="00432DCB">
      <w:pPr>
        <w:pStyle w:val="Textbody"/>
        <w:numPr>
          <w:ilvl w:val="0"/>
          <w:numId w:val="46"/>
        </w:numPr>
      </w:pPr>
      <w:r>
        <w:t>Cessé de vous parler, refusé totalement de discuter avec vous ?</w:t>
      </w:r>
    </w:p>
    <w:p w14:paraId="48642715" w14:textId="77777777" w:rsidR="00432DCB" w:rsidRDefault="00432DCB" w:rsidP="00432DCB">
      <w:pPr>
        <w:pStyle w:val="Textbody"/>
        <w:numPr>
          <w:ilvl w:val="0"/>
          <w:numId w:val="46"/>
        </w:numPr>
      </w:pPr>
      <w:r>
        <w:t>Insulté ou injurié en face-à-face, par téléphone, par mail, pas sms ou sur Internet ?</w:t>
      </w:r>
    </w:p>
    <w:p w14:paraId="0C33DF15" w14:textId="24AD5D9C" w:rsidR="00F17702" w:rsidRDefault="00432DCB" w:rsidP="00A34B28">
      <w:pPr>
        <w:pStyle w:val="Textbody"/>
        <w:numPr>
          <w:ilvl w:val="0"/>
          <w:numId w:val="46"/>
        </w:numPr>
      </w:pPr>
      <w:r>
        <w:t>Hurlé, tapé du poing sur la table, frappé les murs, cassé des objets, en créant une ambiance tendue ou angoissante ? »</w:t>
      </w:r>
    </w:p>
    <w:p w14:paraId="1B07E91D" w14:textId="32FD53AB" w:rsidR="00C45BE6" w:rsidRDefault="00C45BE6" w:rsidP="00DC2108">
      <w:pPr>
        <w:pStyle w:val="Textbody"/>
      </w:pPr>
      <w:r>
        <w:t xml:space="preserve"> </w:t>
      </w:r>
    </w:p>
    <w:sectPr w:rsidR="00C45BE6" w:rsidSect="005D5189">
      <w:footerReference w:type="default" r:id="rId9"/>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1B4FD" w14:textId="77777777" w:rsidR="00FE17F8" w:rsidRDefault="00FE17F8">
      <w:r>
        <w:separator/>
      </w:r>
    </w:p>
    <w:p w14:paraId="6A99360F" w14:textId="77777777" w:rsidR="00FE17F8" w:rsidRDefault="00FE17F8"/>
  </w:endnote>
  <w:endnote w:type="continuationSeparator" w:id="0">
    <w:p w14:paraId="493683BE" w14:textId="77777777" w:rsidR="00FE17F8" w:rsidRDefault="00FE17F8">
      <w:r>
        <w:continuationSeparator/>
      </w:r>
    </w:p>
    <w:p w14:paraId="4B68D914" w14:textId="77777777" w:rsidR="00FE17F8" w:rsidRDefault="00FE17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variable"/>
  </w:font>
  <w:font w:name="F">
    <w:altName w:val="Calib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PingFang SC">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Aptos Display">
    <w:altName w:val="Cambria"/>
    <w:charset w:val="00"/>
    <w:family w:val="roman"/>
    <w:pitch w:val="variable"/>
  </w:font>
  <w:font w:name="Lucida Grande">
    <w:altName w:val="Segoe UI"/>
    <w:charset w:val="00"/>
    <w:family w:val="roman"/>
    <w:pitch w:val="variable"/>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BBCA" w14:textId="77777777" w:rsidR="00907491" w:rsidRPr="00425D6D" w:rsidRDefault="00B20AF8">
    <w:pPr>
      <w:pStyle w:val="Pieddepage"/>
      <w:jc w:val="right"/>
      <w:rPr>
        <w:rFonts w:ascii="Times New Roman" w:hAnsi="Times New Roman" w:cs="Times New Roman"/>
      </w:rPr>
    </w:pPr>
    <w:r w:rsidRPr="00425D6D">
      <w:rPr>
        <w:rFonts w:ascii="Times New Roman" w:hAnsi="Times New Roman" w:cs="Times New Roman"/>
      </w:rPr>
      <w:fldChar w:fldCharType="begin"/>
    </w:r>
    <w:r w:rsidRPr="00425D6D">
      <w:rPr>
        <w:rFonts w:ascii="Times New Roman" w:hAnsi="Times New Roman" w:cs="Times New Roman"/>
      </w:rPr>
      <w:instrText xml:space="preserve"> PAGE </w:instrText>
    </w:r>
    <w:r w:rsidRPr="00425D6D">
      <w:rPr>
        <w:rFonts w:ascii="Times New Roman" w:hAnsi="Times New Roman" w:cs="Times New Roman"/>
      </w:rPr>
      <w:fldChar w:fldCharType="separate"/>
    </w:r>
    <w:r w:rsidRPr="00425D6D">
      <w:rPr>
        <w:rFonts w:ascii="Times New Roman" w:hAnsi="Times New Roman" w:cs="Times New Roman"/>
      </w:rPr>
      <w:t>1</w:t>
    </w:r>
    <w:r w:rsidRPr="00425D6D">
      <w:rPr>
        <w:rFonts w:ascii="Times New Roman" w:hAnsi="Times New Roman" w:cs="Times New Roman"/>
      </w:rPr>
      <w:fldChar w:fldCharType="end"/>
    </w:r>
  </w:p>
  <w:p w14:paraId="67172DD7" w14:textId="77777777" w:rsidR="00907491" w:rsidRDefault="00FE17F8">
    <w:pPr>
      <w:pStyle w:val="Pieddepage"/>
    </w:pPr>
  </w:p>
  <w:p w14:paraId="23DDCC0F" w14:textId="77777777" w:rsidR="00AE4349" w:rsidRDefault="00AE43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BE545" w14:textId="77777777" w:rsidR="00FE17F8" w:rsidRDefault="00FE17F8">
      <w:r>
        <w:rPr>
          <w:color w:val="000000"/>
        </w:rPr>
        <w:separator/>
      </w:r>
    </w:p>
    <w:p w14:paraId="217749A1" w14:textId="77777777" w:rsidR="00FE17F8" w:rsidRDefault="00FE17F8"/>
  </w:footnote>
  <w:footnote w:type="continuationSeparator" w:id="0">
    <w:p w14:paraId="42D2AF75" w14:textId="77777777" w:rsidR="00FE17F8" w:rsidRDefault="00FE17F8">
      <w:r>
        <w:continuationSeparator/>
      </w:r>
    </w:p>
    <w:p w14:paraId="27A1E383" w14:textId="77777777" w:rsidR="00FE17F8" w:rsidRDefault="00FE17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5927"/>
    <w:multiLevelType w:val="multilevel"/>
    <w:tmpl w:val="CBB6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922FB"/>
    <w:multiLevelType w:val="multilevel"/>
    <w:tmpl w:val="7A5C91EE"/>
    <w:styleLink w:val="WWNum5"/>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448C8"/>
    <w:multiLevelType w:val="multilevel"/>
    <w:tmpl w:val="BD064518"/>
    <w:styleLink w:val="Pasdelist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80B0628"/>
    <w:multiLevelType w:val="multilevel"/>
    <w:tmpl w:val="D8D0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8703F"/>
    <w:multiLevelType w:val="multilevel"/>
    <w:tmpl w:val="D9F89E7C"/>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BF7B91"/>
    <w:multiLevelType w:val="multilevel"/>
    <w:tmpl w:val="66A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20430"/>
    <w:multiLevelType w:val="multilevel"/>
    <w:tmpl w:val="ACB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50880"/>
    <w:multiLevelType w:val="multilevel"/>
    <w:tmpl w:val="6A2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F85452"/>
    <w:multiLevelType w:val="multilevel"/>
    <w:tmpl w:val="4C641082"/>
    <w:styleLink w:val="WWNum12"/>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9" w15:restartNumberingAfterBreak="0">
    <w:nsid w:val="2D025715"/>
    <w:multiLevelType w:val="multilevel"/>
    <w:tmpl w:val="EE7A3C82"/>
    <w:styleLink w:val="WWNum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681ADE"/>
    <w:multiLevelType w:val="multilevel"/>
    <w:tmpl w:val="FBF0EFCC"/>
    <w:styleLink w:val="WWNum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CB7A0F"/>
    <w:multiLevelType w:val="multilevel"/>
    <w:tmpl w:val="D3C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23696"/>
    <w:multiLevelType w:val="multilevel"/>
    <w:tmpl w:val="B742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416717"/>
    <w:multiLevelType w:val="multilevel"/>
    <w:tmpl w:val="603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05A88"/>
    <w:multiLevelType w:val="multilevel"/>
    <w:tmpl w:val="C3A2CF0A"/>
    <w:styleLink w:val="WWNum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FF3D83"/>
    <w:multiLevelType w:val="hybridMultilevel"/>
    <w:tmpl w:val="4E70B112"/>
    <w:lvl w:ilvl="0" w:tplc="D2FA55A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CD0DFB"/>
    <w:multiLevelType w:val="multilevel"/>
    <w:tmpl w:val="1AA0D928"/>
    <w:styleLink w:val="WWNum8"/>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7" w15:restartNumberingAfterBreak="0">
    <w:nsid w:val="409716EA"/>
    <w:multiLevelType w:val="multilevel"/>
    <w:tmpl w:val="9F40C186"/>
    <w:styleLink w:val="WWNum3"/>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8" w15:restartNumberingAfterBreak="0">
    <w:nsid w:val="47C17B90"/>
    <w:multiLevelType w:val="hybridMultilevel"/>
    <w:tmpl w:val="DBB07D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9823CB5"/>
    <w:multiLevelType w:val="multilevel"/>
    <w:tmpl w:val="43B87C34"/>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E8E6E8E"/>
    <w:multiLevelType w:val="hybridMultilevel"/>
    <w:tmpl w:val="0422EF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DD76A0"/>
    <w:multiLevelType w:val="multilevel"/>
    <w:tmpl w:val="544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C20FE"/>
    <w:multiLevelType w:val="hybridMultilevel"/>
    <w:tmpl w:val="5566B9E6"/>
    <w:lvl w:ilvl="0" w:tplc="1872575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6C4D01"/>
    <w:multiLevelType w:val="multilevel"/>
    <w:tmpl w:val="E6E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72134"/>
    <w:multiLevelType w:val="multilevel"/>
    <w:tmpl w:val="ED2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91110"/>
    <w:multiLevelType w:val="hybridMultilevel"/>
    <w:tmpl w:val="F912D5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A401897"/>
    <w:multiLevelType w:val="multilevel"/>
    <w:tmpl w:val="1094525C"/>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CE21381"/>
    <w:multiLevelType w:val="hybridMultilevel"/>
    <w:tmpl w:val="E0688644"/>
    <w:lvl w:ilvl="0" w:tplc="92FE9C26">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69E25548"/>
    <w:multiLevelType w:val="hybridMultilevel"/>
    <w:tmpl w:val="73B08D62"/>
    <w:lvl w:ilvl="0" w:tplc="A25AF758">
      <w:start w:val="16"/>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A0D5371"/>
    <w:multiLevelType w:val="multilevel"/>
    <w:tmpl w:val="CE5E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8A719B"/>
    <w:multiLevelType w:val="multilevel"/>
    <w:tmpl w:val="2B8E75A4"/>
    <w:styleLink w:val="WWNum2"/>
    <w:lvl w:ilvl="0">
      <w:start w:val="1"/>
      <w:numFmt w:val="decimal"/>
      <w:lvlText w:val="%1."/>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1" w15:restartNumberingAfterBreak="0">
    <w:nsid w:val="6CD6278E"/>
    <w:multiLevelType w:val="multilevel"/>
    <w:tmpl w:val="5CD03316"/>
    <w:styleLink w:val="WWNum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D4A0A57"/>
    <w:multiLevelType w:val="hybridMultilevel"/>
    <w:tmpl w:val="A4C81A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2D93ECD"/>
    <w:multiLevelType w:val="multilevel"/>
    <w:tmpl w:val="DF1EFFF2"/>
    <w:styleLink w:val="WWNum7"/>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53720C6"/>
    <w:multiLevelType w:val="multilevel"/>
    <w:tmpl w:val="FC445640"/>
    <w:styleLink w:val="Aucunelist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5" w15:restartNumberingAfterBreak="0">
    <w:nsid w:val="76C815DE"/>
    <w:multiLevelType w:val="hybridMultilevel"/>
    <w:tmpl w:val="222C4DD4"/>
    <w:lvl w:ilvl="0" w:tplc="16E22B9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97722BC"/>
    <w:multiLevelType w:val="multilevel"/>
    <w:tmpl w:val="6D8E834E"/>
    <w:styleLink w:val="WWNum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E137610"/>
    <w:multiLevelType w:val="multilevel"/>
    <w:tmpl w:val="2CEA9920"/>
    <w:styleLink w:val="WWNum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EF844A4"/>
    <w:multiLevelType w:val="multilevel"/>
    <w:tmpl w:val="179C01E8"/>
    <w:styleLink w:val="WWNum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4"/>
  </w:num>
  <w:num w:numId="2">
    <w:abstractNumId w:val="2"/>
  </w:num>
  <w:num w:numId="3">
    <w:abstractNumId w:val="37"/>
  </w:num>
  <w:num w:numId="4">
    <w:abstractNumId w:val="30"/>
  </w:num>
  <w:num w:numId="5">
    <w:abstractNumId w:val="17"/>
  </w:num>
  <w:num w:numId="6">
    <w:abstractNumId w:val="31"/>
  </w:num>
  <w:num w:numId="7">
    <w:abstractNumId w:val="1"/>
  </w:num>
  <w:num w:numId="8">
    <w:abstractNumId w:val="36"/>
  </w:num>
  <w:num w:numId="9">
    <w:abstractNumId w:val="33"/>
  </w:num>
  <w:num w:numId="10">
    <w:abstractNumId w:val="16"/>
  </w:num>
  <w:num w:numId="11">
    <w:abstractNumId w:val="9"/>
  </w:num>
  <w:num w:numId="12">
    <w:abstractNumId w:val="26"/>
  </w:num>
  <w:num w:numId="13">
    <w:abstractNumId w:val="38"/>
  </w:num>
  <w:num w:numId="14">
    <w:abstractNumId w:val="8"/>
  </w:num>
  <w:num w:numId="15">
    <w:abstractNumId w:val="19"/>
  </w:num>
  <w:num w:numId="16">
    <w:abstractNumId w:val="14"/>
  </w:num>
  <w:num w:numId="17">
    <w:abstractNumId w:val="4"/>
  </w:num>
  <w:num w:numId="18">
    <w:abstractNumId w:val="10"/>
  </w:num>
  <w:num w:numId="19">
    <w:abstractNumId w:val="16"/>
  </w:num>
  <w:num w:numId="20">
    <w:abstractNumId w:val="37"/>
    <w:lvlOverride w:ilvl="0">
      <w:startOverride w:val="1"/>
    </w:lvlOverride>
  </w:num>
  <w:num w:numId="21">
    <w:abstractNumId w:val="33"/>
    <w:lvlOverride w:ilvl="0">
      <w:startOverride w:val="2"/>
    </w:lvlOverride>
  </w:num>
  <w:num w:numId="22">
    <w:abstractNumId w:val="19"/>
    <w:lvlOverride w:ilvl="0">
      <w:startOverride w:val="1"/>
    </w:lvlOverride>
  </w:num>
  <w:num w:numId="23">
    <w:abstractNumId w:val="10"/>
    <w:lvlOverride w:ilvl="0">
      <w:startOverride w:val="1"/>
    </w:lvlOverride>
  </w:num>
  <w:num w:numId="24">
    <w:abstractNumId w:val="4"/>
    <w:lvlOverride w:ilvl="0">
      <w:startOverride w:val="1"/>
    </w:lvlOverride>
  </w:num>
  <w:num w:numId="25">
    <w:abstractNumId w:val="14"/>
    <w:lvlOverride w:ilvl="0">
      <w:startOverride w:val="1"/>
    </w:lvlOverride>
  </w:num>
  <w:num w:numId="26">
    <w:abstractNumId w:val="28"/>
  </w:num>
  <w:num w:numId="27">
    <w:abstractNumId w:val="20"/>
  </w:num>
  <w:num w:numId="28">
    <w:abstractNumId w:val="5"/>
  </w:num>
  <w:num w:numId="29">
    <w:abstractNumId w:val="21"/>
  </w:num>
  <w:num w:numId="30">
    <w:abstractNumId w:val="6"/>
  </w:num>
  <w:num w:numId="31">
    <w:abstractNumId w:val="29"/>
  </w:num>
  <w:num w:numId="32">
    <w:abstractNumId w:val="11"/>
  </w:num>
  <w:num w:numId="33">
    <w:abstractNumId w:val="35"/>
  </w:num>
  <w:num w:numId="34">
    <w:abstractNumId w:val="3"/>
  </w:num>
  <w:num w:numId="35">
    <w:abstractNumId w:val="24"/>
  </w:num>
  <w:num w:numId="36">
    <w:abstractNumId w:val="23"/>
  </w:num>
  <w:num w:numId="37">
    <w:abstractNumId w:val="13"/>
  </w:num>
  <w:num w:numId="38">
    <w:abstractNumId w:val="12"/>
  </w:num>
  <w:num w:numId="39">
    <w:abstractNumId w:val="0"/>
  </w:num>
  <w:num w:numId="40">
    <w:abstractNumId w:val="7"/>
  </w:num>
  <w:num w:numId="41">
    <w:abstractNumId w:val="27"/>
  </w:num>
  <w:num w:numId="42">
    <w:abstractNumId w:val="15"/>
  </w:num>
  <w:num w:numId="43">
    <w:abstractNumId w:val="18"/>
  </w:num>
  <w:num w:numId="44">
    <w:abstractNumId w:val="25"/>
  </w:num>
  <w:num w:numId="45">
    <w:abstractNumId w:val="32"/>
  </w:num>
  <w:num w:numId="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8E3"/>
    <w:rsid w:val="000244D8"/>
    <w:rsid w:val="000510A7"/>
    <w:rsid w:val="0005639C"/>
    <w:rsid w:val="00081294"/>
    <w:rsid w:val="00091B7F"/>
    <w:rsid w:val="000C0407"/>
    <w:rsid w:val="000C43A1"/>
    <w:rsid w:val="000C538D"/>
    <w:rsid w:val="000C675B"/>
    <w:rsid w:val="000C6E63"/>
    <w:rsid w:val="000D7645"/>
    <w:rsid w:val="00104269"/>
    <w:rsid w:val="00111CB3"/>
    <w:rsid w:val="001306BB"/>
    <w:rsid w:val="001529EB"/>
    <w:rsid w:val="001566E2"/>
    <w:rsid w:val="00164A42"/>
    <w:rsid w:val="00173BEB"/>
    <w:rsid w:val="00176A42"/>
    <w:rsid w:val="00195208"/>
    <w:rsid w:val="001B7FB6"/>
    <w:rsid w:val="001D635B"/>
    <w:rsid w:val="001E010F"/>
    <w:rsid w:val="001E596A"/>
    <w:rsid w:val="002333BC"/>
    <w:rsid w:val="002333E9"/>
    <w:rsid w:val="00235A4B"/>
    <w:rsid w:val="00241B01"/>
    <w:rsid w:val="00250D8A"/>
    <w:rsid w:val="00264D9E"/>
    <w:rsid w:val="00284B7B"/>
    <w:rsid w:val="00294772"/>
    <w:rsid w:val="002E4235"/>
    <w:rsid w:val="003132FA"/>
    <w:rsid w:val="00315AAD"/>
    <w:rsid w:val="00321002"/>
    <w:rsid w:val="00354DE7"/>
    <w:rsid w:val="0038658B"/>
    <w:rsid w:val="00390384"/>
    <w:rsid w:val="003C06C6"/>
    <w:rsid w:val="003C0843"/>
    <w:rsid w:val="003C1466"/>
    <w:rsid w:val="003C7DA3"/>
    <w:rsid w:val="003F4772"/>
    <w:rsid w:val="0041497F"/>
    <w:rsid w:val="004253D1"/>
    <w:rsid w:val="00425D6D"/>
    <w:rsid w:val="00426395"/>
    <w:rsid w:val="004273E6"/>
    <w:rsid w:val="00432DCB"/>
    <w:rsid w:val="00452D9C"/>
    <w:rsid w:val="004619A4"/>
    <w:rsid w:val="004628CC"/>
    <w:rsid w:val="004709A6"/>
    <w:rsid w:val="004A215F"/>
    <w:rsid w:val="004C06E7"/>
    <w:rsid w:val="004C7E05"/>
    <w:rsid w:val="004D095E"/>
    <w:rsid w:val="004F39E9"/>
    <w:rsid w:val="00502C5A"/>
    <w:rsid w:val="00531B8A"/>
    <w:rsid w:val="00552BED"/>
    <w:rsid w:val="00555EE4"/>
    <w:rsid w:val="00561D0C"/>
    <w:rsid w:val="00567EA8"/>
    <w:rsid w:val="005852C9"/>
    <w:rsid w:val="005947AE"/>
    <w:rsid w:val="005B4C57"/>
    <w:rsid w:val="005C61D8"/>
    <w:rsid w:val="005D5189"/>
    <w:rsid w:val="005F6DBF"/>
    <w:rsid w:val="006027B0"/>
    <w:rsid w:val="00636B40"/>
    <w:rsid w:val="0064339E"/>
    <w:rsid w:val="00674C7C"/>
    <w:rsid w:val="00676E9F"/>
    <w:rsid w:val="00681A9F"/>
    <w:rsid w:val="006B3C3C"/>
    <w:rsid w:val="006E089E"/>
    <w:rsid w:val="006E686C"/>
    <w:rsid w:val="006E733F"/>
    <w:rsid w:val="006F2E40"/>
    <w:rsid w:val="006F5BB6"/>
    <w:rsid w:val="007118E3"/>
    <w:rsid w:val="00715D8B"/>
    <w:rsid w:val="0071690D"/>
    <w:rsid w:val="007420C7"/>
    <w:rsid w:val="007A026C"/>
    <w:rsid w:val="007F5776"/>
    <w:rsid w:val="00804135"/>
    <w:rsid w:val="008235D9"/>
    <w:rsid w:val="00823CC5"/>
    <w:rsid w:val="00824B13"/>
    <w:rsid w:val="008425B9"/>
    <w:rsid w:val="00852B24"/>
    <w:rsid w:val="00870641"/>
    <w:rsid w:val="008745E0"/>
    <w:rsid w:val="008959C8"/>
    <w:rsid w:val="008A05B5"/>
    <w:rsid w:val="008B142A"/>
    <w:rsid w:val="008B6C56"/>
    <w:rsid w:val="008D54D0"/>
    <w:rsid w:val="008F013E"/>
    <w:rsid w:val="009058D2"/>
    <w:rsid w:val="00930DDB"/>
    <w:rsid w:val="00933A22"/>
    <w:rsid w:val="00951444"/>
    <w:rsid w:val="00976850"/>
    <w:rsid w:val="00980034"/>
    <w:rsid w:val="00990CA7"/>
    <w:rsid w:val="009A0FEF"/>
    <w:rsid w:val="009A410F"/>
    <w:rsid w:val="009A52E4"/>
    <w:rsid w:val="009B6ACB"/>
    <w:rsid w:val="009C5835"/>
    <w:rsid w:val="009D2B34"/>
    <w:rsid w:val="009E4110"/>
    <w:rsid w:val="009E54A4"/>
    <w:rsid w:val="00A03248"/>
    <w:rsid w:val="00A10569"/>
    <w:rsid w:val="00A16CE8"/>
    <w:rsid w:val="00A232A2"/>
    <w:rsid w:val="00A34B28"/>
    <w:rsid w:val="00A35696"/>
    <w:rsid w:val="00A71BD2"/>
    <w:rsid w:val="00A722C2"/>
    <w:rsid w:val="00AA1A08"/>
    <w:rsid w:val="00AB1012"/>
    <w:rsid w:val="00AB4705"/>
    <w:rsid w:val="00AD02DE"/>
    <w:rsid w:val="00AD6E58"/>
    <w:rsid w:val="00AE0F0F"/>
    <w:rsid w:val="00AE4349"/>
    <w:rsid w:val="00AE7D1D"/>
    <w:rsid w:val="00B20AF8"/>
    <w:rsid w:val="00B4728A"/>
    <w:rsid w:val="00B50AC3"/>
    <w:rsid w:val="00B5366E"/>
    <w:rsid w:val="00B70020"/>
    <w:rsid w:val="00B8763B"/>
    <w:rsid w:val="00B95A4F"/>
    <w:rsid w:val="00BF4119"/>
    <w:rsid w:val="00BF65A3"/>
    <w:rsid w:val="00C174FE"/>
    <w:rsid w:val="00C356B4"/>
    <w:rsid w:val="00C45BE6"/>
    <w:rsid w:val="00C87C03"/>
    <w:rsid w:val="00C929B1"/>
    <w:rsid w:val="00CA0E8B"/>
    <w:rsid w:val="00D13060"/>
    <w:rsid w:val="00D16FEB"/>
    <w:rsid w:val="00D52E34"/>
    <w:rsid w:val="00D616D0"/>
    <w:rsid w:val="00D70FE9"/>
    <w:rsid w:val="00D938A6"/>
    <w:rsid w:val="00D94688"/>
    <w:rsid w:val="00DB4AE2"/>
    <w:rsid w:val="00DB55EB"/>
    <w:rsid w:val="00DC2108"/>
    <w:rsid w:val="00DE1CBA"/>
    <w:rsid w:val="00E0104A"/>
    <w:rsid w:val="00E20132"/>
    <w:rsid w:val="00E24AC5"/>
    <w:rsid w:val="00E335CE"/>
    <w:rsid w:val="00E41EB2"/>
    <w:rsid w:val="00E441B7"/>
    <w:rsid w:val="00E45841"/>
    <w:rsid w:val="00E73CBC"/>
    <w:rsid w:val="00E82665"/>
    <w:rsid w:val="00EE0B46"/>
    <w:rsid w:val="00EE52C3"/>
    <w:rsid w:val="00EE5AFC"/>
    <w:rsid w:val="00EE6749"/>
    <w:rsid w:val="00EF3394"/>
    <w:rsid w:val="00F07F1A"/>
    <w:rsid w:val="00F17702"/>
    <w:rsid w:val="00F20B91"/>
    <w:rsid w:val="00F227DD"/>
    <w:rsid w:val="00F23351"/>
    <w:rsid w:val="00F3048A"/>
    <w:rsid w:val="00F66574"/>
    <w:rsid w:val="00F6668E"/>
    <w:rsid w:val="00F70AE5"/>
    <w:rsid w:val="00F80E72"/>
    <w:rsid w:val="00F83B4B"/>
    <w:rsid w:val="00FB64D9"/>
    <w:rsid w:val="00FC0DC0"/>
    <w:rsid w:val="00FD43A6"/>
    <w:rsid w:val="00FE17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8103"/>
  <w15:docId w15:val="{FB9EA7C7-3D1B-4DC6-A427-2BC07BA3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F"/>
        <w:sz w:val="24"/>
        <w:szCs w:val="24"/>
        <w:lang w:val="fr-F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andard"/>
    <w:next w:val="Textbody"/>
    <w:uiPriority w:val="9"/>
    <w:qFormat/>
    <w:pPr>
      <w:keepNext/>
      <w:keepLines/>
      <w:spacing w:before="360" w:after="80"/>
      <w:outlineLvl w:val="0"/>
    </w:pPr>
    <w:rPr>
      <w:rFonts w:ascii="Times New Roman" w:eastAsia="F" w:hAnsi="Times New Roman" w:cs="Times New Roman"/>
      <w:color w:val="0F4761"/>
      <w:sz w:val="40"/>
      <w:szCs w:val="40"/>
    </w:rPr>
  </w:style>
  <w:style w:type="paragraph" w:styleId="Titre2">
    <w:name w:val="heading 2"/>
    <w:basedOn w:val="Standard"/>
    <w:next w:val="Textbody"/>
    <w:uiPriority w:val="9"/>
    <w:unhideWhenUsed/>
    <w:qFormat/>
    <w:pPr>
      <w:keepNext/>
      <w:keepLines/>
      <w:spacing w:before="160" w:after="80"/>
      <w:outlineLvl w:val="1"/>
    </w:pPr>
    <w:rPr>
      <w:rFonts w:ascii="Times New Roman" w:eastAsia="F" w:hAnsi="Times New Roman" w:cs="Times New Roman"/>
      <w:color w:val="0F4761"/>
      <w:sz w:val="32"/>
      <w:szCs w:val="32"/>
    </w:rPr>
  </w:style>
  <w:style w:type="paragraph" w:styleId="Titre3">
    <w:name w:val="heading 3"/>
    <w:basedOn w:val="Standard"/>
    <w:next w:val="Textbody"/>
    <w:uiPriority w:val="9"/>
    <w:unhideWhenUsed/>
    <w:qFormat/>
    <w:pPr>
      <w:keepNext/>
      <w:keepLines/>
      <w:spacing w:before="160" w:after="80"/>
      <w:outlineLvl w:val="2"/>
    </w:pPr>
    <w:rPr>
      <w:rFonts w:ascii="Times New Roman" w:eastAsia="F" w:hAnsi="Times New Roman" w:cs="Times New Roman"/>
      <w:color w:val="0F4761"/>
      <w:sz w:val="28"/>
      <w:szCs w:val="28"/>
    </w:rPr>
  </w:style>
  <w:style w:type="paragraph" w:styleId="Titre4">
    <w:name w:val="heading 4"/>
    <w:basedOn w:val="Standard"/>
    <w:next w:val="Textbody"/>
    <w:uiPriority w:val="9"/>
    <w:unhideWhenUsed/>
    <w:qFormat/>
    <w:pPr>
      <w:keepNext/>
      <w:keepLines/>
      <w:spacing w:before="80" w:after="40"/>
      <w:outlineLvl w:val="3"/>
    </w:pPr>
    <w:rPr>
      <w:rFonts w:ascii="Times New Roman" w:eastAsia="F" w:hAnsi="Times New Roman" w:cs="Times New Roman"/>
      <w:i/>
      <w:iCs/>
      <w:color w:val="0F4761"/>
    </w:rPr>
  </w:style>
  <w:style w:type="paragraph" w:styleId="Titre5">
    <w:name w:val="heading 5"/>
    <w:basedOn w:val="Standard"/>
    <w:next w:val="Textbody"/>
    <w:uiPriority w:val="9"/>
    <w:semiHidden/>
    <w:unhideWhenUsed/>
    <w:qFormat/>
    <w:pPr>
      <w:keepNext/>
      <w:keepLines/>
      <w:spacing w:before="80" w:after="40"/>
      <w:outlineLvl w:val="4"/>
    </w:pPr>
    <w:rPr>
      <w:rFonts w:eastAsia="F"/>
      <w:color w:val="0F4761"/>
    </w:rPr>
  </w:style>
  <w:style w:type="paragraph" w:styleId="Titre6">
    <w:name w:val="heading 6"/>
    <w:basedOn w:val="Standard"/>
    <w:next w:val="Textbody"/>
    <w:uiPriority w:val="9"/>
    <w:semiHidden/>
    <w:unhideWhenUsed/>
    <w:qFormat/>
    <w:pPr>
      <w:keepNext/>
      <w:keepLines/>
      <w:spacing w:before="40" w:after="0"/>
      <w:outlineLvl w:val="5"/>
    </w:pPr>
    <w:rPr>
      <w:rFonts w:eastAsia="F"/>
      <w:i/>
      <w:iCs/>
      <w:color w:val="595959"/>
    </w:rPr>
  </w:style>
  <w:style w:type="paragraph" w:styleId="Titre7">
    <w:name w:val="heading 7"/>
    <w:basedOn w:val="Standard"/>
    <w:next w:val="Textbody"/>
    <w:pPr>
      <w:keepNext/>
      <w:keepLines/>
      <w:spacing w:before="40" w:after="0"/>
      <w:outlineLvl w:val="6"/>
    </w:pPr>
    <w:rPr>
      <w:rFonts w:eastAsia="F"/>
      <w:color w:val="595959"/>
    </w:rPr>
  </w:style>
  <w:style w:type="paragraph" w:styleId="Titre8">
    <w:name w:val="heading 8"/>
    <w:basedOn w:val="Standard"/>
    <w:next w:val="Textbody"/>
    <w:pPr>
      <w:keepNext/>
      <w:keepLines/>
      <w:spacing w:after="0"/>
      <w:outlineLvl w:val="7"/>
    </w:pPr>
    <w:rPr>
      <w:rFonts w:eastAsia="F"/>
      <w:i/>
      <w:iCs/>
      <w:color w:val="272727"/>
    </w:rPr>
  </w:style>
  <w:style w:type="paragraph" w:styleId="Titre9">
    <w:name w:val="heading 9"/>
    <w:basedOn w:val="Standard"/>
    <w:next w:val="Textbody"/>
    <w:pPr>
      <w:keepNext/>
      <w:keepLines/>
      <w:spacing w:after="0"/>
      <w:outlineLvl w:val="8"/>
    </w:pPr>
    <w:rPr>
      <w:rFonts w:eastAsia="F"/>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pacing w:after="200"/>
    </w:p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before="180" w:after="180" w:line="360" w:lineRule="auto"/>
      <w:jc w:val="both"/>
    </w:pPr>
    <w:rPr>
      <w:rFonts w:ascii="Times New Roman" w:eastAsia="Times New Roman" w:hAnsi="Times New Roman" w:cs="Times New Roman"/>
    </w:rPr>
  </w:style>
  <w:style w:type="paragraph" w:styleId="Liste">
    <w:name w:val="List"/>
    <w:basedOn w:val="Textbody"/>
    <w:rPr>
      <w:rFonts w:cs="Arial Unicode MS"/>
    </w:rPr>
  </w:style>
  <w:style w:type="paragraph" w:styleId="Lgende">
    <w:name w:val="caption"/>
    <w:basedOn w:val="Standard"/>
    <w:pPr>
      <w:spacing w:after="120"/>
    </w:pPr>
    <w:rPr>
      <w:i/>
    </w:rPr>
  </w:style>
  <w:style w:type="paragraph" w:customStyle="1" w:styleId="Index">
    <w:name w:val="Index"/>
    <w:basedOn w:val="Standard"/>
    <w:pPr>
      <w:suppressLineNumbers/>
    </w:pPr>
    <w:rPr>
      <w:rFonts w:cs="Arial Unicode MS"/>
    </w:rPr>
  </w:style>
  <w:style w:type="paragraph" w:styleId="Titre">
    <w:name w:val="Title"/>
    <w:basedOn w:val="Standard"/>
    <w:next w:val="Textbody"/>
    <w:uiPriority w:val="10"/>
    <w:qFormat/>
    <w:pPr>
      <w:spacing w:after="80"/>
      <w:contextualSpacing/>
      <w:jc w:val="center"/>
    </w:pPr>
    <w:rPr>
      <w:rFonts w:ascii="Aptos Display" w:eastAsia="F" w:hAnsi="Aptos Display"/>
      <w:sz w:val="56"/>
      <w:szCs w:val="56"/>
    </w:rPr>
  </w:style>
  <w:style w:type="paragraph" w:customStyle="1" w:styleId="FirstParagraph">
    <w:name w:val="First Paragraph"/>
    <w:basedOn w:val="Textbody"/>
    <w:next w:val="Textbody"/>
  </w:style>
  <w:style w:type="paragraph" w:customStyle="1" w:styleId="Compact">
    <w:name w:val="Compact"/>
    <w:basedOn w:val="Textbody"/>
    <w:pPr>
      <w:spacing w:before="36" w:after="36"/>
    </w:pPr>
  </w:style>
  <w:style w:type="paragraph" w:styleId="Sous-titre">
    <w:name w:val="Subtitle"/>
    <w:basedOn w:val="Titre"/>
    <w:next w:val="Textbody"/>
    <w:uiPriority w:val="11"/>
    <w:qFormat/>
    <w:rPr>
      <w:spacing w:val="15"/>
      <w:sz w:val="28"/>
      <w:szCs w:val="28"/>
    </w:rPr>
  </w:style>
  <w:style w:type="paragraph" w:customStyle="1" w:styleId="Author">
    <w:name w:val="Author"/>
    <w:basedOn w:val="Titre"/>
    <w:next w:val="Textbody"/>
    <w:pPr>
      <w:keepNext/>
      <w:keepLines/>
    </w:pPr>
    <w:rPr>
      <w:sz w:val="24"/>
      <w:szCs w:val="24"/>
    </w:rPr>
  </w:style>
  <w:style w:type="paragraph" w:styleId="Date">
    <w:name w:val="Date"/>
    <w:basedOn w:val="Titre"/>
    <w:next w:val="Textbody"/>
    <w:pPr>
      <w:keepNext/>
      <w:keepLines/>
    </w:pPr>
    <w:rPr>
      <w:sz w:val="24"/>
      <w:szCs w:val="24"/>
    </w:rPr>
  </w:style>
  <w:style w:type="paragraph" w:customStyle="1" w:styleId="AbstractTitle">
    <w:name w:val="Abstract Title"/>
    <w:basedOn w:val="Standard"/>
    <w:next w:val="Abstract"/>
    <w:pPr>
      <w:keepNext/>
      <w:keepLines/>
      <w:spacing w:before="300" w:after="0"/>
      <w:jc w:val="center"/>
    </w:pPr>
    <w:rPr>
      <w:b/>
      <w:sz w:val="20"/>
      <w:szCs w:val="20"/>
    </w:rPr>
  </w:style>
  <w:style w:type="paragraph" w:customStyle="1" w:styleId="Abstract">
    <w:name w:val="Abstract"/>
    <w:basedOn w:val="Standard"/>
    <w:next w:val="Textbody"/>
    <w:pPr>
      <w:keepNext/>
      <w:keepLines/>
      <w:spacing w:before="100" w:after="300"/>
    </w:pPr>
    <w:rPr>
      <w:sz w:val="20"/>
      <w:szCs w:val="20"/>
    </w:rPr>
  </w:style>
  <w:style w:type="paragraph" w:styleId="Bibliographie">
    <w:name w:val="Bibliography"/>
    <w:basedOn w:val="Standard"/>
  </w:style>
  <w:style w:type="paragraph" w:styleId="Normalcentr">
    <w:name w:val="Block Text"/>
    <w:basedOn w:val="Textbody"/>
    <w:next w:val="Textbody"/>
    <w:pPr>
      <w:spacing w:before="100" w:after="100"/>
      <w:ind w:left="480" w:right="480"/>
    </w:pPr>
  </w:style>
  <w:style w:type="paragraph" w:customStyle="1" w:styleId="Footnote">
    <w:name w:val="Footnote"/>
    <w:basedOn w:val="Standard"/>
    <w:pPr>
      <w:spacing w:after="0"/>
    </w:pPr>
    <w:rPr>
      <w:rFonts w:ascii="Times New Roman" w:eastAsia="Times New Roman" w:hAnsi="Times New Roman" w:cs="Times New Roman"/>
      <w:sz w:val="16"/>
      <w:szCs w:val="16"/>
    </w:rPr>
  </w:style>
  <w:style w:type="paragraph" w:customStyle="1" w:styleId="FootnoteBlockText">
    <w:name w:val="Footnote Block Text"/>
    <w:basedOn w:val="Footnote"/>
    <w:next w:val="Footnote"/>
    <w:pPr>
      <w:spacing w:before="100" w:after="100"/>
      <w:ind w:left="480" w:right="480"/>
    </w:p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Standard"/>
  </w:style>
  <w:style w:type="paragraph" w:customStyle="1" w:styleId="CaptionedFigure">
    <w:name w:val="Captioned Figure"/>
    <w:basedOn w:val="Figure"/>
    <w:pPr>
      <w:keepNext/>
    </w:pPr>
  </w:style>
  <w:style w:type="paragraph" w:styleId="Titreindex">
    <w:name w:val="index heading"/>
    <w:basedOn w:val="Titre"/>
  </w:style>
  <w:style w:type="paragraph" w:customStyle="1" w:styleId="ContentsHeading">
    <w:name w:val="Contents Heading"/>
    <w:basedOn w:val="Titre1"/>
    <w:next w:val="Textbody"/>
    <w:pPr>
      <w:spacing w:before="240" w:line="259" w:lineRule="auto"/>
    </w:pPr>
  </w:style>
  <w:style w:type="paragraph" w:customStyle="1" w:styleId="SourceCode">
    <w:name w:val="Source Code"/>
    <w:basedOn w:val="Standard"/>
    <w:pPr>
      <w:shd w:val="clear" w:color="auto" w:fill="F1F3F5"/>
    </w:pPr>
  </w:style>
  <w:style w:type="paragraph" w:customStyle="1" w:styleId="Contents1">
    <w:name w:val="Contents 1"/>
    <w:basedOn w:val="Standard"/>
    <w:next w:val="Standard"/>
    <w:autoRedefine/>
    <w:pPr>
      <w:tabs>
        <w:tab w:val="right" w:leader="dot" w:pos="9394"/>
      </w:tabs>
      <w:spacing w:before="240" w:after="100" w:line="360" w:lineRule="auto"/>
    </w:pPr>
  </w:style>
  <w:style w:type="paragraph" w:customStyle="1" w:styleId="Contents2">
    <w:name w:val="Contents 2"/>
    <w:basedOn w:val="Standard"/>
    <w:next w:val="Standard"/>
    <w:autoRedefine/>
    <w:pPr>
      <w:tabs>
        <w:tab w:val="right" w:leader="dot" w:pos="9634"/>
      </w:tabs>
      <w:spacing w:before="240" w:after="100" w:line="360" w:lineRule="auto"/>
      <w:ind w:left="240"/>
    </w:pPr>
    <w:rPr>
      <w:rFonts w:ascii="Times New Roman" w:eastAsia="Times New Roman" w:hAnsi="Times New Roman" w:cs="Times New Roman"/>
    </w:rPr>
  </w:style>
  <w:style w:type="paragraph" w:customStyle="1" w:styleId="Contents3">
    <w:name w:val="Contents 3"/>
    <w:basedOn w:val="Standard"/>
    <w:next w:val="Standard"/>
    <w:autoRedefine/>
    <w:pPr>
      <w:tabs>
        <w:tab w:val="right" w:leader="dot" w:pos="9874"/>
      </w:tabs>
      <w:spacing w:after="100"/>
      <w:ind w:left="480"/>
    </w:pPr>
    <w:rPr>
      <w:rFonts w:ascii="Times New Roman" w:eastAsia="Times New Roman" w:hAnsi="Times New Roman" w:cs="Times New Roman"/>
    </w:rPr>
  </w:style>
  <w:style w:type="paragraph" w:customStyle="1" w:styleId="Marginalia">
    <w:name w:val="Marginalia"/>
    <w:basedOn w:val="Standard"/>
    <w:pPr>
      <w:spacing w:before="56" w:after="0"/>
      <w:ind w:left="57" w:right="57"/>
    </w:pPr>
    <w:rPr>
      <w:sz w:val="20"/>
      <w:szCs w:val="20"/>
    </w:rPr>
  </w:style>
  <w:style w:type="paragraph" w:styleId="Objetducommentaire">
    <w:name w:val="annotation subject"/>
    <w:basedOn w:val="Marginalia"/>
    <w:next w:val="Marginalia"/>
    <w:rPr>
      <w:b/>
      <w:bCs/>
    </w:rPr>
  </w:style>
  <w:style w:type="paragraph" w:customStyle="1" w:styleId="En-tteetpieddepage">
    <w:name w:val="En-tête et pied de page"/>
    <w:basedOn w:val="Standard"/>
  </w:style>
  <w:style w:type="paragraph" w:customStyle="1" w:styleId="HeaderandFooter">
    <w:name w:val="Header and Footer"/>
    <w:basedOn w:val="Standard"/>
  </w:style>
  <w:style w:type="paragraph" w:styleId="En-tte">
    <w:name w:val="header"/>
    <w:basedOn w:val="Standard"/>
    <w:pPr>
      <w:tabs>
        <w:tab w:val="center" w:pos="4536"/>
        <w:tab w:val="right" w:pos="9072"/>
      </w:tabs>
      <w:spacing w:after="0"/>
    </w:pPr>
  </w:style>
  <w:style w:type="paragraph" w:styleId="Pieddepage">
    <w:name w:val="footer"/>
    <w:basedOn w:val="Standard"/>
    <w:pPr>
      <w:tabs>
        <w:tab w:val="center" w:pos="4536"/>
        <w:tab w:val="right" w:pos="9072"/>
      </w:tabs>
      <w:spacing w:after="0"/>
    </w:pPr>
  </w:style>
  <w:style w:type="paragraph" w:customStyle="1" w:styleId="Table">
    <w:name w:val="Table"/>
    <w:basedOn w:val="ImageCaption"/>
    <w:pPr>
      <w:spacing w:before="200"/>
    </w:pPr>
    <w:rPr>
      <w:rFonts w:ascii="Times New Roman" w:eastAsia="Times New Roman" w:hAnsi="Times New Roman" w:cs="Times New Roman"/>
    </w:rPr>
  </w:style>
  <w:style w:type="paragraph" w:customStyle="1" w:styleId="Tableau">
    <w:name w:val="Tableau"/>
    <w:basedOn w:val="Lgende"/>
  </w:style>
  <w:style w:type="paragraph" w:customStyle="1" w:styleId="Bibliographie1">
    <w:name w:val="Bibliographie 1"/>
    <w:basedOn w:val="Index"/>
    <w:pPr>
      <w:spacing w:after="240" w:line="240" w:lineRule="atLeast"/>
    </w:pPr>
  </w:style>
  <w:style w:type="paragraph" w:customStyle="1" w:styleId="Textbodyindent">
    <w:name w:val="Text body indent"/>
    <w:basedOn w:val="Textbody"/>
    <w:pPr>
      <w:ind w:left="283"/>
    </w:pPr>
  </w:style>
  <w:style w:type="paragraph" w:customStyle="1" w:styleId="centered">
    <w:name w:val="centered"/>
    <w:basedOn w:val="Standard"/>
    <w:pPr>
      <w:suppressAutoHyphens w:val="0"/>
      <w:spacing w:after="0"/>
      <w:jc w:val="center"/>
    </w:pPr>
    <w:rPr>
      <w:rFonts w:eastAsia="F"/>
      <w:lang w:val="en-US"/>
    </w:rPr>
  </w:style>
  <w:style w:type="paragraph" w:styleId="Textedebulles">
    <w:name w:val="Balloon Text"/>
    <w:basedOn w:val="Standard"/>
    <w:pPr>
      <w:suppressAutoHyphens w:val="0"/>
      <w:spacing w:after="0"/>
    </w:pPr>
    <w:rPr>
      <w:rFonts w:ascii="Lucida Grande" w:eastAsia="F" w:hAnsi="Lucida Grande" w:cs="Lucida Grande"/>
      <w:sz w:val="18"/>
      <w:szCs w:val="18"/>
      <w:lang w:val="en-US"/>
    </w:rPr>
  </w:style>
  <w:style w:type="paragraph" w:customStyle="1" w:styleId="graphictitle">
    <w:name w:val="graphic title"/>
    <w:basedOn w:val="ImageCaption"/>
    <w:next w:val="Standard"/>
    <w:pPr>
      <w:suppressAutoHyphens w:val="0"/>
      <w:spacing w:after="0"/>
      <w:jc w:val="center"/>
    </w:pPr>
    <w:rPr>
      <w:rFonts w:eastAsia="F"/>
      <w:b/>
      <w:lang w:val="en-US"/>
    </w:rPr>
  </w:style>
  <w:style w:type="paragraph" w:customStyle="1" w:styleId="tabletitle">
    <w:name w:val="table title"/>
    <w:basedOn w:val="TableCaption"/>
    <w:next w:val="Standard"/>
    <w:pPr>
      <w:keepNext w:val="0"/>
      <w:suppressAutoHyphens w:val="0"/>
      <w:spacing w:after="0"/>
      <w:jc w:val="center"/>
    </w:pPr>
    <w:rPr>
      <w:rFonts w:eastAsia="F"/>
      <w:b/>
      <w:lang w:val="en-US"/>
    </w:rPr>
  </w:style>
  <w:style w:type="paragraph" w:customStyle="1" w:styleId="alinea">
    <w:name w:val="alinea"/>
    <w:basedOn w:val="Standard"/>
    <w:pPr>
      <w:suppressAutoHyphens w:val="0"/>
      <w:spacing w:before="280" w:after="280"/>
    </w:pPr>
    <w:rPr>
      <w:rFonts w:ascii="Times New Roman" w:eastAsia="Times New Roman" w:hAnsi="Times New Roman" w:cs="Times New Roman"/>
      <w:lang w:eastAsia="fr-FR"/>
    </w:rPr>
  </w:style>
  <w:style w:type="paragraph" w:customStyle="1" w:styleId="Comment">
    <w:name w:val="Comment"/>
    <w:basedOn w:val="Standard"/>
    <w:pPr>
      <w:spacing w:before="56" w:after="0"/>
      <w:ind w:left="57" w:right="57"/>
    </w:pPr>
    <w:rPr>
      <w:sz w:val="20"/>
      <w:szCs w:val="20"/>
    </w:rPr>
  </w:style>
  <w:style w:type="paragraph" w:customStyle="1" w:styleId="Framecontents">
    <w:name w:val="Frame contents"/>
    <w:basedOn w:val="Standard"/>
  </w:style>
  <w:style w:type="paragraph" w:customStyle="1" w:styleId="Bibliography1">
    <w:name w:val="Bibliography 1"/>
    <w:basedOn w:val="Index"/>
    <w:pPr>
      <w:tabs>
        <w:tab w:val="right" w:leader="dot" w:pos="9404"/>
      </w:tabs>
    </w:pPr>
  </w:style>
  <w:style w:type="character" w:customStyle="1" w:styleId="TitreCar">
    <w:name w:val="Titre Car"/>
    <w:basedOn w:val="Policepardfaut"/>
    <w:rPr>
      <w:rFonts w:ascii="Aptos Display" w:eastAsia="F" w:hAnsi="Aptos Display" w:cs="F"/>
      <w:sz w:val="56"/>
      <w:szCs w:val="56"/>
    </w:rPr>
  </w:style>
  <w:style w:type="character" w:customStyle="1" w:styleId="Sous-titreCar">
    <w:name w:val="Sous-titre Car"/>
    <w:basedOn w:val="Policepardfaut"/>
    <w:rPr>
      <w:rFonts w:eastAsia="F" w:cs="F"/>
      <w:color w:val="595959"/>
      <w:spacing w:val="15"/>
      <w:sz w:val="28"/>
      <w:szCs w:val="28"/>
    </w:rPr>
  </w:style>
  <w:style w:type="character" w:customStyle="1" w:styleId="Titre1Car">
    <w:name w:val="Titre 1 Car"/>
    <w:basedOn w:val="Policepardfaut"/>
    <w:rPr>
      <w:rFonts w:ascii="Times New Roman" w:eastAsia="F" w:hAnsi="Times New Roman" w:cs="Times New Roman"/>
      <w:color w:val="0F4761"/>
      <w:sz w:val="40"/>
      <w:szCs w:val="40"/>
    </w:rPr>
  </w:style>
  <w:style w:type="character" w:customStyle="1" w:styleId="Titre2Car">
    <w:name w:val="Titre 2 Car"/>
    <w:basedOn w:val="Policepardfaut"/>
    <w:rPr>
      <w:rFonts w:ascii="Times New Roman" w:eastAsia="F" w:hAnsi="Times New Roman" w:cs="Times New Roman"/>
      <w:color w:val="0F4761"/>
      <w:sz w:val="32"/>
      <w:szCs w:val="32"/>
    </w:rPr>
  </w:style>
  <w:style w:type="character" w:customStyle="1" w:styleId="Titre3Car">
    <w:name w:val="Titre 3 Car"/>
    <w:basedOn w:val="Policepardfaut"/>
    <w:rPr>
      <w:rFonts w:ascii="Times New Roman" w:eastAsia="F" w:hAnsi="Times New Roman" w:cs="Times New Roman"/>
      <w:color w:val="0F4761"/>
      <w:sz w:val="28"/>
      <w:szCs w:val="28"/>
    </w:rPr>
  </w:style>
  <w:style w:type="character" w:customStyle="1" w:styleId="Titre4Car">
    <w:name w:val="Titre 4 Car"/>
    <w:basedOn w:val="Policepardfaut"/>
    <w:rPr>
      <w:rFonts w:ascii="Times New Roman" w:eastAsia="F" w:hAnsi="Times New Roman" w:cs="Times New Roman"/>
      <w:i/>
      <w:iCs/>
      <w:color w:val="0F4761"/>
    </w:rPr>
  </w:style>
  <w:style w:type="character" w:customStyle="1" w:styleId="Titre5Car">
    <w:name w:val="Titre 5 Car"/>
    <w:basedOn w:val="Policepardfaut"/>
    <w:rPr>
      <w:rFonts w:eastAsia="F" w:cs="F"/>
      <w:color w:val="0F4761"/>
    </w:rPr>
  </w:style>
  <w:style w:type="character" w:customStyle="1" w:styleId="Titre6Car">
    <w:name w:val="Titre 6 Car"/>
    <w:basedOn w:val="Policepardfaut"/>
    <w:rPr>
      <w:rFonts w:eastAsia="F" w:cs="F"/>
      <w:i/>
      <w:iCs/>
      <w:color w:val="595959"/>
    </w:rPr>
  </w:style>
  <w:style w:type="character" w:customStyle="1" w:styleId="Titre7Car">
    <w:name w:val="Titre 7 Car"/>
    <w:basedOn w:val="Policepardfaut"/>
    <w:rPr>
      <w:rFonts w:eastAsia="F" w:cs="F"/>
      <w:color w:val="595959"/>
    </w:rPr>
  </w:style>
  <w:style w:type="character" w:customStyle="1" w:styleId="Titre8Car">
    <w:name w:val="Titre 8 Car"/>
    <w:basedOn w:val="Policepardfaut"/>
    <w:rPr>
      <w:rFonts w:eastAsia="F" w:cs="F"/>
      <w:i/>
      <w:iCs/>
      <w:color w:val="272727"/>
    </w:rPr>
  </w:style>
  <w:style w:type="character" w:customStyle="1" w:styleId="Titre9Car">
    <w:name w:val="Titre 9 Car"/>
    <w:basedOn w:val="Policepardfaut"/>
    <w:rPr>
      <w:rFonts w:eastAsia="F" w:cs="F"/>
      <w:color w:val="272727"/>
    </w:rPr>
  </w:style>
  <w:style w:type="character" w:customStyle="1" w:styleId="LgendeCar">
    <w:name w:val="Légende Car"/>
    <w:basedOn w:val="Policepardfaut"/>
  </w:style>
  <w:style w:type="character" w:customStyle="1" w:styleId="VerbatimChar">
    <w:name w:val="Verbatim Char"/>
    <w:basedOn w:val="LgendeCar"/>
    <w:rPr>
      <w:rFonts w:ascii="Consolas" w:eastAsia="Consolas" w:hAnsi="Consolas" w:cs="Consolas"/>
      <w:sz w:val="22"/>
    </w:rPr>
  </w:style>
  <w:style w:type="character" w:customStyle="1" w:styleId="SectionNumber">
    <w:name w:val="Section Number"/>
    <w:basedOn w:val="LgendeCar"/>
  </w:style>
  <w:style w:type="character" w:customStyle="1" w:styleId="Caractresdenotedebasdepage">
    <w:name w:val="Caractères de note de bas de page"/>
    <w:rPr>
      <w:position w:val="0"/>
      <w:vertAlign w:val="superscript"/>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Internetlink">
    <w:name w:val="Internet link"/>
    <w:basedOn w:val="LgendeCar"/>
    <w:rPr>
      <w:color w:val="156082"/>
    </w:rPr>
  </w:style>
  <w:style w:type="character" w:customStyle="1" w:styleId="KeywordTok">
    <w:name w:val="KeywordTok"/>
    <w:basedOn w:val="VerbatimChar"/>
    <w:rPr>
      <w:rFonts w:ascii="Consolas" w:eastAsia="Consolas" w:hAnsi="Consolas" w:cs="Consolas"/>
      <w:b/>
      <w:color w:val="003B4F"/>
      <w:sz w:val="22"/>
      <w:shd w:val="clear" w:color="auto" w:fill="F1F3F5"/>
    </w:rPr>
  </w:style>
  <w:style w:type="character" w:customStyle="1" w:styleId="DataTypeTok">
    <w:name w:val="DataTypeTok"/>
    <w:basedOn w:val="VerbatimChar"/>
    <w:rPr>
      <w:rFonts w:ascii="Consolas" w:eastAsia="Consolas" w:hAnsi="Consolas" w:cs="Consolas"/>
      <w:color w:val="AD0000"/>
      <w:sz w:val="22"/>
      <w:shd w:val="clear" w:color="auto" w:fill="F1F3F5"/>
    </w:rPr>
  </w:style>
  <w:style w:type="character" w:customStyle="1" w:styleId="DecValTok">
    <w:name w:val="DecValTok"/>
    <w:basedOn w:val="VerbatimChar"/>
    <w:rPr>
      <w:rFonts w:ascii="Consolas" w:eastAsia="Consolas" w:hAnsi="Consolas" w:cs="Consolas"/>
      <w:color w:val="AD0000"/>
      <w:sz w:val="22"/>
      <w:shd w:val="clear" w:color="auto" w:fill="F1F3F5"/>
    </w:rPr>
  </w:style>
  <w:style w:type="character" w:customStyle="1" w:styleId="BaseNTok">
    <w:name w:val="BaseNTok"/>
    <w:basedOn w:val="VerbatimChar"/>
    <w:rPr>
      <w:rFonts w:ascii="Consolas" w:eastAsia="Consolas" w:hAnsi="Consolas" w:cs="Consolas"/>
      <w:color w:val="AD0000"/>
      <w:sz w:val="22"/>
      <w:shd w:val="clear" w:color="auto" w:fill="F1F3F5"/>
    </w:rPr>
  </w:style>
  <w:style w:type="character" w:customStyle="1" w:styleId="FloatTok">
    <w:name w:val="FloatTok"/>
    <w:basedOn w:val="VerbatimChar"/>
    <w:rPr>
      <w:rFonts w:ascii="Consolas" w:eastAsia="Consolas" w:hAnsi="Consolas" w:cs="Consolas"/>
      <w:color w:val="AD0000"/>
      <w:sz w:val="22"/>
      <w:shd w:val="clear" w:color="auto" w:fill="F1F3F5"/>
    </w:rPr>
  </w:style>
  <w:style w:type="character" w:customStyle="1" w:styleId="ConstantTok">
    <w:name w:val="ConstantTok"/>
    <w:basedOn w:val="VerbatimChar"/>
    <w:rPr>
      <w:rFonts w:ascii="Consolas" w:eastAsia="Consolas" w:hAnsi="Consolas" w:cs="Consolas"/>
      <w:color w:val="8F5902"/>
      <w:sz w:val="22"/>
      <w:shd w:val="clear" w:color="auto" w:fill="F1F3F5"/>
    </w:rPr>
  </w:style>
  <w:style w:type="character" w:customStyle="1" w:styleId="CharTok">
    <w:name w:val="CharTok"/>
    <w:basedOn w:val="VerbatimChar"/>
    <w:rPr>
      <w:rFonts w:ascii="Consolas" w:eastAsia="Consolas" w:hAnsi="Consolas" w:cs="Consolas"/>
      <w:color w:val="20794D"/>
      <w:sz w:val="22"/>
      <w:shd w:val="clear" w:color="auto" w:fill="F1F3F5"/>
    </w:rPr>
  </w:style>
  <w:style w:type="character" w:customStyle="1" w:styleId="SpecialCharTok">
    <w:name w:val="SpecialCharTok"/>
    <w:basedOn w:val="VerbatimChar"/>
    <w:rPr>
      <w:rFonts w:ascii="Consolas" w:eastAsia="Consolas" w:hAnsi="Consolas" w:cs="Consolas"/>
      <w:color w:val="5E5E5E"/>
      <w:sz w:val="22"/>
      <w:shd w:val="clear" w:color="auto" w:fill="F1F3F5"/>
    </w:rPr>
  </w:style>
  <w:style w:type="character" w:customStyle="1" w:styleId="StringTok">
    <w:name w:val="StringTok"/>
    <w:basedOn w:val="VerbatimChar"/>
    <w:rPr>
      <w:rFonts w:ascii="Consolas" w:eastAsia="Consolas" w:hAnsi="Consolas" w:cs="Consolas"/>
      <w:color w:val="20794D"/>
      <w:sz w:val="22"/>
      <w:shd w:val="clear" w:color="auto" w:fill="F1F3F5"/>
    </w:rPr>
  </w:style>
  <w:style w:type="character" w:customStyle="1" w:styleId="VerbatimStringTok">
    <w:name w:val="VerbatimStringTok"/>
    <w:basedOn w:val="VerbatimChar"/>
    <w:rPr>
      <w:rFonts w:ascii="Consolas" w:eastAsia="Consolas" w:hAnsi="Consolas" w:cs="Consolas"/>
      <w:color w:val="20794D"/>
      <w:sz w:val="22"/>
      <w:shd w:val="clear" w:color="auto" w:fill="F1F3F5"/>
    </w:rPr>
  </w:style>
  <w:style w:type="character" w:customStyle="1" w:styleId="SpecialStringTok">
    <w:name w:val="SpecialStringTok"/>
    <w:basedOn w:val="VerbatimChar"/>
    <w:rPr>
      <w:rFonts w:ascii="Consolas" w:eastAsia="Consolas" w:hAnsi="Consolas" w:cs="Consolas"/>
      <w:color w:val="20794D"/>
      <w:sz w:val="22"/>
      <w:shd w:val="clear" w:color="auto" w:fill="F1F3F5"/>
    </w:rPr>
  </w:style>
  <w:style w:type="character" w:customStyle="1" w:styleId="ImportTok">
    <w:name w:val="ImportTok"/>
    <w:basedOn w:val="VerbatimChar"/>
    <w:rPr>
      <w:rFonts w:ascii="Consolas" w:eastAsia="Consolas" w:hAnsi="Consolas" w:cs="Consolas"/>
      <w:color w:val="00769E"/>
      <w:sz w:val="22"/>
      <w:shd w:val="clear" w:color="auto" w:fill="F1F3F5"/>
    </w:rPr>
  </w:style>
  <w:style w:type="character" w:customStyle="1" w:styleId="CommentTok">
    <w:name w:val="CommentTok"/>
    <w:basedOn w:val="VerbatimChar"/>
    <w:rPr>
      <w:rFonts w:ascii="Consolas" w:eastAsia="Consolas" w:hAnsi="Consolas" w:cs="Consolas"/>
      <w:color w:val="5E5E5E"/>
      <w:sz w:val="22"/>
      <w:shd w:val="clear" w:color="auto" w:fill="F1F3F5"/>
    </w:rPr>
  </w:style>
  <w:style w:type="character" w:customStyle="1" w:styleId="DocumentationTok">
    <w:name w:val="DocumentationTok"/>
    <w:basedOn w:val="VerbatimChar"/>
    <w:rPr>
      <w:rFonts w:ascii="Consolas" w:eastAsia="Consolas" w:hAnsi="Consolas" w:cs="Consolas"/>
      <w:i/>
      <w:color w:val="5E5E5E"/>
      <w:sz w:val="22"/>
      <w:shd w:val="clear" w:color="auto" w:fill="F1F3F5"/>
    </w:rPr>
  </w:style>
  <w:style w:type="character" w:customStyle="1" w:styleId="AnnotationTok">
    <w:name w:val="AnnotationTok"/>
    <w:basedOn w:val="VerbatimChar"/>
    <w:rPr>
      <w:rFonts w:ascii="Consolas" w:eastAsia="Consolas" w:hAnsi="Consolas" w:cs="Consolas"/>
      <w:color w:val="5E5E5E"/>
      <w:sz w:val="22"/>
      <w:shd w:val="clear" w:color="auto" w:fill="F1F3F5"/>
    </w:rPr>
  </w:style>
  <w:style w:type="character" w:customStyle="1" w:styleId="CommentVarTok">
    <w:name w:val="CommentVarTok"/>
    <w:basedOn w:val="VerbatimChar"/>
    <w:rPr>
      <w:rFonts w:ascii="Consolas" w:eastAsia="Consolas" w:hAnsi="Consolas" w:cs="Consolas"/>
      <w:i/>
      <w:color w:val="5E5E5E"/>
      <w:sz w:val="22"/>
      <w:shd w:val="clear" w:color="auto" w:fill="F1F3F5"/>
    </w:rPr>
  </w:style>
  <w:style w:type="character" w:customStyle="1" w:styleId="OtherTok">
    <w:name w:val="OtherTok"/>
    <w:basedOn w:val="VerbatimChar"/>
    <w:rPr>
      <w:rFonts w:ascii="Consolas" w:eastAsia="Consolas" w:hAnsi="Consolas" w:cs="Consolas"/>
      <w:color w:val="003B4F"/>
      <w:sz w:val="22"/>
      <w:shd w:val="clear" w:color="auto" w:fill="F1F3F5"/>
    </w:rPr>
  </w:style>
  <w:style w:type="character" w:customStyle="1" w:styleId="FunctionTok">
    <w:name w:val="FunctionTok"/>
    <w:basedOn w:val="VerbatimChar"/>
    <w:rPr>
      <w:rFonts w:ascii="Consolas" w:eastAsia="Consolas" w:hAnsi="Consolas" w:cs="Consolas"/>
      <w:color w:val="4758AB"/>
      <w:sz w:val="22"/>
      <w:shd w:val="clear" w:color="auto" w:fill="F1F3F5"/>
    </w:rPr>
  </w:style>
  <w:style w:type="character" w:customStyle="1" w:styleId="VariableTok">
    <w:name w:val="VariableTok"/>
    <w:basedOn w:val="VerbatimChar"/>
    <w:rPr>
      <w:rFonts w:ascii="Consolas" w:eastAsia="Consolas" w:hAnsi="Consolas" w:cs="Consolas"/>
      <w:color w:val="111111"/>
      <w:sz w:val="22"/>
      <w:shd w:val="clear" w:color="auto" w:fill="F1F3F5"/>
    </w:rPr>
  </w:style>
  <w:style w:type="character" w:customStyle="1" w:styleId="ControlFlowTok">
    <w:name w:val="ControlFlowTok"/>
    <w:basedOn w:val="VerbatimChar"/>
    <w:rPr>
      <w:rFonts w:ascii="Consolas" w:eastAsia="Consolas" w:hAnsi="Consolas" w:cs="Consolas"/>
      <w:b/>
      <w:color w:val="003B4F"/>
      <w:sz w:val="22"/>
      <w:shd w:val="clear" w:color="auto" w:fill="F1F3F5"/>
    </w:rPr>
  </w:style>
  <w:style w:type="character" w:customStyle="1" w:styleId="OperatorTok">
    <w:name w:val="OperatorTok"/>
    <w:basedOn w:val="VerbatimChar"/>
    <w:rPr>
      <w:rFonts w:ascii="Consolas" w:eastAsia="Consolas" w:hAnsi="Consolas" w:cs="Consolas"/>
      <w:color w:val="5E5E5E"/>
      <w:sz w:val="22"/>
      <w:shd w:val="clear" w:color="auto" w:fill="F1F3F5"/>
    </w:rPr>
  </w:style>
  <w:style w:type="character" w:customStyle="1" w:styleId="BuiltInTok">
    <w:name w:val="BuiltInTok"/>
    <w:basedOn w:val="VerbatimChar"/>
    <w:rPr>
      <w:rFonts w:ascii="Consolas" w:eastAsia="Consolas" w:hAnsi="Consolas" w:cs="Consolas"/>
      <w:color w:val="003B4F"/>
      <w:sz w:val="22"/>
      <w:shd w:val="clear" w:color="auto" w:fill="F1F3F5"/>
    </w:rPr>
  </w:style>
  <w:style w:type="character" w:customStyle="1" w:styleId="ExtensionTok">
    <w:name w:val="ExtensionTok"/>
    <w:basedOn w:val="VerbatimChar"/>
    <w:rPr>
      <w:rFonts w:ascii="Consolas" w:eastAsia="Consolas" w:hAnsi="Consolas" w:cs="Consolas"/>
      <w:color w:val="003B4F"/>
      <w:sz w:val="22"/>
      <w:shd w:val="clear" w:color="auto" w:fill="F1F3F5"/>
    </w:rPr>
  </w:style>
  <w:style w:type="character" w:customStyle="1" w:styleId="PreprocessorTok">
    <w:name w:val="PreprocessorTok"/>
    <w:basedOn w:val="VerbatimChar"/>
    <w:rPr>
      <w:rFonts w:ascii="Consolas" w:eastAsia="Consolas" w:hAnsi="Consolas" w:cs="Consolas"/>
      <w:color w:val="AD0000"/>
      <w:sz w:val="22"/>
      <w:shd w:val="clear" w:color="auto" w:fill="F1F3F5"/>
    </w:rPr>
  </w:style>
  <w:style w:type="character" w:customStyle="1" w:styleId="AttributeTok">
    <w:name w:val="AttributeTok"/>
    <w:basedOn w:val="VerbatimChar"/>
    <w:rPr>
      <w:rFonts w:ascii="Consolas" w:eastAsia="Consolas" w:hAnsi="Consolas" w:cs="Consolas"/>
      <w:color w:val="657422"/>
      <w:sz w:val="22"/>
      <w:shd w:val="clear" w:color="auto" w:fill="F1F3F5"/>
    </w:rPr>
  </w:style>
  <w:style w:type="character" w:customStyle="1" w:styleId="RegionMarkerTok">
    <w:name w:val="RegionMarkerTok"/>
    <w:basedOn w:val="VerbatimChar"/>
    <w:rPr>
      <w:rFonts w:ascii="Consolas" w:eastAsia="Consolas" w:hAnsi="Consolas" w:cs="Consolas"/>
      <w:color w:val="003B4F"/>
      <w:sz w:val="22"/>
      <w:shd w:val="clear" w:color="auto" w:fill="F1F3F5"/>
    </w:rPr>
  </w:style>
  <w:style w:type="character" w:customStyle="1" w:styleId="InformationTok">
    <w:name w:val="InformationTok"/>
    <w:basedOn w:val="VerbatimChar"/>
    <w:rPr>
      <w:rFonts w:ascii="Consolas" w:eastAsia="Consolas" w:hAnsi="Consolas" w:cs="Consolas"/>
      <w:color w:val="5E5E5E"/>
      <w:sz w:val="22"/>
      <w:shd w:val="clear" w:color="auto" w:fill="F1F3F5"/>
    </w:rPr>
  </w:style>
  <w:style w:type="character" w:customStyle="1" w:styleId="WarningTok">
    <w:name w:val="WarningTok"/>
    <w:basedOn w:val="VerbatimChar"/>
    <w:rPr>
      <w:rFonts w:ascii="Consolas" w:eastAsia="Consolas" w:hAnsi="Consolas" w:cs="Consolas"/>
      <w:i/>
      <w:color w:val="5E5E5E"/>
      <w:sz w:val="22"/>
      <w:shd w:val="clear" w:color="auto" w:fill="F1F3F5"/>
    </w:rPr>
  </w:style>
  <w:style w:type="character" w:customStyle="1" w:styleId="AlertTok">
    <w:name w:val="AlertTok"/>
    <w:basedOn w:val="VerbatimChar"/>
    <w:rPr>
      <w:rFonts w:ascii="Consolas" w:eastAsia="Consolas" w:hAnsi="Consolas" w:cs="Consolas"/>
      <w:color w:val="AD0000"/>
      <w:sz w:val="22"/>
      <w:shd w:val="clear" w:color="auto" w:fill="F1F3F5"/>
    </w:rPr>
  </w:style>
  <w:style w:type="character" w:customStyle="1" w:styleId="ErrorTok">
    <w:name w:val="ErrorTok"/>
    <w:basedOn w:val="VerbatimChar"/>
    <w:rPr>
      <w:rFonts w:ascii="Consolas" w:eastAsia="Consolas" w:hAnsi="Consolas" w:cs="Consolas"/>
      <w:color w:val="AD0000"/>
      <w:sz w:val="22"/>
      <w:shd w:val="clear" w:color="auto" w:fill="F1F3F5"/>
    </w:rPr>
  </w:style>
  <w:style w:type="character" w:customStyle="1" w:styleId="NormalTok">
    <w:name w:val="NormalTok"/>
    <w:basedOn w:val="VerbatimChar"/>
    <w:rPr>
      <w:rFonts w:ascii="Consolas" w:eastAsia="Consolas" w:hAnsi="Consolas" w:cs="Consolas"/>
      <w:color w:val="003B4F"/>
      <w:sz w:val="22"/>
      <w:shd w:val="clear" w:color="auto" w:fill="F1F3F5"/>
    </w:rPr>
  </w:style>
  <w:style w:type="character" w:styleId="Marquedecommentaire">
    <w:name w:val="annotation reference"/>
    <w:basedOn w:val="Policepardfaut"/>
    <w:rPr>
      <w:sz w:val="16"/>
      <w:szCs w:val="16"/>
    </w:rPr>
  </w:style>
  <w:style w:type="character" w:customStyle="1" w:styleId="CommentaireCar">
    <w:name w:val="Commentaire Car"/>
    <w:basedOn w:val="Policepardfaut"/>
    <w:rPr>
      <w:sz w:val="20"/>
      <w:szCs w:val="20"/>
    </w:rPr>
  </w:style>
  <w:style w:type="character" w:customStyle="1" w:styleId="ObjetducommentaireCar">
    <w:name w:val="Objet du commentaire Car"/>
    <w:basedOn w:val="CommentaireCar"/>
    <w:rPr>
      <w:b/>
      <w:bCs/>
      <w:sz w:val="20"/>
      <w:szCs w:val="20"/>
    </w:rPr>
  </w:style>
  <w:style w:type="character" w:customStyle="1" w:styleId="En-tteCar">
    <w:name w:val="En-tête Car"/>
    <w:basedOn w:val="Policepardfaut"/>
  </w:style>
  <w:style w:type="character" w:customStyle="1" w:styleId="PieddepageCar">
    <w:name w:val="Pied de page Car"/>
    <w:basedOn w:val="Policepardfaut"/>
  </w:style>
  <w:style w:type="character" w:styleId="Mentionnonrsolue">
    <w:name w:val="Unresolved Mention"/>
    <w:basedOn w:val="Policepardfaut"/>
    <w:rPr>
      <w:color w:val="605E5C"/>
      <w:shd w:val="clear" w:color="auto" w:fill="E1DFDD"/>
    </w:rPr>
  </w:style>
  <w:style w:type="character" w:customStyle="1" w:styleId="ImageCaptionCar">
    <w:name w:val="Image Caption Car"/>
    <w:basedOn w:val="LgendeCar"/>
    <w:rPr>
      <w:i/>
    </w:rPr>
  </w:style>
  <w:style w:type="character" w:customStyle="1" w:styleId="TableauCar">
    <w:name w:val="Tableau Car"/>
    <w:basedOn w:val="ImageCaptionCar"/>
    <w:rPr>
      <w:rFonts w:ascii="Times New Roman" w:eastAsia="Times New Roman" w:hAnsi="Times New Roman" w:cs="Times New Roman"/>
      <w:i/>
    </w:rPr>
  </w:style>
  <w:style w:type="character" w:customStyle="1" w:styleId="VisitedInternetLink">
    <w:name w:val="Visited Internet Link"/>
    <w:basedOn w:val="Policepardfaut"/>
    <w:rPr>
      <w:color w:val="96607D"/>
      <w:u w:val="single"/>
    </w:rPr>
  </w:style>
  <w:style w:type="character" w:customStyle="1" w:styleId="Sautdindex">
    <w:name w:val="Saut d'index"/>
  </w:style>
  <w:style w:type="character" w:customStyle="1" w:styleId="EndnoteSymbol">
    <w:name w:val="Endnote Symbol"/>
    <w:rPr>
      <w:position w:val="0"/>
      <w:vertAlign w:val="superscript"/>
    </w:rPr>
  </w:style>
  <w:style w:type="character" w:customStyle="1" w:styleId="Caractresdenotedefin">
    <w:name w:val="Caractères de note de fin"/>
  </w:style>
  <w:style w:type="character" w:customStyle="1" w:styleId="Endnoteanchor">
    <w:name w:val="Endnote anchor"/>
    <w:rPr>
      <w:position w:val="0"/>
      <w:vertAlign w:val="superscript"/>
    </w:rPr>
  </w:style>
  <w:style w:type="character" w:customStyle="1" w:styleId="IndexLink">
    <w:name w:val="Index Link"/>
  </w:style>
  <w:style w:type="character" w:customStyle="1" w:styleId="Linenumbering">
    <w:name w:val="Line numbering"/>
  </w:style>
  <w:style w:type="character" w:customStyle="1" w:styleId="StrongEmphasis">
    <w:name w:val="Strong Emphasis"/>
    <w:rPr>
      <w:b/>
      <w:bCs/>
    </w:rPr>
  </w:style>
  <w:style w:type="character" w:styleId="Accentuation">
    <w:name w:val="Emphasis"/>
    <w:uiPriority w:val="20"/>
    <w:qFormat/>
    <w:rPr>
      <w:i/>
      <w:iCs/>
    </w:rPr>
  </w:style>
  <w:style w:type="character" w:styleId="Textedelespacerserv">
    <w:name w:val="Placeholder Text"/>
    <w:basedOn w:val="Policepardfaut"/>
    <w:rPr>
      <w:color w:val="808080"/>
    </w:rPr>
  </w:style>
  <w:style w:type="character" w:customStyle="1" w:styleId="lev1">
    <w:name w:val="Élevé1"/>
    <w:basedOn w:val="Policepardfaut"/>
    <w:rPr>
      <w:b/>
    </w:rPr>
  </w:style>
  <w:style w:type="character" w:customStyle="1" w:styleId="TextedebullesCar">
    <w:name w:val="Texte de bulles Car"/>
    <w:basedOn w:val="Policepardfaut"/>
    <w:rPr>
      <w:rFonts w:ascii="Lucida Grande" w:eastAsia="F" w:hAnsi="Lucida Grande" w:cs="Lucida Grande"/>
      <w:sz w:val="18"/>
      <w:szCs w:val="18"/>
      <w:lang w:val="en-US"/>
    </w:rPr>
  </w:style>
  <w:style w:type="character" w:customStyle="1" w:styleId="referenceid">
    <w:name w:val="reference_id"/>
    <w:basedOn w:val="Policepardfaut"/>
    <w:rPr>
      <w:position w:val="0"/>
      <w:vertAlign w:val="superscript"/>
    </w:rPr>
  </w:style>
  <w:style w:type="character" w:customStyle="1" w:styleId="petitecap">
    <w:name w:val="petitecap"/>
    <w:basedOn w:val="Policepardfaut"/>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Aptos" w:eastAsia="Aptos" w:hAnsi="Aptos" w:cs="Aptos"/>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Aptos" w:eastAsia="Aptos" w:hAnsi="Aptos" w:cs="Aptos"/>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Aptos" w:eastAsia="Aptos" w:hAnsi="Aptos" w:cs="Aptos"/>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Aptos" w:eastAsia="Aptos" w:hAnsi="Aptos" w:cs="Aptos"/>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Aptos" w:eastAsia="Aptos" w:hAnsi="Aptos" w:cs="Aptos"/>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rPr>
      <w:rFonts w:ascii="Aptos" w:eastAsia="Aptos" w:hAnsi="Aptos" w:cs="Aptos"/>
    </w:rPr>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rPr>
      <w:rFonts w:ascii="Aptos" w:eastAsia="Aptos" w:hAnsi="Aptos" w:cs="Aptos"/>
    </w:rPr>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rPr>
      <w:rFonts w:ascii="Aptos" w:eastAsia="Aptos" w:hAnsi="Aptos" w:cs="Aptos"/>
    </w:rPr>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Aptos" w:eastAsia="Aptos" w:hAnsi="Aptos" w:cs="Times New Roman"/>
    </w:rPr>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rPr>
      <w:rFonts w:ascii="Aptos" w:eastAsia="Aptos" w:hAnsi="Aptos" w:cs="Aptos"/>
    </w:rPr>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rPr>
      <w:rFonts w:ascii="Aptos" w:eastAsia="Aptos" w:hAnsi="Aptos" w:cs="Aptos"/>
    </w:rPr>
  </w:style>
  <w:style w:type="character" w:customStyle="1" w:styleId="ListLabel107">
    <w:name w:val="ListLabel 107"/>
    <w:rPr>
      <w:rFonts w:cs="Courier New"/>
    </w:rPr>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i w:val="0"/>
    </w:rPr>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numbering" w:customStyle="1" w:styleId="Aucuneliste1">
    <w:name w:val="Aucune liste1"/>
    <w:basedOn w:val="Aucuneliste"/>
    <w:pPr>
      <w:numPr>
        <w:numId w:val="1"/>
      </w:numPr>
    </w:pPr>
  </w:style>
  <w:style w:type="numbering" w:customStyle="1" w:styleId="Pasdeliste">
    <w:name w:val="Pas de liste"/>
    <w:basedOn w:val="Aucuneliste"/>
    <w:pPr>
      <w:numPr>
        <w:numId w:val="2"/>
      </w:numPr>
    </w:pPr>
  </w:style>
  <w:style w:type="numbering" w:customStyle="1" w:styleId="WWNum1">
    <w:name w:val="WWNum1"/>
    <w:basedOn w:val="Aucuneliste"/>
    <w:pPr>
      <w:numPr>
        <w:numId w:val="3"/>
      </w:numPr>
    </w:pPr>
  </w:style>
  <w:style w:type="numbering" w:customStyle="1" w:styleId="WWNum2">
    <w:name w:val="WWNum2"/>
    <w:basedOn w:val="Aucuneliste"/>
    <w:pPr>
      <w:numPr>
        <w:numId w:val="4"/>
      </w:numPr>
    </w:pPr>
  </w:style>
  <w:style w:type="numbering" w:customStyle="1" w:styleId="WWNum3">
    <w:name w:val="WWNum3"/>
    <w:basedOn w:val="Aucuneliste"/>
    <w:pPr>
      <w:numPr>
        <w:numId w:val="5"/>
      </w:numPr>
    </w:pPr>
  </w:style>
  <w:style w:type="numbering" w:customStyle="1" w:styleId="WWNum4">
    <w:name w:val="WWNum4"/>
    <w:basedOn w:val="Aucuneliste"/>
    <w:pPr>
      <w:numPr>
        <w:numId w:val="6"/>
      </w:numPr>
    </w:pPr>
  </w:style>
  <w:style w:type="numbering" w:customStyle="1" w:styleId="WWNum5">
    <w:name w:val="WWNum5"/>
    <w:basedOn w:val="Aucuneliste"/>
    <w:pPr>
      <w:numPr>
        <w:numId w:val="7"/>
      </w:numPr>
    </w:pPr>
  </w:style>
  <w:style w:type="numbering" w:customStyle="1" w:styleId="WWNum6">
    <w:name w:val="WWNum6"/>
    <w:basedOn w:val="Aucuneliste"/>
    <w:pPr>
      <w:numPr>
        <w:numId w:val="8"/>
      </w:numPr>
    </w:pPr>
  </w:style>
  <w:style w:type="numbering" w:customStyle="1" w:styleId="WWNum7">
    <w:name w:val="WWNum7"/>
    <w:basedOn w:val="Aucuneliste"/>
    <w:pPr>
      <w:numPr>
        <w:numId w:val="9"/>
      </w:numPr>
    </w:pPr>
  </w:style>
  <w:style w:type="numbering" w:customStyle="1" w:styleId="WWNum8">
    <w:name w:val="WWNum8"/>
    <w:basedOn w:val="Aucuneliste"/>
    <w:pPr>
      <w:numPr>
        <w:numId w:val="10"/>
      </w:numPr>
    </w:pPr>
  </w:style>
  <w:style w:type="numbering" w:customStyle="1" w:styleId="WWNum9">
    <w:name w:val="WWNum9"/>
    <w:basedOn w:val="Aucuneliste"/>
    <w:pPr>
      <w:numPr>
        <w:numId w:val="11"/>
      </w:numPr>
    </w:pPr>
  </w:style>
  <w:style w:type="numbering" w:customStyle="1" w:styleId="WWNum10">
    <w:name w:val="WWNum10"/>
    <w:basedOn w:val="Aucuneliste"/>
    <w:pPr>
      <w:numPr>
        <w:numId w:val="12"/>
      </w:numPr>
    </w:pPr>
  </w:style>
  <w:style w:type="numbering" w:customStyle="1" w:styleId="WWNum11">
    <w:name w:val="WWNum11"/>
    <w:basedOn w:val="Aucuneliste"/>
    <w:pPr>
      <w:numPr>
        <w:numId w:val="13"/>
      </w:numPr>
    </w:pPr>
  </w:style>
  <w:style w:type="numbering" w:customStyle="1" w:styleId="WWNum12">
    <w:name w:val="WWNum12"/>
    <w:basedOn w:val="Aucuneliste"/>
    <w:pPr>
      <w:numPr>
        <w:numId w:val="14"/>
      </w:numPr>
    </w:pPr>
  </w:style>
  <w:style w:type="numbering" w:customStyle="1" w:styleId="WWNum13">
    <w:name w:val="WWNum13"/>
    <w:basedOn w:val="Aucuneliste"/>
    <w:pPr>
      <w:numPr>
        <w:numId w:val="15"/>
      </w:numPr>
    </w:pPr>
  </w:style>
  <w:style w:type="numbering" w:customStyle="1" w:styleId="WWNum14">
    <w:name w:val="WWNum14"/>
    <w:basedOn w:val="Aucuneliste"/>
    <w:pPr>
      <w:numPr>
        <w:numId w:val="16"/>
      </w:numPr>
    </w:pPr>
  </w:style>
  <w:style w:type="numbering" w:customStyle="1" w:styleId="WWNum15">
    <w:name w:val="WWNum15"/>
    <w:basedOn w:val="Aucuneliste"/>
    <w:pPr>
      <w:numPr>
        <w:numId w:val="17"/>
      </w:numPr>
    </w:pPr>
  </w:style>
  <w:style w:type="numbering" w:customStyle="1" w:styleId="WWNum16">
    <w:name w:val="WWNum16"/>
    <w:basedOn w:val="Aucuneliste"/>
    <w:pPr>
      <w:numPr>
        <w:numId w:val="18"/>
      </w:numPr>
    </w:pPr>
  </w:style>
  <w:style w:type="character" w:styleId="Appelnotedebasdep">
    <w:name w:val="footnote reference"/>
    <w:basedOn w:val="Policepardfaut"/>
    <w:uiPriority w:val="99"/>
    <w:semiHidden/>
    <w:unhideWhenUsed/>
    <w:rPr>
      <w:vertAlign w:val="superscript"/>
    </w:rPr>
  </w:style>
  <w:style w:type="paragraph" w:styleId="Commentaire">
    <w:name w:val="annotation text"/>
    <w:basedOn w:val="Normal"/>
    <w:link w:val="CommentaireCar1"/>
    <w:uiPriority w:val="99"/>
    <w:semiHidden/>
    <w:unhideWhenUsed/>
    <w:rPr>
      <w:sz w:val="20"/>
      <w:szCs w:val="20"/>
    </w:rPr>
  </w:style>
  <w:style w:type="character" w:customStyle="1" w:styleId="CommentaireCar1">
    <w:name w:val="Commentaire Car1"/>
    <w:basedOn w:val="Policepardfaut"/>
    <w:link w:val="Commentaire"/>
    <w:uiPriority w:val="99"/>
    <w:semiHidden/>
    <w:rPr>
      <w:sz w:val="20"/>
      <w:szCs w:val="20"/>
    </w:rPr>
  </w:style>
  <w:style w:type="paragraph" w:styleId="TM1">
    <w:name w:val="toc 1"/>
    <w:basedOn w:val="Normal"/>
    <w:next w:val="Normal"/>
    <w:autoRedefine/>
    <w:uiPriority w:val="39"/>
    <w:unhideWhenUsed/>
    <w:rsid w:val="002E4235"/>
    <w:pPr>
      <w:spacing w:after="100"/>
    </w:pPr>
  </w:style>
  <w:style w:type="character" w:styleId="Lienhypertexte">
    <w:name w:val="Hyperlink"/>
    <w:basedOn w:val="Policepardfaut"/>
    <w:uiPriority w:val="99"/>
    <w:unhideWhenUsed/>
    <w:rsid w:val="002E4235"/>
    <w:rPr>
      <w:color w:val="0563C1" w:themeColor="hyperlink"/>
      <w:u w:val="single"/>
    </w:rPr>
  </w:style>
  <w:style w:type="paragraph" w:styleId="NormalWeb">
    <w:name w:val="Normal (Web)"/>
    <w:basedOn w:val="Normal"/>
    <w:uiPriority w:val="99"/>
    <w:unhideWhenUsed/>
    <w:rsid w:val="00552BED"/>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styleId="lev">
    <w:name w:val="Strong"/>
    <w:basedOn w:val="Policepardfaut"/>
    <w:uiPriority w:val="22"/>
    <w:qFormat/>
    <w:rsid w:val="00F17702"/>
    <w:rPr>
      <w:b/>
      <w:bCs/>
    </w:rPr>
  </w:style>
  <w:style w:type="character" w:styleId="CodeHTML">
    <w:name w:val="HTML Code"/>
    <w:basedOn w:val="Policepardfaut"/>
    <w:uiPriority w:val="99"/>
    <w:semiHidden/>
    <w:unhideWhenUsed/>
    <w:rsid w:val="004C7E05"/>
    <w:rPr>
      <w:rFonts w:ascii="Courier New" w:eastAsia="Times New Roman" w:hAnsi="Courier New" w:cs="Courier New"/>
      <w:sz w:val="20"/>
      <w:szCs w:val="20"/>
    </w:rPr>
  </w:style>
  <w:style w:type="paragraph" w:customStyle="1" w:styleId="cl-4168d0b6">
    <w:name w:val="cl-4168d0b6"/>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customStyle="1" w:styleId="cl-4164a766">
    <w:name w:val="cl-4164a766"/>
    <w:basedOn w:val="Policepardfaut"/>
    <w:rsid w:val="00241B01"/>
  </w:style>
  <w:style w:type="character" w:customStyle="1" w:styleId="cl-4164a75c">
    <w:name w:val="cl-4164a75c"/>
    <w:basedOn w:val="Policepardfaut"/>
    <w:rsid w:val="00241B01"/>
  </w:style>
  <w:style w:type="paragraph" w:customStyle="1" w:styleId="cl-4168d098">
    <w:name w:val="cl-4168d098"/>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customStyle="1" w:styleId="cl-4164a767">
    <w:name w:val="cl-4164a767"/>
    <w:basedOn w:val="Policepardfaut"/>
    <w:rsid w:val="00241B01"/>
  </w:style>
  <w:style w:type="paragraph" w:customStyle="1" w:styleId="cl-4168d0c0">
    <w:name w:val="cl-4168d0c0"/>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paragraph" w:customStyle="1" w:styleId="cl-4168d0d4">
    <w:name w:val="cl-4168d0d4"/>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paragraph" w:styleId="TM2">
    <w:name w:val="toc 2"/>
    <w:basedOn w:val="Normal"/>
    <w:next w:val="Normal"/>
    <w:autoRedefine/>
    <w:uiPriority w:val="39"/>
    <w:unhideWhenUsed/>
    <w:rsid w:val="004C06E7"/>
    <w:pPr>
      <w:spacing w:after="100"/>
      <w:ind w:left="240"/>
    </w:pPr>
  </w:style>
  <w:style w:type="paragraph" w:styleId="TM3">
    <w:name w:val="toc 3"/>
    <w:basedOn w:val="Normal"/>
    <w:next w:val="Normal"/>
    <w:autoRedefine/>
    <w:uiPriority w:val="39"/>
    <w:unhideWhenUsed/>
    <w:rsid w:val="004C06E7"/>
    <w:pPr>
      <w:spacing w:after="100"/>
      <w:ind w:left="480"/>
    </w:pPr>
  </w:style>
  <w:style w:type="character" w:styleId="Lienhypertextesuivivisit">
    <w:name w:val="FollowedHyperlink"/>
    <w:basedOn w:val="Policepardfaut"/>
    <w:uiPriority w:val="99"/>
    <w:semiHidden/>
    <w:unhideWhenUsed/>
    <w:rsid w:val="00294772"/>
    <w:rPr>
      <w:color w:val="954F72" w:themeColor="followedHyperlink"/>
      <w:u w:val="single"/>
    </w:rPr>
  </w:style>
  <w:style w:type="paragraph" w:customStyle="1" w:styleId="para">
    <w:name w:val="para"/>
    <w:basedOn w:val="Normal"/>
    <w:rsid w:val="00D52E34"/>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paragraph" w:customStyle="1" w:styleId="elemliste">
    <w:name w:val="elemliste"/>
    <w:basedOn w:val="Normal"/>
    <w:rsid w:val="00D52E34"/>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paragraph" w:styleId="Paragraphedeliste">
    <w:name w:val="List Paragraph"/>
    <w:basedOn w:val="Normal"/>
    <w:uiPriority w:val="34"/>
    <w:qFormat/>
    <w:rsid w:val="00F227DD"/>
    <w:pPr>
      <w:ind w:left="720"/>
      <w:contextualSpacing/>
    </w:pPr>
  </w:style>
  <w:style w:type="character" w:customStyle="1" w:styleId="apple-tab-span">
    <w:name w:val="apple-tab-span"/>
    <w:basedOn w:val="Policepardfaut"/>
    <w:rsid w:val="00386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9912">
      <w:bodyDiv w:val="1"/>
      <w:marLeft w:val="0"/>
      <w:marRight w:val="0"/>
      <w:marTop w:val="0"/>
      <w:marBottom w:val="0"/>
      <w:divBdr>
        <w:top w:val="none" w:sz="0" w:space="0" w:color="auto"/>
        <w:left w:val="none" w:sz="0" w:space="0" w:color="auto"/>
        <w:bottom w:val="none" w:sz="0" w:space="0" w:color="auto"/>
        <w:right w:val="none" w:sz="0" w:space="0" w:color="auto"/>
      </w:divBdr>
    </w:div>
    <w:div w:id="136148948">
      <w:bodyDiv w:val="1"/>
      <w:marLeft w:val="0"/>
      <w:marRight w:val="0"/>
      <w:marTop w:val="0"/>
      <w:marBottom w:val="0"/>
      <w:divBdr>
        <w:top w:val="none" w:sz="0" w:space="0" w:color="auto"/>
        <w:left w:val="none" w:sz="0" w:space="0" w:color="auto"/>
        <w:bottom w:val="none" w:sz="0" w:space="0" w:color="auto"/>
        <w:right w:val="none" w:sz="0" w:space="0" w:color="auto"/>
      </w:divBdr>
    </w:div>
    <w:div w:id="266469925">
      <w:bodyDiv w:val="1"/>
      <w:marLeft w:val="0"/>
      <w:marRight w:val="0"/>
      <w:marTop w:val="0"/>
      <w:marBottom w:val="0"/>
      <w:divBdr>
        <w:top w:val="none" w:sz="0" w:space="0" w:color="auto"/>
        <w:left w:val="none" w:sz="0" w:space="0" w:color="auto"/>
        <w:bottom w:val="none" w:sz="0" w:space="0" w:color="auto"/>
        <w:right w:val="none" w:sz="0" w:space="0" w:color="auto"/>
      </w:divBdr>
    </w:div>
    <w:div w:id="309553834">
      <w:bodyDiv w:val="1"/>
      <w:marLeft w:val="0"/>
      <w:marRight w:val="0"/>
      <w:marTop w:val="0"/>
      <w:marBottom w:val="0"/>
      <w:divBdr>
        <w:top w:val="none" w:sz="0" w:space="0" w:color="auto"/>
        <w:left w:val="none" w:sz="0" w:space="0" w:color="auto"/>
        <w:bottom w:val="none" w:sz="0" w:space="0" w:color="auto"/>
        <w:right w:val="none" w:sz="0" w:space="0" w:color="auto"/>
      </w:divBdr>
    </w:div>
    <w:div w:id="316882803">
      <w:bodyDiv w:val="1"/>
      <w:marLeft w:val="0"/>
      <w:marRight w:val="0"/>
      <w:marTop w:val="0"/>
      <w:marBottom w:val="0"/>
      <w:divBdr>
        <w:top w:val="none" w:sz="0" w:space="0" w:color="auto"/>
        <w:left w:val="none" w:sz="0" w:space="0" w:color="auto"/>
        <w:bottom w:val="none" w:sz="0" w:space="0" w:color="auto"/>
        <w:right w:val="none" w:sz="0" w:space="0" w:color="auto"/>
      </w:divBdr>
    </w:div>
    <w:div w:id="355547834">
      <w:bodyDiv w:val="1"/>
      <w:marLeft w:val="0"/>
      <w:marRight w:val="0"/>
      <w:marTop w:val="0"/>
      <w:marBottom w:val="0"/>
      <w:divBdr>
        <w:top w:val="none" w:sz="0" w:space="0" w:color="auto"/>
        <w:left w:val="none" w:sz="0" w:space="0" w:color="auto"/>
        <w:bottom w:val="none" w:sz="0" w:space="0" w:color="auto"/>
        <w:right w:val="none" w:sz="0" w:space="0" w:color="auto"/>
      </w:divBdr>
    </w:div>
    <w:div w:id="376666556">
      <w:bodyDiv w:val="1"/>
      <w:marLeft w:val="0"/>
      <w:marRight w:val="0"/>
      <w:marTop w:val="0"/>
      <w:marBottom w:val="0"/>
      <w:divBdr>
        <w:top w:val="none" w:sz="0" w:space="0" w:color="auto"/>
        <w:left w:val="none" w:sz="0" w:space="0" w:color="auto"/>
        <w:bottom w:val="none" w:sz="0" w:space="0" w:color="auto"/>
        <w:right w:val="none" w:sz="0" w:space="0" w:color="auto"/>
      </w:divBdr>
    </w:div>
    <w:div w:id="381905581">
      <w:bodyDiv w:val="1"/>
      <w:marLeft w:val="0"/>
      <w:marRight w:val="0"/>
      <w:marTop w:val="0"/>
      <w:marBottom w:val="0"/>
      <w:divBdr>
        <w:top w:val="none" w:sz="0" w:space="0" w:color="auto"/>
        <w:left w:val="none" w:sz="0" w:space="0" w:color="auto"/>
        <w:bottom w:val="none" w:sz="0" w:space="0" w:color="auto"/>
        <w:right w:val="none" w:sz="0" w:space="0" w:color="auto"/>
      </w:divBdr>
    </w:div>
    <w:div w:id="433941314">
      <w:bodyDiv w:val="1"/>
      <w:marLeft w:val="0"/>
      <w:marRight w:val="0"/>
      <w:marTop w:val="0"/>
      <w:marBottom w:val="0"/>
      <w:divBdr>
        <w:top w:val="none" w:sz="0" w:space="0" w:color="auto"/>
        <w:left w:val="none" w:sz="0" w:space="0" w:color="auto"/>
        <w:bottom w:val="none" w:sz="0" w:space="0" w:color="auto"/>
        <w:right w:val="none" w:sz="0" w:space="0" w:color="auto"/>
      </w:divBdr>
    </w:div>
    <w:div w:id="595869396">
      <w:bodyDiv w:val="1"/>
      <w:marLeft w:val="0"/>
      <w:marRight w:val="0"/>
      <w:marTop w:val="0"/>
      <w:marBottom w:val="0"/>
      <w:divBdr>
        <w:top w:val="none" w:sz="0" w:space="0" w:color="auto"/>
        <w:left w:val="none" w:sz="0" w:space="0" w:color="auto"/>
        <w:bottom w:val="none" w:sz="0" w:space="0" w:color="auto"/>
        <w:right w:val="none" w:sz="0" w:space="0" w:color="auto"/>
      </w:divBdr>
    </w:div>
    <w:div w:id="597375299">
      <w:bodyDiv w:val="1"/>
      <w:marLeft w:val="0"/>
      <w:marRight w:val="0"/>
      <w:marTop w:val="0"/>
      <w:marBottom w:val="0"/>
      <w:divBdr>
        <w:top w:val="none" w:sz="0" w:space="0" w:color="auto"/>
        <w:left w:val="none" w:sz="0" w:space="0" w:color="auto"/>
        <w:bottom w:val="none" w:sz="0" w:space="0" w:color="auto"/>
        <w:right w:val="none" w:sz="0" w:space="0" w:color="auto"/>
      </w:divBdr>
    </w:div>
    <w:div w:id="623728326">
      <w:bodyDiv w:val="1"/>
      <w:marLeft w:val="0"/>
      <w:marRight w:val="0"/>
      <w:marTop w:val="0"/>
      <w:marBottom w:val="0"/>
      <w:divBdr>
        <w:top w:val="none" w:sz="0" w:space="0" w:color="auto"/>
        <w:left w:val="none" w:sz="0" w:space="0" w:color="auto"/>
        <w:bottom w:val="none" w:sz="0" w:space="0" w:color="auto"/>
        <w:right w:val="none" w:sz="0" w:space="0" w:color="auto"/>
      </w:divBdr>
    </w:div>
    <w:div w:id="718941598">
      <w:bodyDiv w:val="1"/>
      <w:marLeft w:val="0"/>
      <w:marRight w:val="0"/>
      <w:marTop w:val="0"/>
      <w:marBottom w:val="0"/>
      <w:divBdr>
        <w:top w:val="none" w:sz="0" w:space="0" w:color="auto"/>
        <w:left w:val="none" w:sz="0" w:space="0" w:color="auto"/>
        <w:bottom w:val="none" w:sz="0" w:space="0" w:color="auto"/>
        <w:right w:val="none" w:sz="0" w:space="0" w:color="auto"/>
      </w:divBdr>
    </w:div>
    <w:div w:id="851574960">
      <w:bodyDiv w:val="1"/>
      <w:marLeft w:val="0"/>
      <w:marRight w:val="0"/>
      <w:marTop w:val="0"/>
      <w:marBottom w:val="0"/>
      <w:divBdr>
        <w:top w:val="none" w:sz="0" w:space="0" w:color="auto"/>
        <w:left w:val="none" w:sz="0" w:space="0" w:color="auto"/>
        <w:bottom w:val="none" w:sz="0" w:space="0" w:color="auto"/>
        <w:right w:val="none" w:sz="0" w:space="0" w:color="auto"/>
      </w:divBdr>
    </w:div>
    <w:div w:id="1007905552">
      <w:bodyDiv w:val="1"/>
      <w:marLeft w:val="0"/>
      <w:marRight w:val="0"/>
      <w:marTop w:val="0"/>
      <w:marBottom w:val="0"/>
      <w:divBdr>
        <w:top w:val="none" w:sz="0" w:space="0" w:color="auto"/>
        <w:left w:val="none" w:sz="0" w:space="0" w:color="auto"/>
        <w:bottom w:val="none" w:sz="0" w:space="0" w:color="auto"/>
        <w:right w:val="none" w:sz="0" w:space="0" w:color="auto"/>
      </w:divBdr>
    </w:div>
    <w:div w:id="1108626154">
      <w:bodyDiv w:val="1"/>
      <w:marLeft w:val="0"/>
      <w:marRight w:val="0"/>
      <w:marTop w:val="0"/>
      <w:marBottom w:val="0"/>
      <w:divBdr>
        <w:top w:val="none" w:sz="0" w:space="0" w:color="auto"/>
        <w:left w:val="none" w:sz="0" w:space="0" w:color="auto"/>
        <w:bottom w:val="none" w:sz="0" w:space="0" w:color="auto"/>
        <w:right w:val="none" w:sz="0" w:space="0" w:color="auto"/>
      </w:divBdr>
    </w:div>
    <w:div w:id="1252398215">
      <w:bodyDiv w:val="1"/>
      <w:marLeft w:val="0"/>
      <w:marRight w:val="0"/>
      <w:marTop w:val="0"/>
      <w:marBottom w:val="0"/>
      <w:divBdr>
        <w:top w:val="none" w:sz="0" w:space="0" w:color="auto"/>
        <w:left w:val="none" w:sz="0" w:space="0" w:color="auto"/>
        <w:bottom w:val="none" w:sz="0" w:space="0" w:color="auto"/>
        <w:right w:val="none" w:sz="0" w:space="0" w:color="auto"/>
      </w:divBdr>
    </w:div>
    <w:div w:id="1288438210">
      <w:bodyDiv w:val="1"/>
      <w:marLeft w:val="0"/>
      <w:marRight w:val="0"/>
      <w:marTop w:val="0"/>
      <w:marBottom w:val="0"/>
      <w:divBdr>
        <w:top w:val="none" w:sz="0" w:space="0" w:color="auto"/>
        <w:left w:val="none" w:sz="0" w:space="0" w:color="auto"/>
        <w:bottom w:val="none" w:sz="0" w:space="0" w:color="auto"/>
        <w:right w:val="none" w:sz="0" w:space="0" w:color="auto"/>
      </w:divBdr>
    </w:div>
    <w:div w:id="1325546952">
      <w:bodyDiv w:val="1"/>
      <w:marLeft w:val="0"/>
      <w:marRight w:val="0"/>
      <w:marTop w:val="0"/>
      <w:marBottom w:val="0"/>
      <w:divBdr>
        <w:top w:val="none" w:sz="0" w:space="0" w:color="auto"/>
        <w:left w:val="none" w:sz="0" w:space="0" w:color="auto"/>
        <w:bottom w:val="none" w:sz="0" w:space="0" w:color="auto"/>
        <w:right w:val="none" w:sz="0" w:space="0" w:color="auto"/>
      </w:divBdr>
    </w:div>
    <w:div w:id="1387676903">
      <w:bodyDiv w:val="1"/>
      <w:marLeft w:val="0"/>
      <w:marRight w:val="0"/>
      <w:marTop w:val="0"/>
      <w:marBottom w:val="0"/>
      <w:divBdr>
        <w:top w:val="none" w:sz="0" w:space="0" w:color="auto"/>
        <w:left w:val="none" w:sz="0" w:space="0" w:color="auto"/>
        <w:bottom w:val="none" w:sz="0" w:space="0" w:color="auto"/>
        <w:right w:val="none" w:sz="0" w:space="0" w:color="auto"/>
      </w:divBdr>
    </w:div>
    <w:div w:id="1399211345">
      <w:bodyDiv w:val="1"/>
      <w:marLeft w:val="0"/>
      <w:marRight w:val="0"/>
      <w:marTop w:val="0"/>
      <w:marBottom w:val="0"/>
      <w:divBdr>
        <w:top w:val="none" w:sz="0" w:space="0" w:color="auto"/>
        <w:left w:val="none" w:sz="0" w:space="0" w:color="auto"/>
        <w:bottom w:val="none" w:sz="0" w:space="0" w:color="auto"/>
        <w:right w:val="none" w:sz="0" w:space="0" w:color="auto"/>
      </w:divBdr>
    </w:div>
    <w:div w:id="1423835710">
      <w:bodyDiv w:val="1"/>
      <w:marLeft w:val="0"/>
      <w:marRight w:val="0"/>
      <w:marTop w:val="0"/>
      <w:marBottom w:val="0"/>
      <w:divBdr>
        <w:top w:val="none" w:sz="0" w:space="0" w:color="auto"/>
        <w:left w:val="none" w:sz="0" w:space="0" w:color="auto"/>
        <w:bottom w:val="none" w:sz="0" w:space="0" w:color="auto"/>
        <w:right w:val="none" w:sz="0" w:space="0" w:color="auto"/>
      </w:divBdr>
    </w:div>
    <w:div w:id="1449078812">
      <w:bodyDiv w:val="1"/>
      <w:marLeft w:val="0"/>
      <w:marRight w:val="0"/>
      <w:marTop w:val="0"/>
      <w:marBottom w:val="0"/>
      <w:divBdr>
        <w:top w:val="none" w:sz="0" w:space="0" w:color="auto"/>
        <w:left w:val="none" w:sz="0" w:space="0" w:color="auto"/>
        <w:bottom w:val="none" w:sz="0" w:space="0" w:color="auto"/>
        <w:right w:val="none" w:sz="0" w:space="0" w:color="auto"/>
      </w:divBdr>
    </w:div>
    <w:div w:id="1581214479">
      <w:bodyDiv w:val="1"/>
      <w:marLeft w:val="0"/>
      <w:marRight w:val="0"/>
      <w:marTop w:val="0"/>
      <w:marBottom w:val="0"/>
      <w:divBdr>
        <w:top w:val="none" w:sz="0" w:space="0" w:color="auto"/>
        <w:left w:val="none" w:sz="0" w:space="0" w:color="auto"/>
        <w:bottom w:val="none" w:sz="0" w:space="0" w:color="auto"/>
        <w:right w:val="none" w:sz="0" w:space="0" w:color="auto"/>
      </w:divBdr>
    </w:div>
    <w:div w:id="1651710469">
      <w:bodyDiv w:val="1"/>
      <w:marLeft w:val="0"/>
      <w:marRight w:val="0"/>
      <w:marTop w:val="0"/>
      <w:marBottom w:val="0"/>
      <w:divBdr>
        <w:top w:val="none" w:sz="0" w:space="0" w:color="auto"/>
        <w:left w:val="none" w:sz="0" w:space="0" w:color="auto"/>
        <w:bottom w:val="none" w:sz="0" w:space="0" w:color="auto"/>
        <w:right w:val="none" w:sz="0" w:space="0" w:color="auto"/>
      </w:divBdr>
    </w:div>
    <w:div w:id="1706713501">
      <w:bodyDiv w:val="1"/>
      <w:marLeft w:val="0"/>
      <w:marRight w:val="0"/>
      <w:marTop w:val="0"/>
      <w:marBottom w:val="0"/>
      <w:divBdr>
        <w:top w:val="none" w:sz="0" w:space="0" w:color="auto"/>
        <w:left w:val="none" w:sz="0" w:space="0" w:color="auto"/>
        <w:bottom w:val="none" w:sz="0" w:space="0" w:color="auto"/>
        <w:right w:val="none" w:sz="0" w:space="0" w:color="auto"/>
      </w:divBdr>
    </w:div>
    <w:div w:id="1788313057">
      <w:bodyDiv w:val="1"/>
      <w:marLeft w:val="0"/>
      <w:marRight w:val="0"/>
      <w:marTop w:val="0"/>
      <w:marBottom w:val="0"/>
      <w:divBdr>
        <w:top w:val="none" w:sz="0" w:space="0" w:color="auto"/>
        <w:left w:val="none" w:sz="0" w:space="0" w:color="auto"/>
        <w:bottom w:val="none" w:sz="0" w:space="0" w:color="auto"/>
        <w:right w:val="none" w:sz="0" w:space="0" w:color="auto"/>
      </w:divBdr>
      <w:divsChild>
        <w:div w:id="107511542">
          <w:marLeft w:val="0"/>
          <w:marRight w:val="0"/>
          <w:marTop w:val="0"/>
          <w:marBottom w:val="0"/>
          <w:divBdr>
            <w:top w:val="none" w:sz="0" w:space="0" w:color="auto"/>
            <w:left w:val="none" w:sz="0" w:space="0" w:color="auto"/>
            <w:bottom w:val="none" w:sz="0" w:space="0" w:color="auto"/>
            <w:right w:val="none" w:sz="0" w:space="0" w:color="auto"/>
          </w:divBdr>
          <w:divsChild>
            <w:div w:id="727731385">
              <w:marLeft w:val="0"/>
              <w:marRight w:val="0"/>
              <w:marTop w:val="0"/>
              <w:marBottom w:val="0"/>
              <w:divBdr>
                <w:top w:val="none" w:sz="0" w:space="0" w:color="auto"/>
                <w:left w:val="none" w:sz="0" w:space="0" w:color="auto"/>
                <w:bottom w:val="none" w:sz="0" w:space="0" w:color="auto"/>
                <w:right w:val="none" w:sz="0" w:space="0" w:color="auto"/>
              </w:divBdr>
              <w:divsChild>
                <w:div w:id="968436623">
                  <w:marLeft w:val="0"/>
                  <w:marRight w:val="0"/>
                  <w:marTop w:val="0"/>
                  <w:marBottom w:val="0"/>
                  <w:divBdr>
                    <w:top w:val="none" w:sz="0" w:space="0" w:color="auto"/>
                    <w:left w:val="none" w:sz="0" w:space="0" w:color="auto"/>
                    <w:bottom w:val="none" w:sz="0" w:space="0" w:color="auto"/>
                    <w:right w:val="none" w:sz="0" w:space="0" w:color="auto"/>
                  </w:divBdr>
                  <w:divsChild>
                    <w:div w:id="1793160855">
                      <w:marLeft w:val="0"/>
                      <w:marRight w:val="0"/>
                      <w:marTop w:val="0"/>
                      <w:marBottom w:val="0"/>
                      <w:divBdr>
                        <w:top w:val="none" w:sz="0" w:space="0" w:color="auto"/>
                        <w:left w:val="none" w:sz="0" w:space="0" w:color="auto"/>
                        <w:bottom w:val="none" w:sz="0" w:space="0" w:color="auto"/>
                        <w:right w:val="none" w:sz="0" w:space="0" w:color="auto"/>
                      </w:divBdr>
                      <w:divsChild>
                        <w:div w:id="161166319">
                          <w:marLeft w:val="0"/>
                          <w:marRight w:val="0"/>
                          <w:marTop w:val="0"/>
                          <w:marBottom w:val="0"/>
                          <w:divBdr>
                            <w:top w:val="none" w:sz="0" w:space="0" w:color="auto"/>
                            <w:left w:val="none" w:sz="0" w:space="0" w:color="auto"/>
                            <w:bottom w:val="none" w:sz="0" w:space="0" w:color="auto"/>
                            <w:right w:val="none" w:sz="0" w:space="0" w:color="auto"/>
                          </w:divBdr>
                          <w:divsChild>
                            <w:div w:id="343746670">
                              <w:marLeft w:val="0"/>
                              <w:marRight w:val="0"/>
                              <w:marTop w:val="0"/>
                              <w:marBottom w:val="0"/>
                              <w:divBdr>
                                <w:top w:val="none" w:sz="0" w:space="0" w:color="auto"/>
                                <w:left w:val="none" w:sz="0" w:space="0" w:color="auto"/>
                                <w:bottom w:val="none" w:sz="0" w:space="0" w:color="auto"/>
                                <w:right w:val="none" w:sz="0" w:space="0" w:color="auto"/>
                              </w:divBdr>
                              <w:divsChild>
                                <w:div w:id="1485389879">
                                  <w:marLeft w:val="0"/>
                                  <w:marRight w:val="0"/>
                                  <w:marTop w:val="0"/>
                                  <w:marBottom w:val="0"/>
                                  <w:divBdr>
                                    <w:top w:val="none" w:sz="0" w:space="0" w:color="auto"/>
                                    <w:left w:val="none" w:sz="0" w:space="0" w:color="auto"/>
                                    <w:bottom w:val="none" w:sz="0" w:space="0" w:color="auto"/>
                                    <w:right w:val="none" w:sz="0" w:space="0" w:color="auto"/>
                                  </w:divBdr>
                                  <w:divsChild>
                                    <w:div w:id="13071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459521">
      <w:bodyDiv w:val="1"/>
      <w:marLeft w:val="0"/>
      <w:marRight w:val="0"/>
      <w:marTop w:val="0"/>
      <w:marBottom w:val="0"/>
      <w:divBdr>
        <w:top w:val="none" w:sz="0" w:space="0" w:color="auto"/>
        <w:left w:val="none" w:sz="0" w:space="0" w:color="auto"/>
        <w:bottom w:val="none" w:sz="0" w:space="0" w:color="auto"/>
        <w:right w:val="none" w:sz="0" w:space="0" w:color="auto"/>
      </w:divBdr>
      <w:divsChild>
        <w:div w:id="748578511">
          <w:marLeft w:val="0"/>
          <w:marRight w:val="0"/>
          <w:marTop w:val="0"/>
          <w:marBottom w:val="0"/>
          <w:divBdr>
            <w:top w:val="single" w:sz="2" w:space="0" w:color="E5E7EB"/>
            <w:left w:val="single" w:sz="2" w:space="0" w:color="E5E7EB"/>
            <w:bottom w:val="single" w:sz="2" w:space="0" w:color="E5E7EB"/>
            <w:right w:val="single" w:sz="2" w:space="0" w:color="E5E7EB"/>
          </w:divBdr>
        </w:div>
        <w:div w:id="39216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786624">
      <w:bodyDiv w:val="1"/>
      <w:marLeft w:val="0"/>
      <w:marRight w:val="0"/>
      <w:marTop w:val="0"/>
      <w:marBottom w:val="0"/>
      <w:divBdr>
        <w:top w:val="none" w:sz="0" w:space="0" w:color="auto"/>
        <w:left w:val="none" w:sz="0" w:space="0" w:color="auto"/>
        <w:bottom w:val="none" w:sz="0" w:space="0" w:color="auto"/>
        <w:right w:val="none" w:sz="0" w:space="0" w:color="auto"/>
      </w:divBdr>
      <w:divsChild>
        <w:div w:id="1541548398">
          <w:marLeft w:val="0"/>
          <w:marRight w:val="0"/>
          <w:marTop w:val="0"/>
          <w:marBottom w:val="0"/>
          <w:divBdr>
            <w:top w:val="none" w:sz="0" w:space="0" w:color="auto"/>
            <w:left w:val="none" w:sz="0" w:space="0" w:color="auto"/>
            <w:bottom w:val="none" w:sz="0" w:space="0" w:color="auto"/>
            <w:right w:val="none" w:sz="0" w:space="0" w:color="auto"/>
          </w:divBdr>
          <w:divsChild>
            <w:div w:id="1368409119">
              <w:marLeft w:val="0"/>
              <w:marRight w:val="0"/>
              <w:marTop w:val="0"/>
              <w:marBottom w:val="240"/>
              <w:divBdr>
                <w:top w:val="none" w:sz="0" w:space="0" w:color="auto"/>
                <w:left w:val="none" w:sz="0" w:space="0" w:color="auto"/>
                <w:bottom w:val="none" w:sz="0" w:space="0" w:color="auto"/>
                <w:right w:val="none" w:sz="0" w:space="0" w:color="auto"/>
              </w:divBdr>
            </w:div>
            <w:div w:id="1679191150">
              <w:marLeft w:val="0"/>
              <w:marRight w:val="0"/>
              <w:marTop w:val="0"/>
              <w:marBottom w:val="240"/>
              <w:divBdr>
                <w:top w:val="none" w:sz="0" w:space="0" w:color="auto"/>
                <w:left w:val="none" w:sz="0" w:space="0" w:color="auto"/>
                <w:bottom w:val="none" w:sz="0" w:space="0" w:color="auto"/>
                <w:right w:val="none" w:sz="0" w:space="0" w:color="auto"/>
              </w:divBdr>
            </w:div>
            <w:div w:id="1666469563">
              <w:marLeft w:val="0"/>
              <w:marRight w:val="0"/>
              <w:marTop w:val="0"/>
              <w:marBottom w:val="240"/>
              <w:divBdr>
                <w:top w:val="none" w:sz="0" w:space="0" w:color="auto"/>
                <w:left w:val="none" w:sz="0" w:space="0" w:color="auto"/>
                <w:bottom w:val="none" w:sz="0" w:space="0" w:color="auto"/>
                <w:right w:val="none" w:sz="0" w:space="0" w:color="auto"/>
              </w:divBdr>
            </w:div>
            <w:div w:id="114951306">
              <w:marLeft w:val="0"/>
              <w:marRight w:val="0"/>
              <w:marTop w:val="0"/>
              <w:marBottom w:val="240"/>
              <w:divBdr>
                <w:top w:val="none" w:sz="0" w:space="0" w:color="auto"/>
                <w:left w:val="none" w:sz="0" w:space="0" w:color="auto"/>
                <w:bottom w:val="none" w:sz="0" w:space="0" w:color="auto"/>
                <w:right w:val="none" w:sz="0" w:space="0" w:color="auto"/>
              </w:divBdr>
            </w:div>
            <w:div w:id="1034112187">
              <w:marLeft w:val="0"/>
              <w:marRight w:val="0"/>
              <w:marTop w:val="0"/>
              <w:marBottom w:val="240"/>
              <w:divBdr>
                <w:top w:val="none" w:sz="0" w:space="0" w:color="auto"/>
                <w:left w:val="none" w:sz="0" w:space="0" w:color="auto"/>
                <w:bottom w:val="none" w:sz="0" w:space="0" w:color="auto"/>
                <w:right w:val="none" w:sz="0" w:space="0" w:color="auto"/>
              </w:divBdr>
            </w:div>
            <w:div w:id="1046759084">
              <w:marLeft w:val="0"/>
              <w:marRight w:val="0"/>
              <w:marTop w:val="0"/>
              <w:marBottom w:val="240"/>
              <w:divBdr>
                <w:top w:val="none" w:sz="0" w:space="0" w:color="auto"/>
                <w:left w:val="none" w:sz="0" w:space="0" w:color="auto"/>
                <w:bottom w:val="none" w:sz="0" w:space="0" w:color="auto"/>
                <w:right w:val="none" w:sz="0" w:space="0" w:color="auto"/>
              </w:divBdr>
            </w:div>
            <w:div w:id="1348362495">
              <w:marLeft w:val="0"/>
              <w:marRight w:val="0"/>
              <w:marTop w:val="0"/>
              <w:marBottom w:val="240"/>
              <w:divBdr>
                <w:top w:val="none" w:sz="0" w:space="0" w:color="auto"/>
                <w:left w:val="none" w:sz="0" w:space="0" w:color="auto"/>
                <w:bottom w:val="none" w:sz="0" w:space="0" w:color="auto"/>
                <w:right w:val="none" w:sz="0" w:space="0" w:color="auto"/>
              </w:divBdr>
            </w:div>
            <w:div w:id="782305899">
              <w:marLeft w:val="0"/>
              <w:marRight w:val="0"/>
              <w:marTop w:val="0"/>
              <w:marBottom w:val="240"/>
              <w:divBdr>
                <w:top w:val="none" w:sz="0" w:space="0" w:color="auto"/>
                <w:left w:val="none" w:sz="0" w:space="0" w:color="auto"/>
                <w:bottom w:val="none" w:sz="0" w:space="0" w:color="auto"/>
                <w:right w:val="none" w:sz="0" w:space="0" w:color="auto"/>
              </w:divBdr>
            </w:div>
            <w:div w:id="1219973381">
              <w:marLeft w:val="0"/>
              <w:marRight w:val="0"/>
              <w:marTop w:val="0"/>
              <w:marBottom w:val="240"/>
              <w:divBdr>
                <w:top w:val="none" w:sz="0" w:space="0" w:color="auto"/>
                <w:left w:val="none" w:sz="0" w:space="0" w:color="auto"/>
                <w:bottom w:val="none" w:sz="0" w:space="0" w:color="auto"/>
                <w:right w:val="none" w:sz="0" w:space="0" w:color="auto"/>
              </w:divBdr>
            </w:div>
            <w:div w:id="1137838707">
              <w:marLeft w:val="0"/>
              <w:marRight w:val="0"/>
              <w:marTop w:val="0"/>
              <w:marBottom w:val="240"/>
              <w:divBdr>
                <w:top w:val="none" w:sz="0" w:space="0" w:color="auto"/>
                <w:left w:val="none" w:sz="0" w:space="0" w:color="auto"/>
                <w:bottom w:val="none" w:sz="0" w:space="0" w:color="auto"/>
                <w:right w:val="none" w:sz="0" w:space="0" w:color="auto"/>
              </w:divBdr>
            </w:div>
            <w:div w:id="1978416971">
              <w:marLeft w:val="0"/>
              <w:marRight w:val="0"/>
              <w:marTop w:val="0"/>
              <w:marBottom w:val="240"/>
              <w:divBdr>
                <w:top w:val="none" w:sz="0" w:space="0" w:color="auto"/>
                <w:left w:val="none" w:sz="0" w:space="0" w:color="auto"/>
                <w:bottom w:val="none" w:sz="0" w:space="0" w:color="auto"/>
                <w:right w:val="none" w:sz="0" w:space="0" w:color="auto"/>
              </w:divBdr>
            </w:div>
            <w:div w:id="995569778">
              <w:marLeft w:val="0"/>
              <w:marRight w:val="0"/>
              <w:marTop w:val="0"/>
              <w:marBottom w:val="240"/>
              <w:divBdr>
                <w:top w:val="none" w:sz="0" w:space="0" w:color="auto"/>
                <w:left w:val="none" w:sz="0" w:space="0" w:color="auto"/>
                <w:bottom w:val="none" w:sz="0" w:space="0" w:color="auto"/>
                <w:right w:val="none" w:sz="0" w:space="0" w:color="auto"/>
              </w:divBdr>
            </w:div>
            <w:div w:id="758065295">
              <w:marLeft w:val="0"/>
              <w:marRight w:val="0"/>
              <w:marTop w:val="0"/>
              <w:marBottom w:val="240"/>
              <w:divBdr>
                <w:top w:val="none" w:sz="0" w:space="0" w:color="auto"/>
                <w:left w:val="none" w:sz="0" w:space="0" w:color="auto"/>
                <w:bottom w:val="none" w:sz="0" w:space="0" w:color="auto"/>
                <w:right w:val="none" w:sz="0" w:space="0" w:color="auto"/>
              </w:divBdr>
            </w:div>
            <w:div w:id="65080850">
              <w:marLeft w:val="0"/>
              <w:marRight w:val="0"/>
              <w:marTop w:val="0"/>
              <w:marBottom w:val="240"/>
              <w:divBdr>
                <w:top w:val="none" w:sz="0" w:space="0" w:color="auto"/>
                <w:left w:val="none" w:sz="0" w:space="0" w:color="auto"/>
                <w:bottom w:val="none" w:sz="0" w:space="0" w:color="auto"/>
                <w:right w:val="none" w:sz="0" w:space="0" w:color="auto"/>
              </w:divBdr>
            </w:div>
            <w:div w:id="1734353753">
              <w:marLeft w:val="0"/>
              <w:marRight w:val="0"/>
              <w:marTop w:val="0"/>
              <w:marBottom w:val="240"/>
              <w:divBdr>
                <w:top w:val="none" w:sz="0" w:space="0" w:color="auto"/>
                <w:left w:val="none" w:sz="0" w:space="0" w:color="auto"/>
                <w:bottom w:val="none" w:sz="0" w:space="0" w:color="auto"/>
                <w:right w:val="none" w:sz="0" w:space="0" w:color="auto"/>
              </w:divBdr>
            </w:div>
            <w:div w:id="513348294">
              <w:marLeft w:val="0"/>
              <w:marRight w:val="0"/>
              <w:marTop w:val="0"/>
              <w:marBottom w:val="240"/>
              <w:divBdr>
                <w:top w:val="none" w:sz="0" w:space="0" w:color="auto"/>
                <w:left w:val="none" w:sz="0" w:space="0" w:color="auto"/>
                <w:bottom w:val="none" w:sz="0" w:space="0" w:color="auto"/>
                <w:right w:val="none" w:sz="0" w:space="0" w:color="auto"/>
              </w:divBdr>
            </w:div>
            <w:div w:id="1104497203">
              <w:marLeft w:val="0"/>
              <w:marRight w:val="0"/>
              <w:marTop w:val="0"/>
              <w:marBottom w:val="240"/>
              <w:divBdr>
                <w:top w:val="none" w:sz="0" w:space="0" w:color="auto"/>
                <w:left w:val="none" w:sz="0" w:space="0" w:color="auto"/>
                <w:bottom w:val="none" w:sz="0" w:space="0" w:color="auto"/>
                <w:right w:val="none" w:sz="0" w:space="0" w:color="auto"/>
              </w:divBdr>
            </w:div>
            <w:div w:id="581641695">
              <w:marLeft w:val="0"/>
              <w:marRight w:val="0"/>
              <w:marTop w:val="0"/>
              <w:marBottom w:val="240"/>
              <w:divBdr>
                <w:top w:val="none" w:sz="0" w:space="0" w:color="auto"/>
                <w:left w:val="none" w:sz="0" w:space="0" w:color="auto"/>
                <w:bottom w:val="none" w:sz="0" w:space="0" w:color="auto"/>
                <w:right w:val="none" w:sz="0" w:space="0" w:color="auto"/>
              </w:divBdr>
            </w:div>
            <w:div w:id="1874461895">
              <w:marLeft w:val="0"/>
              <w:marRight w:val="0"/>
              <w:marTop w:val="0"/>
              <w:marBottom w:val="240"/>
              <w:divBdr>
                <w:top w:val="none" w:sz="0" w:space="0" w:color="auto"/>
                <w:left w:val="none" w:sz="0" w:space="0" w:color="auto"/>
                <w:bottom w:val="none" w:sz="0" w:space="0" w:color="auto"/>
                <w:right w:val="none" w:sz="0" w:space="0" w:color="auto"/>
              </w:divBdr>
            </w:div>
            <w:div w:id="1504777269">
              <w:marLeft w:val="0"/>
              <w:marRight w:val="0"/>
              <w:marTop w:val="0"/>
              <w:marBottom w:val="240"/>
              <w:divBdr>
                <w:top w:val="none" w:sz="0" w:space="0" w:color="auto"/>
                <w:left w:val="none" w:sz="0" w:space="0" w:color="auto"/>
                <w:bottom w:val="none" w:sz="0" w:space="0" w:color="auto"/>
                <w:right w:val="none" w:sz="0" w:space="0" w:color="auto"/>
              </w:divBdr>
            </w:div>
            <w:div w:id="1021904037">
              <w:marLeft w:val="0"/>
              <w:marRight w:val="0"/>
              <w:marTop w:val="0"/>
              <w:marBottom w:val="240"/>
              <w:divBdr>
                <w:top w:val="none" w:sz="0" w:space="0" w:color="auto"/>
                <w:left w:val="none" w:sz="0" w:space="0" w:color="auto"/>
                <w:bottom w:val="none" w:sz="0" w:space="0" w:color="auto"/>
                <w:right w:val="none" w:sz="0" w:space="0" w:color="auto"/>
              </w:divBdr>
            </w:div>
            <w:div w:id="991183156">
              <w:marLeft w:val="0"/>
              <w:marRight w:val="0"/>
              <w:marTop w:val="0"/>
              <w:marBottom w:val="240"/>
              <w:divBdr>
                <w:top w:val="none" w:sz="0" w:space="0" w:color="auto"/>
                <w:left w:val="none" w:sz="0" w:space="0" w:color="auto"/>
                <w:bottom w:val="none" w:sz="0" w:space="0" w:color="auto"/>
                <w:right w:val="none" w:sz="0" w:space="0" w:color="auto"/>
              </w:divBdr>
            </w:div>
            <w:div w:id="1935360872">
              <w:marLeft w:val="0"/>
              <w:marRight w:val="0"/>
              <w:marTop w:val="0"/>
              <w:marBottom w:val="240"/>
              <w:divBdr>
                <w:top w:val="none" w:sz="0" w:space="0" w:color="auto"/>
                <w:left w:val="none" w:sz="0" w:space="0" w:color="auto"/>
                <w:bottom w:val="none" w:sz="0" w:space="0" w:color="auto"/>
                <w:right w:val="none" w:sz="0" w:space="0" w:color="auto"/>
              </w:divBdr>
            </w:div>
            <w:div w:id="2138140161">
              <w:marLeft w:val="0"/>
              <w:marRight w:val="0"/>
              <w:marTop w:val="0"/>
              <w:marBottom w:val="240"/>
              <w:divBdr>
                <w:top w:val="none" w:sz="0" w:space="0" w:color="auto"/>
                <w:left w:val="none" w:sz="0" w:space="0" w:color="auto"/>
                <w:bottom w:val="none" w:sz="0" w:space="0" w:color="auto"/>
                <w:right w:val="none" w:sz="0" w:space="0" w:color="auto"/>
              </w:divBdr>
            </w:div>
            <w:div w:id="10138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7919">
      <w:bodyDiv w:val="1"/>
      <w:marLeft w:val="0"/>
      <w:marRight w:val="0"/>
      <w:marTop w:val="0"/>
      <w:marBottom w:val="0"/>
      <w:divBdr>
        <w:top w:val="none" w:sz="0" w:space="0" w:color="auto"/>
        <w:left w:val="none" w:sz="0" w:space="0" w:color="auto"/>
        <w:bottom w:val="none" w:sz="0" w:space="0" w:color="auto"/>
        <w:right w:val="none" w:sz="0" w:space="0" w:color="auto"/>
      </w:divBdr>
    </w:div>
    <w:div w:id="1989898510">
      <w:bodyDiv w:val="1"/>
      <w:marLeft w:val="0"/>
      <w:marRight w:val="0"/>
      <w:marTop w:val="0"/>
      <w:marBottom w:val="0"/>
      <w:divBdr>
        <w:top w:val="none" w:sz="0" w:space="0" w:color="auto"/>
        <w:left w:val="none" w:sz="0" w:space="0" w:color="auto"/>
        <w:bottom w:val="none" w:sz="0" w:space="0" w:color="auto"/>
        <w:right w:val="none" w:sz="0" w:space="0" w:color="auto"/>
      </w:divBdr>
    </w:div>
    <w:div w:id="2007895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zotero.org/google-docs/?cNZpT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10464</TotalTime>
  <Pages>31</Pages>
  <Words>11107</Words>
  <Characters>61093</Characters>
  <Application>Microsoft Office Word</Application>
  <DocSecurity>0</DocSecurity>
  <Lines>509</Lines>
  <Paragraphs>144</Paragraphs>
  <ScaleCrop>false</ScaleCrop>
  <HeadingPairs>
    <vt:vector size="2" baseType="variant">
      <vt:variant>
        <vt:lpstr>Titre</vt:lpstr>
      </vt:variant>
      <vt:variant>
        <vt:i4>1</vt:i4>
      </vt:variant>
    </vt:vector>
  </HeadingPairs>
  <TitlesOfParts>
    <vt:vector size="1" baseType="lpstr">
      <vt:lpstr>Mémoire – Partie I</vt:lpstr>
    </vt:vector>
  </TitlesOfParts>
  <Company/>
  <LinksUpToDate>false</LinksUpToDate>
  <CharactersWithSpaces>72056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creator>Elisa Lemoine</dc:creator>
  <cp:lastModifiedBy>ELISA LEMOINE</cp:lastModifiedBy>
  <cp:revision>25</cp:revision>
  <cp:lastPrinted>2026-08-27T14:52:00Z</cp:lastPrinted>
  <dcterms:created xsi:type="dcterms:W3CDTF">2026-08-17T13:12:00Z</dcterms:created>
  <dcterms:modified xsi:type="dcterms:W3CDTF">2026-08-27T14:52:00Z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zotero-version="9.0.6"&gt;&lt;session id="bEnvAlRY"/&gt;&lt;style id="http://www.zotero.org/styles/le-tapuscrit-author-date" hasBibliography="1" bibliographyStyleHasBeenSet="1"/&gt;&lt;prefs&gt;&lt;pref name="fieldType" value="ReferenceMark"/&gt;&lt;/prefs&gt;&lt;/dat</vt:lpwstr>
  </property>
  <property fmtid="{D5CDD505-2E9C-101B-9397-08002B2CF9AE}" pid="4" name="ZOTERO_PREF_2">
    <vt:lpwstr>a&gt;</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uthor">
    <vt:lpwstr/>
  </property>
  <property fmtid="{D5CDD505-2E9C-101B-9397-08002B2CF9AE}" pid="9" name="date">
    <vt:lpwstr>1 août 2026</vt:lpwstr>
  </property>
  <property fmtid="{D5CDD505-2E9C-101B-9397-08002B2CF9AE}" pid="10" name="date-format">
    <vt:lpwstr>long</vt:lpwstr>
  </property>
  <property fmtid="{D5CDD505-2E9C-101B-9397-08002B2CF9AE}" pid="11" name="editor">
    <vt:lpwstr/>
  </property>
  <property fmtid="{D5CDD505-2E9C-101B-9397-08002B2CF9AE}" pid="12" name="execute">
    <vt:lpwstr/>
  </property>
  <property fmtid="{D5CDD505-2E9C-101B-9397-08002B2CF9AE}" pid="13" name="fig-cap-location">
    <vt:lpwstr>top</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Les situations conjugales bisexuelles</vt:lpwstr>
  </property>
  <property fmtid="{D5CDD505-2E9C-101B-9397-08002B2CF9AE}" pid="19" name="toc-title">
    <vt:lpwstr>Table des matières</vt:lpwstr>
  </property>
  <property fmtid="{D5CDD505-2E9C-101B-9397-08002B2CF9AE}" pid="20" name="toc_depth">
    <vt:lpwstr>5</vt:lpwstr>
  </property>
</Properties>
</file>