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Bias adjustment of the EC-Earth3 runs (F1): problems, literature and final choices</w:t>
      </w:r>
    </w:p>
    <w:p>
      <w:r>
        <w:rPr>
          <w:i/>
          <w:sz w:val="20"/>
        </w:rPr>
        <w:t>Elisa Michiels — PhD, Politecnico di Milano / JRC — 26 October 2026</w:t>
      </w:r>
    </w:p>
    <w:p>
      <w:r>
        <w:rPr>
          <w:i/>
          <w:sz w:val="20"/>
        </w:rPr>
        <w:t>Note for the discussion with Guido. Code: repository downscaling, folder GCM_BA (notebooks 1–4) and ba_utils.py; outputs on EOS in elisa/GCM_BA.</w:t>
      </w:r>
    </w:p>
    <w:p>
      <w:pPr>
        <w:pStyle w:val="Heading1"/>
      </w:pPr>
      <w:r>
        <w:t>1. Context</w:t>
      </w:r>
    </w:p>
    <w:p>
      <w:r>
        <w:rPr>
          <w:i w:val="0"/>
        </w:rPr>
        <w:t>F1 corrects the daily pr, tasmax and tasmin of EC-Earth3 against ERA5, so that the GCM runs become “ERA5-like” before the next steps (RCM bias adjustment, then LISFLOOD / GloFAS over Europe). It is computed on the whole globe at the native EC-Earth3 resolution (Gaussian grid N128, 0.70°), without land mask.</w:t>
      </w:r>
    </w:p>
    <w:p>
      <w:pPr>
        <w:pStyle w:val="ListBullet"/>
        <w:spacing w:after="40"/>
      </w:pPr>
      <w:r>
        <w:rPr>
          <w:b/>
        </w:rPr>
        <w:t xml:space="preserve">Reference: </w:t>
      </w:r>
      <w:r>
        <w:rPr>
          <w:i w:val="0"/>
        </w:rPr>
        <w:t>ERA5 1981–2014, regridded conservatively onto the EC-Earth3 grid with CDO (identical to a Python conservative regridding, mean difference 0.0, maximum 0.13 °C on the polar rows only).</w:t>
      </w:r>
    </w:p>
    <w:p>
      <w:pPr>
        <w:pStyle w:val="ListBullet"/>
        <w:spacing w:after="40"/>
      </w:pPr>
      <w:r>
        <w:rPr>
          <w:b/>
        </w:rPr>
        <w:t xml:space="preserve">Calibration: </w:t>
      </w:r>
      <w:r>
        <w:rPr>
          <w:i w:val="0"/>
        </w:rPr>
        <w:t>EC-Earth3 historical 1981–2014.</w:t>
      </w:r>
    </w:p>
    <w:p>
      <w:pPr>
        <w:pStyle w:val="ListBullet"/>
        <w:spacing w:after="40"/>
      </w:pPr>
      <w:r>
        <w:rPr>
          <w:b/>
        </w:rPr>
        <w:t xml:space="preserve">Application: </w:t>
      </w:r>
      <w:r>
        <w:rPr>
          <w:i w:val="0"/>
        </w:rPr>
        <w:t>the four stabilisation runs (CO₂ fixed at the 2025 or 2050 level, AMOC maintained or collapsed by freshwater hosing), 50 model years each, taken after the collapse and the stabilisation: each run is a quasi-equilibrium climate.</w:t>
      </w:r>
    </w:p>
    <w:p>
      <w:pPr>
        <w:pStyle w:val="ListBullet"/>
        <w:spacing w:after="40"/>
      </w:pPr>
      <w:r>
        <w:rPr>
          <w:b/>
        </w:rPr>
        <w:t xml:space="preserve">Variables: </w:t>
      </w:r>
      <w:r>
        <w:rPr>
          <w:i w:val="0"/>
        </w:rPr>
        <w:t>pr; tasmax; tasmin through the daily temperature range DTR = tasmax − tasmin (tasmin = adjusted tasmax − adjusted DTR, so tasmin &lt; tasmax always). rsds is not bias-adjusted.</w:t>
      </w:r>
    </w:p>
    <w:p>
      <w:pPr>
        <w:pStyle w:val="ListBullet"/>
        <w:spacing w:after="40"/>
      </w:pPr>
      <w:r>
        <w:rPr>
          <w:b/>
        </w:rPr>
        <w:t xml:space="preserve">Crop suitability: </w:t>
      </w:r>
      <w:r>
        <w:rPr>
          <w:i w:val="0"/>
        </w:rPr>
        <w:t>the crop suitability study (global, SVM on BIO variables = means over the growing phases) will not use F1 but a delta method on the BIO variables (ERA5 + model change, × ratio for pr), which preserves the model signal exactly. The open problems below therefore concern the LISFLOOD / RCM branch.</w:t>
      </w:r>
    </w:p>
    <w:p>
      <w:pPr>
        <w:pStyle w:val="Heading1"/>
      </w:pPr>
      <w:r>
        <w:t>2. First versions of F1</w:t>
      </w:r>
    </w:p>
    <w:p>
      <w:r>
        <w:rPr>
          <w:i w:val="0"/>
        </w:rPr>
        <w:t>Quantile delta mapping (QDM, Cannon et al. 2015) with the xsdba library (Ouranos), per pixel and per calendar month, calibrated over 1981–2014: additive for tasmax, multiplicative for DTR and pr. For pr, the dry days were handled by a fixed wet-day-frequency rule (WDF: model threshold t and activation probability q, per pixel and month, estimated once and applied unchanged to every run), then QDM on wet days only (≥ 0.1 mm/day).</w:t>
      </w:r>
    </w:p>
    <w:p>
      <w:pPr>
        <w:pStyle w:val="Heading1"/>
      </w:pPr>
      <w:r>
        <w:t>3. Problems encountered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cantSplit/>
        </w:trPr>
        <w:tc>
          <w:tcPr>
            <w:tcW w:type="dxa" w:w="1701"/>
            <w:shd w:val="clear" w:color="auto" w:fill="1F4E79"/>
          </w:tcPr>
          <w:p>
            <w:r/>
            <w:r>
              <w:rPr>
                <w:b/>
                <w:color w:val="FFFFFF"/>
                <w:sz w:val="18"/>
              </w:rPr>
              <w:t>Problem</w:t>
            </w:r>
          </w:p>
        </w:tc>
        <w:tc>
          <w:tcPr>
            <w:tcW w:type="dxa" w:w="2608"/>
            <w:shd w:val="clear" w:color="auto" w:fill="1F4E79"/>
          </w:tcPr>
          <w:p>
            <w:r/>
            <w:r>
              <w:rPr>
                <w:b/>
                <w:color w:val="FFFFFF"/>
                <w:sz w:val="18"/>
              </w:rPr>
              <w:t>What we saw</w:t>
            </w:r>
          </w:p>
        </w:tc>
        <w:tc>
          <w:tcPr>
            <w:tcW w:type="dxa" w:w="2608"/>
            <w:shd w:val="clear" w:color="auto" w:fill="1F4E79"/>
          </w:tcPr>
          <w:p>
            <w:r/>
            <w:r>
              <w:rPr>
                <w:b/>
                <w:color w:val="FFFFFF"/>
                <w:sz w:val="18"/>
              </w:rPr>
              <w:t>Cause</w:t>
            </w:r>
          </w:p>
        </w:tc>
        <w:tc>
          <w:tcPr>
            <w:tcW w:type="dxa" w:w="2494"/>
            <w:shd w:val="clear" w:color="auto" w:fill="1F4E79"/>
          </w:tcPr>
          <w:p>
            <w:r/>
            <w:r>
              <w:rPr>
                <w:b/>
                <w:color w:val="FFFFFF"/>
                <w:sz w:val="18"/>
              </w:rPr>
              <w:t>Status</w:t>
            </w:r>
          </w:p>
        </w:tc>
      </w:tr>
      <w:tr>
        <w:trPr>
          <w:cantSplit/>
        </w:trPr>
        <w:tc>
          <w:tcPr>
            <w:tcW w:type="dxa" w:w="1701"/>
          </w:tcPr>
          <w:p>
            <w:r/>
            <w:r>
              <w:rPr>
                <w:b/>
                <w:sz w:val="18"/>
              </w:rPr>
              <w:t>Computing time</w:t>
            </w:r>
            <w:r>
              <w:rPr>
                <w:sz w:val="18"/>
              </w:rPr>
            </w:r>
          </w:p>
        </w:tc>
        <w:tc>
          <w:tcPr>
            <w:tcW w:type="dxa" w:w="2608"/>
          </w:tcPr>
          <w:p>
            <w:r/>
            <w:r>
              <w:rPr>
                <w:sz w:val="18"/>
              </w:rPr>
              <w:t>xsdba interp="linear" with monthly grouping: ~75× slower than needed on the global grid (several days for the five runs).</w:t>
            </w:r>
          </w:p>
        </w:tc>
        <w:tc>
          <w:tcPr>
            <w:tcW w:type="dxa" w:w="2608"/>
          </w:tcPr>
          <w:p>
            <w:r/>
            <w:r>
              <w:rPr>
                <w:sz w:val="18"/>
              </w:rPr>
              <w:t>2-D interpolation of the factors between quantiles and months.</w:t>
            </w:r>
          </w:p>
        </w:tc>
        <w:tc>
          <w:tcPr>
            <w:tcW w:type="dxa" w:w="2494"/>
          </w:tcPr>
          <w:p>
            <w:r/>
            <w:r>
              <w:rPr>
                <w:sz w:val="18"/>
              </w:rPr>
              <w:t>Solved: one xsdba training per month, 1-D linear interpolation between quantiles (~1 h per 50-year run).</w:t>
            </w:r>
          </w:p>
        </w:tc>
      </w:tr>
      <w:tr>
        <w:trPr>
          <w:cantSplit/>
        </w:trPr>
        <w:tc>
          <w:tcPr>
            <w:tcW w:type="dxa" w:w="1701"/>
            <w:shd w:val="clear" w:color="auto" w:fill="EAF1F8"/>
          </w:tcPr>
          <w:p>
            <w:r/>
            <w:r>
              <w:rPr>
                <w:b/>
                <w:sz w:val="18"/>
              </w:rPr>
              <w:t>Unphysical pr extremes</w:t>
            </w:r>
            <w:r>
              <w:rPr>
                <w:sz w:val="18"/>
              </w:rPr>
            </w:r>
          </w:p>
        </w:tc>
        <w:tc>
          <w:tcPr>
            <w:tcW w:type="dxa" w:w="2608"/>
            <w:shd w:val="clear" w:color="auto" w:fill="EAF1F8"/>
          </w:tcPr>
          <w:p>
            <w:r/>
            <w:r>
              <w:rPr>
                <w:sz w:val="18"/>
              </w:rPr>
              <w:t>Up to 800–1300 mm/day in the GCM runs (historical: 349).</w:t>
            </w:r>
          </w:p>
        </w:tc>
        <w:tc>
          <w:tcPr>
            <w:tcW w:type="dxa" w:w="2608"/>
            <w:shd w:val="clear" w:color="auto" w:fill="EAF1F8"/>
          </w:tcPr>
          <w:p>
            <w:r/>
            <w:r>
              <w:rPr>
                <w:sz w:val="18"/>
              </w:rPr>
              <w:t>Multiplicative correction applied far beyond the calibration range: dry regions / dry months (model 99.5 % wet-day quantile of 1–5 mm vs 30–80 mm in ERA5, factors 10–30) and the Indian monsoon (factor ~9).</w:t>
            </w:r>
          </w:p>
        </w:tc>
        <w:tc>
          <w:tcPr>
            <w:tcW w:type="dxa" w:w="2494"/>
            <w:shd w:val="clear" w:color="auto" w:fill="EAF1F8"/>
          </w:tcPr>
          <w:p>
            <w:r/>
            <w:r>
              <w:rPr>
                <w:sz w:val="18"/>
              </w:rPr>
              <w:t>Solved: 50 quantiles for pr and constant (additive) correction above the model's last quantile. Maxima now 296–412 mm/day, close to the raw maxima.</w:t>
            </w:r>
          </w:p>
        </w:tc>
      </w:tr>
      <w:tr>
        <w:trPr>
          <w:cantSplit/>
        </w:trPr>
        <w:tc>
          <w:tcPr>
            <w:tcW w:type="dxa" w:w="1701"/>
          </w:tcPr>
          <w:p>
            <w:r/>
            <w:r>
              <w:rPr>
                <w:b/>
                <w:sz w:val="18"/>
              </w:rPr>
              <w:t>Jumps at the changes of month</w:t>
            </w:r>
            <w:r>
              <w:rPr>
                <w:sz w:val="18"/>
              </w:rPr>
            </w:r>
          </w:p>
        </w:tc>
        <w:tc>
          <w:tcPr>
            <w:tcW w:type="dxa" w:w="2608"/>
          </w:tcPr>
          <w:p>
            <w:r/>
            <w:r>
              <w:rPr>
                <w:sz w:val="18"/>
              </w:rPr>
              <w:t>Correction step of 0.8 °C on average at a change of month (4–5 °C in Siberia / Arctic, 1–3 °C in Europe), 6–8× the variation inside the months; pr up to 6 mm/day in the tropics.</w:t>
            </w:r>
          </w:p>
        </w:tc>
        <w:tc>
          <w:tcPr>
            <w:tcW w:type="dxa" w:w="2608"/>
          </w:tcPr>
          <w:p>
            <w:r/>
            <w:r>
              <w:rPr>
                <w:sz w:val="18"/>
              </w:rPr>
              <w:t>One correction per calendar month, no transition between months.</w:t>
            </w:r>
          </w:p>
        </w:tc>
        <w:tc>
          <w:tcPr>
            <w:tcW w:type="dxa" w:w="2494"/>
          </w:tcPr>
          <w:p>
            <w:r/>
            <w:r>
              <w:rPr>
                <w:sz w:val="18"/>
              </w:rPr>
              <w:t>Open: Section 5.</w:t>
            </w:r>
          </w:p>
        </w:tc>
      </w:tr>
      <w:tr>
        <w:trPr>
          <w:cantSplit/>
        </w:trPr>
        <w:tc>
          <w:tcPr>
            <w:tcW w:type="dxa" w:w="1701"/>
            <w:shd w:val="clear" w:color="auto" w:fill="EAF1F8"/>
          </w:tcPr>
          <w:p>
            <w:r/>
            <w:r>
              <w:rPr>
                <w:b/>
                <w:sz w:val="18"/>
              </w:rPr>
              <w:t>pr change signal dampened</w:t>
            </w:r>
            <w:r>
              <w:rPr>
                <w:sz w:val="18"/>
              </w:rPr>
            </w:r>
          </w:p>
        </w:tc>
        <w:tc>
          <w:tcPr>
            <w:tcW w:type="dxa" w:w="2608"/>
            <w:shd w:val="clear" w:color="auto" w:fill="EAF1F8"/>
          </w:tcPr>
          <w:p>
            <w:r/>
            <w:r>
              <w:rPr>
                <w:sz w:val="18"/>
              </w:rPr>
              <w:t>Global pixel-wise slope of the adjusted vs raw pr change 0.6–0.8.</w:t>
            </w:r>
          </w:p>
        </w:tc>
        <w:tc>
          <w:tcPr>
            <w:tcW w:type="dxa" w:w="2608"/>
            <w:shd w:val="clear" w:color="auto" w:fill="EAF1F8"/>
          </w:tcPr>
          <w:p>
            <w:r/>
            <w:r>
              <w:rPr>
                <w:sz w:val="18"/>
              </w:rPr>
              <w:t>Mostly arid / semi-arid regions (noisy % changes, base changed by the adjustment) and the fixed WDF.</w:t>
            </w:r>
          </w:p>
        </w:tc>
        <w:tc>
          <w:tcPr>
            <w:tcW w:type="dxa" w:w="2494"/>
            <w:shd w:val="clear" w:color="auto" w:fill="EAF1F8"/>
          </w:tcPr>
          <w:p>
            <w:r/>
            <w:r>
              <w:rPr>
                <w:sz w:val="18"/>
              </w:rPr>
              <w:t>Not a blocker for Europe (below); WDF replaced (Section 5).</w:t>
            </w:r>
          </w:p>
        </w:tc>
      </w:tr>
      <w:tr>
        <w:trPr>
          <w:cantSplit/>
        </w:trPr>
        <w:tc>
          <w:tcPr>
            <w:tcW w:type="dxa" w:w="1701"/>
          </w:tcPr>
          <w:p>
            <w:r/>
            <w:r>
              <w:rPr>
                <w:b/>
                <w:sz w:val="18"/>
              </w:rPr>
              <w:t>Slow reading of the outputs</w:t>
            </w:r>
            <w:r>
              <w:rPr>
                <w:sz w:val="18"/>
              </w:rPr>
            </w:r>
          </w:p>
        </w:tc>
        <w:tc>
          <w:tcPr>
            <w:tcW w:type="dxa" w:w="2608"/>
          </w:tcPr>
          <w:p>
            <w:r/>
            <w:r>
              <w:rPr>
                <w:sz w:val="18"/>
              </w:rPr>
              <w:t>Statistics on the adjusted files ~20× slower than on the raw ones.</w:t>
            </w:r>
          </w:p>
        </w:tc>
        <w:tc>
          <w:tcPr>
            <w:tcW w:type="dxa" w:w="2608"/>
          </w:tcPr>
          <w:p>
            <w:r/>
            <w:r>
              <w:rPr>
                <w:sz w:val="18"/>
              </w:rPr>
              <w:t>Files stored as long time series per small area (the QDM layout).</w:t>
            </w:r>
          </w:p>
        </w:tc>
        <w:tc>
          <w:tcPr>
            <w:tcW w:type="dxa" w:w="2494"/>
          </w:tcPr>
          <w:p>
            <w:r/>
            <w:r>
              <w:rPr>
                <w:sz w:val="18"/>
              </w:rPr>
              <w:t>To do: rewrite the outputs day by day (CDO), no recomputation.</w:t>
            </w:r>
          </w:p>
        </w:tc>
      </w:tr>
    </w:tbl>
    <w:p>
      <w:pPr>
        <w:spacing w:after="40"/>
      </w:pPr>
    </w:p>
    <w:p>
      <w:r>
        <w:rPr>
          <w:i w:val="0"/>
        </w:rPr>
        <w:t>Preservation of the pr signal over Europe (35–72 N, 25 W–45 E; change of the European mean pr, adjusted / raw):</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cantSplit/>
        </w:trPr>
        <w:tc>
          <w:tcPr>
            <w:tcW w:type="dxa" w:w="2608"/>
            <w:shd w:val="clear" w:color="auto" w:fill="1F4E79"/>
          </w:tcPr>
          <w:p>
            <w:r/>
            <w:r>
              <w:rPr>
                <w:b/>
                <w:color w:val="FFFFFF"/>
                <w:sz w:val="18"/>
              </w:rPr>
              <w:t>Change</w:t>
            </w:r>
          </w:p>
        </w:tc>
        <w:tc>
          <w:tcPr>
            <w:tcW w:type="dxa" w:w="1134"/>
            <w:shd w:val="clear" w:color="auto" w:fill="1F4E79"/>
          </w:tcPr>
          <w:p>
            <w:r/>
            <w:r>
              <w:rPr>
                <w:b/>
                <w:color w:val="FFFFFF"/>
                <w:sz w:val="18"/>
              </w:rPr>
              <w:t>Annual</w:t>
            </w:r>
          </w:p>
        </w:tc>
        <w:tc>
          <w:tcPr>
            <w:tcW w:type="dxa" w:w="1361"/>
            <w:shd w:val="clear" w:color="auto" w:fill="1F4E79"/>
          </w:tcPr>
          <w:p>
            <w:r/>
            <w:r>
              <w:rPr>
                <w:b/>
                <w:color w:val="FFFFFF"/>
                <w:sz w:val="18"/>
              </w:rPr>
              <w:t>Winter (DJF)</w:t>
            </w:r>
          </w:p>
        </w:tc>
        <w:tc>
          <w:tcPr>
            <w:tcW w:type="dxa" w:w="2041"/>
            <w:shd w:val="clear" w:color="auto" w:fill="1F4E79"/>
          </w:tcPr>
          <w:p>
            <w:r/>
            <w:r>
              <w:rPr>
                <w:b/>
                <w:color w:val="FFFFFF"/>
                <w:sz w:val="18"/>
              </w:rPr>
              <w:t>Summer (JJA)</w:t>
            </w:r>
          </w:p>
        </w:tc>
        <w:tc>
          <w:tcPr>
            <w:tcW w:type="dxa" w:w="2268"/>
            <w:shd w:val="clear" w:color="auto" w:fill="1F4E79"/>
          </w:tcPr>
          <w:p>
            <w:r/>
            <w:r>
              <w:rPr>
                <w:b/>
                <w:color w:val="FFFFFF"/>
                <w:sz w:val="18"/>
              </w:rPr>
              <w:t>Pattern slope (annual / summer)</w:t>
            </w:r>
          </w:p>
        </w:tc>
      </w:tr>
      <w:tr>
        <w:trPr>
          <w:cantSplit/>
        </w:trPr>
        <w:tc>
          <w:tcPr>
            <w:tcW w:type="dxa" w:w="2608"/>
          </w:tcPr>
          <w:p>
            <w:r/>
            <w:r>
              <w:rPr>
                <w:sz w:val="18"/>
              </w:rPr>
              <w:t>2025 original − historical</w:t>
            </w:r>
          </w:p>
        </w:tc>
        <w:tc>
          <w:tcPr>
            <w:tcW w:type="dxa" w:w="1134"/>
          </w:tcPr>
          <w:p>
            <w:r/>
            <w:r>
              <w:rPr>
                <w:sz w:val="18"/>
              </w:rPr>
              <w:t>1.04</w:t>
            </w:r>
          </w:p>
        </w:tc>
        <w:tc>
          <w:tcPr>
            <w:tcW w:type="dxa" w:w="1361"/>
          </w:tcPr>
          <w:p>
            <w:r/>
            <w:r>
              <w:rPr>
                <w:sz w:val="18"/>
              </w:rPr>
              <w:t>1.06</w:t>
            </w:r>
          </w:p>
        </w:tc>
        <w:tc>
          <w:tcPr>
            <w:tcW w:type="dxa" w:w="2041"/>
          </w:tcPr>
          <w:p>
            <w:r/>
            <w:r>
              <w:rPr>
                <w:sz w:val="18"/>
              </w:rPr>
              <w:t>0.96</w:t>
            </w:r>
          </w:p>
        </w:tc>
        <w:tc>
          <w:tcPr>
            <w:tcW w:type="dxa" w:w="2268"/>
          </w:tcPr>
          <w:p>
            <w:r/>
            <w:r>
              <w:rPr>
                <w:sz w:val="18"/>
              </w:rPr>
              <w:t>0.95 / 0.88</w:t>
            </w:r>
          </w:p>
        </w:tc>
      </w:tr>
      <w:tr>
        <w:trPr>
          <w:cantSplit/>
        </w:trPr>
        <w:tc>
          <w:tcPr>
            <w:tcW w:type="dxa" w:w="2608"/>
            <w:shd w:val="clear" w:color="auto" w:fill="EAF1F8"/>
          </w:tcPr>
          <w:p>
            <w:r/>
            <w:r>
              <w:rPr>
                <w:sz w:val="18"/>
              </w:rPr>
              <w:t>2050 original − historical</w:t>
            </w:r>
          </w:p>
        </w:tc>
        <w:tc>
          <w:tcPr>
            <w:tcW w:type="dxa" w:w="1134"/>
            <w:shd w:val="clear" w:color="auto" w:fill="EAF1F8"/>
          </w:tcPr>
          <w:p>
            <w:r/>
            <w:r>
              <w:rPr>
                <w:sz w:val="18"/>
              </w:rPr>
              <w:t>1.01</w:t>
            </w:r>
          </w:p>
        </w:tc>
        <w:tc>
          <w:tcPr>
            <w:tcW w:type="dxa" w:w="1361"/>
            <w:shd w:val="clear" w:color="auto" w:fill="EAF1F8"/>
          </w:tcPr>
          <w:p>
            <w:r/>
            <w:r>
              <w:rPr>
                <w:sz w:val="18"/>
              </w:rPr>
              <w:t>1.03</w:t>
            </w:r>
          </w:p>
        </w:tc>
        <w:tc>
          <w:tcPr>
            <w:tcW w:type="dxa" w:w="2041"/>
            <w:shd w:val="clear" w:color="auto" w:fill="EAF1F8"/>
          </w:tcPr>
          <w:p>
            <w:r/>
            <w:r>
              <w:rPr>
                <w:sz w:val="18"/>
              </w:rPr>
              <w:t>0.71 (+4.0 → +2.8 %)</w:t>
            </w:r>
          </w:p>
        </w:tc>
        <w:tc>
          <w:tcPr>
            <w:tcW w:type="dxa" w:w="2268"/>
            <w:shd w:val="clear" w:color="auto" w:fill="EAF1F8"/>
          </w:tcPr>
          <w:p>
            <w:r/>
            <w:r>
              <w:rPr>
                <w:sz w:val="18"/>
              </w:rPr>
              <w:t>0.97 / 0.94</w:t>
            </w:r>
          </w:p>
        </w:tc>
      </w:tr>
      <w:tr>
        <w:trPr>
          <w:cantSplit/>
        </w:trPr>
        <w:tc>
          <w:tcPr>
            <w:tcW w:type="dxa" w:w="2608"/>
          </w:tcPr>
          <w:p>
            <w:r/>
            <w:r>
              <w:rPr>
                <w:sz w:val="18"/>
              </w:rPr>
              <w:t>2025 hosing − original</w:t>
            </w:r>
          </w:p>
        </w:tc>
        <w:tc>
          <w:tcPr>
            <w:tcW w:type="dxa" w:w="1134"/>
          </w:tcPr>
          <w:p>
            <w:r/>
            <w:r>
              <w:rPr>
                <w:sz w:val="18"/>
              </w:rPr>
              <w:t>0.99</w:t>
            </w:r>
          </w:p>
        </w:tc>
        <w:tc>
          <w:tcPr>
            <w:tcW w:type="dxa" w:w="1361"/>
          </w:tcPr>
          <w:p>
            <w:r/>
            <w:r>
              <w:rPr>
                <w:sz w:val="18"/>
              </w:rPr>
              <w:t>1.00</w:t>
            </w:r>
          </w:p>
        </w:tc>
        <w:tc>
          <w:tcPr>
            <w:tcW w:type="dxa" w:w="2041"/>
          </w:tcPr>
          <w:p>
            <w:r/>
            <w:r>
              <w:rPr>
                <w:sz w:val="18"/>
              </w:rPr>
              <w:t>1.00</w:t>
            </w:r>
          </w:p>
        </w:tc>
        <w:tc>
          <w:tcPr>
            <w:tcW w:type="dxa" w:w="2268"/>
          </w:tcPr>
          <w:p>
            <w:r/>
            <w:r>
              <w:rPr>
                <w:sz w:val="18"/>
              </w:rPr>
              <w:t>0.96 / 0.83</w:t>
            </w:r>
          </w:p>
        </w:tc>
      </w:tr>
      <w:tr>
        <w:trPr>
          <w:cantSplit/>
        </w:trPr>
        <w:tc>
          <w:tcPr>
            <w:tcW w:type="dxa" w:w="2608"/>
            <w:shd w:val="clear" w:color="auto" w:fill="EAF1F8"/>
          </w:tcPr>
          <w:p>
            <w:r/>
            <w:r>
              <w:rPr>
                <w:sz w:val="18"/>
              </w:rPr>
              <w:t>2050 hosing − original</w:t>
            </w:r>
          </w:p>
        </w:tc>
        <w:tc>
          <w:tcPr>
            <w:tcW w:type="dxa" w:w="1134"/>
            <w:shd w:val="clear" w:color="auto" w:fill="EAF1F8"/>
          </w:tcPr>
          <w:p>
            <w:r/>
            <w:r>
              <w:rPr>
                <w:sz w:val="18"/>
              </w:rPr>
              <w:t>1.00</w:t>
            </w:r>
          </w:p>
        </w:tc>
        <w:tc>
          <w:tcPr>
            <w:tcW w:type="dxa" w:w="1361"/>
            <w:shd w:val="clear" w:color="auto" w:fill="EAF1F8"/>
          </w:tcPr>
          <w:p>
            <w:r/>
            <w:r>
              <w:rPr>
                <w:sz w:val="18"/>
              </w:rPr>
              <w:t>1.01</w:t>
            </w:r>
          </w:p>
        </w:tc>
        <w:tc>
          <w:tcPr>
            <w:tcW w:type="dxa" w:w="2041"/>
            <w:shd w:val="clear" w:color="auto" w:fill="EAF1F8"/>
          </w:tcPr>
          <w:p>
            <w:r/>
            <w:r>
              <w:rPr>
                <w:sz w:val="18"/>
              </w:rPr>
              <w:t>0.91</w:t>
            </w:r>
          </w:p>
        </w:tc>
        <w:tc>
          <w:tcPr>
            <w:tcW w:type="dxa" w:w="2268"/>
            <w:shd w:val="clear" w:color="auto" w:fill="EAF1F8"/>
          </w:tcPr>
          <w:p>
            <w:r/>
            <w:r>
              <w:rPr>
                <w:sz w:val="18"/>
              </w:rPr>
              <w:t>1.00 / 0.80</w:t>
            </w:r>
          </w:p>
        </w:tc>
      </w:tr>
    </w:tbl>
    <w:p>
      <w:pPr>
        <w:spacing w:after="40"/>
      </w:pPr>
    </w:p>
    <w:p>
      <w:r>
        <w:rPr>
          <w:i w:val="0"/>
        </w:rPr>
        <w:t>Temperatures are preserved: tasmax slope 1.000, tasmin 0.98–1.00, TXx / TNn 0.88–0.98. Calibration per pixel (mean absolute difference of the monthly quantiles with ERA5, raw → adjusted): tasmax 1.9 → 0.01–0.17 °C, tasmin 1.7–2.0 → 0.16–0.76 °C, pr 43–47 % → 3–4 %.</w:t>
      </w:r>
    </w:p>
    <w:p>
      <w:pPr>
        <w:pStyle w:val="Heading1"/>
      </w:pPr>
      <w:r>
        <w:t>4. What the literature does</w:t>
      </w:r>
    </w:p>
    <w:p>
      <w:pPr>
        <w:pStyle w:val="Heading2"/>
      </w:pPr>
      <w:r>
        <w:t>4.1 Seasonal cycle</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rPr>
        <w:tc>
          <w:tcPr>
            <w:tcW w:type="dxa" w:w="2494"/>
            <w:shd w:val="clear" w:color="auto" w:fill="1F4E79"/>
          </w:tcPr>
          <w:p>
            <w:r/>
            <w:r>
              <w:rPr>
                <w:b/>
                <w:color w:val="FFFFFF"/>
                <w:sz w:val="18"/>
              </w:rPr>
              <w:t>Study / dataset</w:t>
            </w:r>
          </w:p>
        </w:tc>
        <w:tc>
          <w:tcPr>
            <w:tcW w:type="dxa" w:w="3515"/>
            <w:shd w:val="clear" w:color="auto" w:fill="1F4E79"/>
          </w:tcPr>
          <w:p>
            <w:r/>
            <w:r>
              <w:rPr>
                <w:b/>
                <w:color w:val="FFFFFF"/>
                <w:sz w:val="18"/>
              </w:rPr>
              <w:t>Treatment of the seasonal cycle</w:t>
            </w:r>
          </w:p>
        </w:tc>
        <w:tc>
          <w:tcPr>
            <w:tcW w:type="dxa" w:w="3402"/>
            <w:shd w:val="clear" w:color="auto" w:fill="1F4E79"/>
          </w:tcPr>
          <w:p>
            <w:r/>
            <w:r>
              <w:rPr>
                <w:b/>
                <w:color w:val="FFFFFF"/>
                <w:sz w:val="18"/>
              </w:rPr>
              <w:t>Notes</w:t>
            </w:r>
          </w:p>
        </w:tc>
      </w:tr>
      <w:tr>
        <w:trPr>
          <w:cantSplit/>
        </w:trPr>
        <w:tc>
          <w:tcPr>
            <w:tcW w:type="dxa" w:w="2494"/>
          </w:tcPr>
          <w:p>
            <w:r/>
            <w:r>
              <w:rPr>
                <w:b/>
                <w:sz w:val="18"/>
              </w:rPr>
              <w:t>Cannon et al. (2015)</w:t>
            </w:r>
            <w:r>
              <w:rPr>
                <w:sz w:val="18"/>
              </w:rPr>
              <w:t>, J. Climate — origin of QDM</w:t>
            </w:r>
          </w:p>
        </w:tc>
        <w:tc>
          <w:tcPr>
            <w:tcW w:type="dxa" w:w="3515"/>
          </w:tcPr>
          <w:p>
            <w:r/>
            <w:r>
              <w:rPr>
                <w:sz w:val="18"/>
              </w:rPr>
              <w:t>Calibration and application on pooled daily data of sliding 3-month windows centred on the month of interest, kept for that month.</w:t>
            </w:r>
          </w:p>
        </w:tc>
        <w:tc>
          <w:tcPr>
            <w:tcW w:type="dxa" w:w="3402"/>
          </w:tcPr>
          <w:p>
            <w:r/>
            <w:r>
              <w:rPr>
                <w:sz w:val="18"/>
              </w:rPr>
              <w:t>Linear interpolation between empirical quantiles; future quantiles over 30-year sliding windows (transient runs).</w:t>
            </w:r>
          </w:p>
        </w:tc>
      </w:tr>
      <w:tr>
        <w:trPr>
          <w:cantSplit/>
        </w:trPr>
        <w:tc>
          <w:tcPr>
            <w:tcW w:type="dxa" w:w="2494"/>
            <w:shd w:val="clear" w:color="auto" w:fill="EAF1F8"/>
          </w:tcPr>
          <w:p>
            <w:r/>
            <w:r>
              <w:rPr>
                <w:b/>
                <w:sz w:val="18"/>
              </w:rPr>
              <w:t>Lange (2019)</w:t>
            </w:r>
            <w:r>
              <w:rPr>
                <w:sz w:val="18"/>
              </w:rPr>
              <w:t>, ISIMIP3BASD (ISIMIP3b, global)</w:t>
            </w:r>
          </w:p>
        </w:tc>
        <w:tc>
          <w:tcPr>
            <w:tcW w:type="dxa" w:w="3515"/>
            <w:shd w:val="clear" w:color="auto" w:fill="EAF1F8"/>
          </w:tcPr>
          <w:p>
            <w:r/>
            <w:r>
              <w:rPr>
                <w:sz w:val="18"/>
              </w:rPr>
              <w:t>Calendar months, no transition: “independently applied to every variable, grid cell, and calendar month”.</w:t>
            </w:r>
          </w:p>
        </w:tc>
        <w:tc>
          <w:tcPr>
            <w:tcW w:type="dxa" w:w="3402"/>
            <w:shd w:val="clear" w:color="auto" w:fill="EAF1F8"/>
          </w:tcPr>
          <w:p>
            <w:r/>
            <w:r>
              <w:rPr>
                <w:sz w:val="18"/>
              </w:rPr>
              <w:t>Same as our first versions; month jumps accepted.</w:t>
            </w:r>
          </w:p>
        </w:tc>
      </w:tr>
      <w:tr>
        <w:trPr>
          <w:cantSplit/>
        </w:trPr>
        <w:tc>
          <w:tcPr>
            <w:tcW w:type="dxa" w:w="2494"/>
          </w:tcPr>
          <w:p>
            <w:r/>
            <w:r>
              <w:rPr>
                <w:b/>
                <w:sz w:val="18"/>
              </w:rPr>
              <w:t>Thrasher et al. (2022)</w:t>
            </w:r>
            <w:r>
              <w:rPr>
                <w:sz w:val="18"/>
              </w:rPr>
              <w:t>, NEX-GDDP-CMIP6 (global)</w:t>
            </w:r>
          </w:p>
        </w:tc>
        <w:tc>
          <w:tcPr>
            <w:tcW w:type="dxa" w:w="3515"/>
          </w:tcPr>
          <w:p>
            <w:r/>
            <w:r>
              <w:rPr>
                <w:sz w:val="18"/>
              </w:rPr>
              <w:t>Day of year, ±15-day window (31 days).</w:t>
            </w:r>
          </w:p>
        </w:tc>
        <w:tc>
          <w:tcPr>
            <w:tcW w:type="dxa" w:w="3402"/>
          </w:tcPr>
          <w:p>
            <w:r/>
            <w:r>
              <w:rPr>
                <w:sz w:val="18"/>
              </w:rPr>
              <w:t>Daily BCSD.</w:t>
            </w:r>
          </w:p>
        </w:tc>
      </w:tr>
      <w:tr>
        <w:trPr>
          <w:cantSplit/>
        </w:trPr>
        <w:tc>
          <w:tcPr>
            <w:tcW w:type="dxa" w:w="2494"/>
            <w:shd w:val="clear" w:color="auto" w:fill="EAF1F8"/>
          </w:tcPr>
          <w:p>
            <w:r/>
            <w:r>
              <w:rPr>
                <w:b/>
                <w:sz w:val="18"/>
              </w:rPr>
              <w:t>Lavoie et al. (2024)</w:t>
            </w:r>
            <w:r>
              <w:rPr>
                <w:sz w:val="18"/>
              </w:rPr>
              <w:t>, ESPO-G6 (N. America, xclim)</w:t>
            </w:r>
          </w:p>
        </w:tc>
        <w:tc>
          <w:tcPr>
            <w:tcW w:type="dxa" w:w="3515"/>
            <w:shd w:val="clear" w:color="auto" w:fill="EAF1F8"/>
          </w:tcPr>
          <w:p>
            <w:r/>
            <w:r>
              <w:rPr>
                <w:sz w:val="18"/>
              </w:rPr>
              <w:t>Day of year, 31-day window.</w:t>
            </w:r>
          </w:p>
        </w:tc>
        <w:tc>
          <w:tcPr>
            <w:tcW w:type="dxa" w:w="3402"/>
            <w:shd w:val="clear" w:color="auto" w:fill="EAF1F8"/>
          </w:tcPr>
          <w:p>
            <w:r/>
            <w:r>
              <w:rPr>
                <w:sz w:val="18"/>
              </w:rPr>
              <w:t>Detrended QM, 50 quantiles, nearest interpolation, tasmin via DTR, frequency adaptation (1 mm/day).</w:t>
            </w:r>
          </w:p>
        </w:tc>
      </w:tr>
      <w:tr>
        <w:trPr>
          <w:cantSplit/>
        </w:trPr>
        <w:tc>
          <w:tcPr>
            <w:tcW w:type="dxa" w:w="2494"/>
          </w:tcPr>
          <w:p>
            <w:r/>
            <w:r>
              <w:rPr>
                <w:b/>
                <w:sz w:val="18"/>
              </w:rPr>
              <w:t>EURO-CORDEX QDM study (ESD 2026)</w:t>
            </w:r>
            <w:r>
              <w:rPr>
                <w:sz w:val="18"/>
              </w:rPr>
            </w:r>
          </w:p>
        </w:tc>
        <w:tc>
          <w:tcPr>
            <w:tcW w:type="dxa" w:w="3515"/>
          </w:tcPr>
          <w:p>
            <w:r/>
            <w:r>
              <w:rPr>
                <w:sz w:val="18"/>
              </w:rPr>
              <w:t>3-month running window centred on the month.</w:t>
            </w:r>
          </w:p>
        </w:tc>
        <w:tc>
          <w:tcPr>
            <w:tcW w:type="dxa" w:w="3402"/>
          </w:tcPr>
          <w:p>
            <w:r/>
            <w:r>
              <w:rPr>
                <w:sz w:val="18"/>
              </w:rPr>
            </w:r>
          </w:p>
        </w:tc>
      </w:tr>
      <w:tr>
        <w:trPr>
          <w:cantSplit/>
        </w:trPr>
        <w:tc>
          <w:tcPr>
            <w:tcW w:type="dxa" w:w="2494"/>
            <w:shd w:val="clear" w:color="auto" w:fill="EAF1F8"/>
          </w:tcPr>
          <w:p>
            <w:r/>
            <w:r>
              <w:rPr>
                <w:b/>
                <w:sz w:val="18"/>
              </w:rPr>
              <w:t>xsdba documentation</w:t>
            </w:r>
            <w:r>
              <w:rPr>
                <w:sz w:val="18"/>
              </w:rPr>
            </w:r>
          </w:p>
        </w:tc>
        <w:tc>
          <w:tcPr>
            <w:tcW w:type="dxa" w:w="3515"/>
            <w:shd w:val="clear" w:color="auto" w:fill="EAF1F8"/>
          </w:tcPr>
          <w:p>
            <w:r/>
            <w:r>
              <w:rPr>
                <w:sz w:val="18"/>
              </w:rPr>
              <w:t>Monthly grouping with interp="linear" “to reduce the risk of drastic changes in the adjustments at the interface of months”; or day of year with a window.</w:t>
            </w:r>
          </w:p>
        </w:tc>
        <w:tc>
          <w:tcPr>
            <w:tcW w:type="dxa" w:w="3402"/>
            <w:shd w:val="clear" w:color="auto" w:fill="EAF1F8"/>
          </w:tcPr>
          <w:p>
            <w:r/>
            <w:r>
              <w:rPr>
                <w:sz w:val="18"/>
              </w:rPr>
              <w:t>Linear option very slow globally.</w:t>
            </w:r>
          </w:p>
        </w:tc>
      </w:tr>
    </w:tbl>
    <w:p>
      <w:pPr>
        <w:spacing w:after="40"/>
      </w:pPr>
    </w:p>
    <w:p>
      <w:pPr>
        <w:pStyle w:val="Heading2"/>
      </w:pPr>
      <w:r>
        <w:t>4.2 Dry days of pr</w:t>
      </w:r>
    </w:p>
    <w:p>
      <w:pPr>
        <w:pStyle w:val="ListBullet"/>
        <w:spacing w:after="40"/>
      </w:pPr>
      <w:r>
        <w:rPr>
          <w:b/>
        </w:rPr>
        <w:t xml:space="preserve">Jitter (trace values): </w:t>
      </w:r>
      <w:r>
        <w:rPr>
          <w:i w:val="0"/>
        </w:rPr>
        <w:t>Cannon et al. (2015): values below a trace (0.05 mm/day) replaced by a uniform random noise below the trace in the observations and the model, quantile mapping applied to all days, values below the trace set back to zero afterwards. The quantile mapping itself corrects the wet-day frequency, and QDM carries the model's change in dry-day frequency.</w:t>
      </w:r>
    </w:p>
    <w:p>
      <w:pPr>
        <w:pStyle w:val="ListBullet"/>
        <w:spacing w:after="40"/>
      </w:pPr>
      <w:r>
        <w:rPr>
          <w:b/>
        </w:rPr>
        <w:t xml:space="preserve">Frequency adaptation: </w:t>
      </w:r>
      <w:r>
        <w:rPr>
          <w:i w:val="0"/>
        </w:rPr>
        <w:t>Themeßl et al. (2012), used by ESPO-G6 (threshold 1 mm/day): part of the model's dry days made wet during calibration — the principle of our fixed WDF.</w:t>
      </w:r>
    </w:p>
    <w:p>
      <w:pPr>
        <w:pStyle w:val="Heading2"/>
      </w:pPr>
      <w:r>
        <w:t>4.3 Values outside the calibration range</w:t>
      </w:r>
    </w:p>
    <w:p>
      <w:r>
        <w:rPr>
          <w:i w:val="0"/>
        </w:rPr>
        <w:t>Cannon et al. (2015) handle the extrapolation of QM and DQM with the “constant correction approach of Boé et al. (2007)”: the correction of the last quantile is applied unchanged beyond the calibration range. This is the additive correction we now use for pr above the model's last historical quantile.</w:t>
      </w:r>
    </w:p>
    <w:p>
      <w:pPr>
        <w:pStyle w:val="Heading1"/>
      </w:pPr>
      <w:r>
        <w:t>5. Final choices (version w3m-jitter)</w:t>
      </w:r>
    </w:p>
    <w:p>
      <w:r>
        <w:rPr>
          <w:i w:val="0"/>
        </w:rPr>
        <w:t>The new version follows the configuration of the QDM paper itself (Cannon et al. 2015). It is implemented in pure xsdba (training, adjustment and jitter functions), selected in ba_utils.py by CAL_WINDOW_MONTHS = 3 and PR_METHOD = "jitter"; its outputs carry the tag w3m-jitter, so the previous version is kept for comparison.</w:t>
      </w:r>
    </w:p>
    <w:tbl>
      <w:tblPr>
        <w:tblStyle w:val="TableGrid"/>
        <w:tblW w:type="auto" w:w="0"/>
        <w:jc w:val="center"/>
        <w:tblLayout w:type="fixed"/>
        <w:tblLook w:firstColumn="1" w:firstRow="1" w:lastColumn="0" w:lastRow="0" w:noHBand="0" w:noVBand="1" w:val="04A0"/>
      </w:tblPr>
      <w:tblGrid>
        <w:gridCol w:w="3137"/>
        <w:gridCol w:w="3137"/>
        <w:gridCol w:w="3137"/>
      </w:tblGrid>
      <w:tr>
        <w:trPr>
          <w:cantSplit/>
        </w:trPr>
        <w:tc>
          <w:tcPr>
            <w:tcW w:type="dxa" w:w="1701"/>
            <w:shd w:val="clear" w:color="auto" w:fill="1F4E79"/>
          </w:tcPr>
          <w:p>
            <w:r/>
            <w:r>
              <w:rPr>
                <w:b/>
                <w:color w:val="FFFFFF"/>
                <w:sz w:val="18"/>
              </w:rPr>
              <w:t>Element</w:t>
            </w:r>
          </w:p>
        </w:tc>
        <w:tc>
          <w:tcPr>
            <w:tcW w:type="dxa" w:w="3742"/>
            <w:shd w:val="clear" w:color="auto" w:fill="1F4E79"/>
          </w:tcPr>
          <w:p>
            <w:r/>
            <w:r>
              <w:rPr>
                <w:b/>
                <w:color w:val="FFFFFF"/>
                <w:sz w:val="18"/>
              </w:rPr>
              <w:t>Choice</w:t>
            </w:r>
          </w:p>
        </w:tc>
        <w:tc>
          <w:tcPr>
            <w:tcW w:type="dxa" w:w="3969"/>
            <w:shd w:val="clear" w:color="auto" w:fill="1F4E79"/>
          </w:tcPr>
          <w:p>
            <w:r/>
            <w:r>
              <w:rPr>
                <w:b/>
                <w:color w:val="FFFFFF"/>
                <w:sz w:val="18"/>
              </w:rPr>
              <w:t>Justification</w:t>
            </w:r>
          </w:p>
        </w:tc>
      </w:tr>
      <w:tr>
        <w:trPr>
          <w:cantSplit/>
        </w:trPr>
        <w:tc>
          <w:tcPr>
            <w:tcW w:type="dxa" w:w="1701"/>
          </w:tcPr>
          <w:p>
            <w:r/>
            <w:r>
              <w:rPr>
                <w:b/>
                <w:sz w:val="18"/>
              </w:rPr>
              <w:t>Seasonal cycle</w:t>
            </w:r>
            <w:r>
              <w:rPr>
                <w:sz w:val="18"/>
              </w:rPr>
            </w:r>
          </w:p>
        </w:tc>
        <w:tc>
          <w:tcPr>
            <w:tcW w:type="dxa" w:w="3742"/>
          </w:tcPr>
          <w:p>
            <w:r/>
            <w:r>
              <w:rPr>
                <w:sz w:val="18"/>
              </w:rPr>
              <w:t>Each calendar month m calibrated on the 3 months centred on m; the values to adjust are ranked in the same 3-month window and only month m is kept.</w:t>
            </w:r>
          </w:p>
        </w:tc>
        <w:tc>
          <w:tcPr>
            <w:tcW w:type="dxa" w:w="3969"/>
          </w:tcPr>
          <w:p>
            <w:r/>
            <w:r>
              <w:rPr>
                <w:sz w:val="18"/>
              </w:rPr>
              <w:t>Cannon et al. (2015). Consecutive months share 2/3 of their data: smaller jumps at the changes of month. Ranking in the same window keeps the dry-day fraction (local test: 0.282 vs 0.252 when ranking within the month only).</w:t>
            </w:r>
          </w:p>
        </w:tc>
      </w:tr>
      <w:tr>
        <w:trPr>
          <w:cantSplit/>
        </w:trPr>
        <w:tc>
          <w:tcPr>
            <w:tcW w:type="dxa" w:w="1701"/>
            <w:shd w:val="clear" w:color="auto" w:fill="EAF1F8"/>
          </w:tcPr>
          <w:p>
            <w:r/>
            <w:r>
              <w:rPr>
                <w:b/>
                <w:sz w:val="18"/>
              </w:rPr>
              <w:t>Dry days of pr</w:t>
            </w:r>
            <w:r>
              <w:rPr>
                <w:sz w:val="18"/>
              </w:rPr>
            </w:r>
          </w:p>
        </w:tc>
        <w:tc>
          <w:tcPr>
            <w:tcW w:type="dxa" w:w="3742"/>
            <w:shd w:val="clear" w:color="auto" w:fill="EAF1F8"/>
          </w:tcPr>
          <w:p>
            <w:r/>
            <w:r>
              <w:rPr>
                <w:sz w:val="18"/>
              </w:rPr>
              <w:t>Values &lt; 0.1 mm/day replaced by uniform noise in (0, 0.1) in ERA5, EC-Earth3 historical and the runs; multiplicative QDM on all days; values &lt; 0.1 mm/day set to 0 after.</w:t>
            </w:r>
          </w:p>
        </w:tc>
        <w:tc>
          <w:tcPr>
            <w:tcW w:type="dxa" w:w="3969"/>
            <w:shd w:val="clear" w:color="auto" w:fill="EAF1F8"/>
          </w:tcPr>
          <w:p>
            <w:r/>
            <w:r>
              <w:rPr>
                <w:sz w:val="18"/>
              </w:rPr>
              <w:t>Cannon et al. (2015). Replaces the fixed WDF, which did not follow the model's change in dry-day frequency.</w:t>
            </w:r>
          </w:p>
        </w:tc>
      </w:tr>
      <w:tr>
        <w:trPr>
          <w:cantSplit/>
        </w:trPr>
        <w:tc>
          <w:tcPr>
            <w:tcW w:type="dxa" w:w="1701"/>
          </w:tcPr>
          <w:p>
            <w:r/>
            <w:r>
              <w:rPr>
                <w:b/>
                <w:sz w:val="18"/>
              </w:rPr>
              <w:t>Jitter threshold</w:t>
            </w:r>
            <w:r>
              <w:rPr>
                <w:sz w:val="18"/>
              </w:rPr>
            </w:r>
          </w:p>
        </w:tc>
        <w:tc>
          <w:tcPr>
            <w:tcW w:type="dxa" w:w="3742"/>
          </w:tcPr>
          <w:p>
            <w:r/>
            <w:r>
              <w:rPr>
                <w:sz w:val="18"/>
              </w:rPr>
              <w:t>0.1 mm/day.</w:t>
            </w:r>
          </w:p>
        </w:tc>
        <w:tc>
          <w:tcPr>
            <w:tcW w:type="dxa" w:w="3969"/>
          </w:tcPr>
          <w:p>
            <w:r/>
            <w:r>
              <w:rPr>
                <w:sz w:val="18"/>
              </w:rPr>
              <w:t>GloFAS was calibrated with ERA5: the forcing must look like ERA5, light precipitation days included (1 mm/day would remove them and a few % of the totals). Same threshold as before.</w:t>
            </w:r>
          </w:p>
        </w:tc>
      </w:tr>
      <w:tr>
        <w:trPr>
          <w:cantSplit/>
        </w:trPr>
        <w:tc>
          <w:tcPr>
            <w:tcW w:type="dxa" w:w="1701"/>
            <w:shd w:val="clear" w:color="auto" w:fill="EAF1F8"/>
          </w:tcPr>
          <w:p>
            <w:r/>
            <w:r>
              <w:rPr>
                <w:b/>
                <w:sz w:val="18"/>
              </w:rPr>
              <w:t>Quantiles</w:t>
            </w:r>
            <w:r>
              <w:rPr>
                <w:sz w:val="18"/>
              </w:rPr>
            </w:r>
          </w:p>
        </w:tc>
        <w:tc>
          <w:tcPr>
            <w:tcW w:type="dxa" w:w="3742"/>
            <w:shd w:val="clear" w:color="auto" w:fill="EAF1F8"/>
          </w:tcPr>
          <w:p>
            <w:r/>
            <w:r>
              <w:rPr>
                <w:sz w:val="18"/>
              </w:rPr>
              <w:t>100, linear interpolation between them.</w:t>
            </w:r>
          </w:p>
        </w:tc>
        <w:tc>
          <w:tcPr>
            <w:tcW w:type="dxa" w:w="3969"/>
            <w:shd w:val="clear" w:color="auto" w:fill="EAF1F8"/>
          </w:tcPr>
          <w:p>
            <w:r/>
            <w:r>
              <w:rPr>
                <w:sz w:val="18"/>
              </w:rPr>
              <w:t>Cannon et al. (2015). With jitter the quantiles cover dry and wet days, hence 100 also for pr.</w:t>
            </w:r>
          </w:p>
        </w:tc>
      </w:tr>
      <w:tr>
        <w:trPr>
          <w:cantSplit/>
        </w:trPr>
        <w:tc>
          <w:tcPr>
            <w:tcW w:type="dxa" w:w="1701"/>
          </w:tcPr>
          <w:p>
            <w:r/>
            <w:r>
              <w:rPr>
                <w:b/>
                <w:sz w:val="18"/>
              </w:rPr>
              <w:t>pr outside the range</w:t>
            </w:r>
            <w:r>
              <w:rPr>
                <w:sz w:val="18"/>
              </w:rPr>
            </w:r>
          </w:p>
        </w:tc>
        <w:tc>
          <w:tcPr>
            <w:tcW w:type="dxa" w:w="3742"/>
          </w:tcPr>
          <w:p>
            <w:r/>
            <w:r>
              <w:rPr>
                <w:sz w:val="18"/>
              </w:rPr>
              <w:t>x − hq + ref above the model's last historical quantile hq.</w:t>
            </w:r>
          </w:p>
        </w:tc>
        <w:tc>
          <w:tcPr>
            <w:tcW w:type="dxa" w:w="3969"/>
          </w:tcPr>
          <w:p>
            <w:r/>
            <w:r>
              <w:rPr>
                <w:sz w:val="18"/>
              </w:rPr>
              <w:t>Constant correction of Boé et al. (2007), as cited by Cannon et al. (2015).</w:t>
            </w:r>
          </w:p>
        </w:tc>
      </w:tr>
      <w:tr>
        <w:trPr>
          <w:cantSplit/>
        </w:trPr>
        <w:tc>
          <w:tcPr>
            <w:tcW w:type="dxa" w:w="1701"/>
            <w:shd w:val="clear" w:color="auto" w:fill="EAF1F8"/>
          </w:tcPr>
          <w:p>
            <w:r/>
            <w:r>
              <w:rPr>
                <w:b/>
                <w:sz w:val="18"/>
              </w:rPr>
              <w:t>tasmin</w:t>
            </w:r>
            <w:r>
              <w:rPr>
                <w:sz w:val="18"/>
              </w:rPr>
            </w:r>
          </w:p>
        </w:tc>
        <w:tc>
          <w:tcPr>
            <w:tcW w:type="dxa" w:w="3742"/>
            <w:shd w:val="clear" w:color="auto" w:fill="EAF1F8"/>
          </w:tcPr>
          <w:p>
            <w:r/>
            <w:r>
              <w:rPr>
                <w:sz w:val="18"/>
              </w:rPr>
              <w:t>Via DTR (multiplicative QDM).</w:t>
            </w:r>
          </w:p>
        </w:tc>
        <w:tc>
          <w:tcPr>
            <w:tcW w:type="dxa" w:w="3969"/>
            <w:shd w:val="clear" w:color="auto" w:fill="EAF1F8"/>
          </w:tcPr>
          <w:p>
            <w:r/>
            <w:r>
              <w:rPr>
                <w:sz w:val="18"/>
              </w:rPr>
              <w:t>Guarantees tasmin &lt; tasmax; as in ESPO-G6.</w:t>
            </w:r>
          </w:p>
        </w:tc>
      </w:tr>
      <w:tr>
        <w:trPr>
          <w:cantSplit/>
        </w:trPr>
        <w:tc>
          <w:tcPr>
            <w:tcW w:type="dxa" w:w="1701"/>
          </w:tcPr>
          <w:p>
            <w:r/>
            <w:r>
              <w:rPr>
                <w:b/>
                <w:sz w:val="18"/>
              </w:rPr>
              <w:t>Ranking period</w:t>
            </w:r>
            <w:r>
              <w:rPr>
                <w:sz w:val="18"/>
              </w:rPr>
            </w:r>
          </w:p>
        </w:tc>
        <w:tc>
          <w:tcPr>
            <w:tcW w:type="dxa" w:w="3742"/>
          </w:tcPr>
          <w:p>
            <w:r/>
            <w:r>
              <w:rPr>
                <w:sz w:val="18"/>
              </w:rPr>
              <w:t>The whole run (50 years).</w:t>
            </w:r>
          </w:p>
        </w:tc>
        <w:tc>
          <w:tcPr>
            <w:tcW w:type="dxa" w:w="3969"/>
          </w:tcPr>
          <w:p>
            <w:r/>
            <w:r>
              <w:rPr>
                <w:sz w:val="18"/>
              </w:rPr>
              <w:t>Stabilised runs (quasi-stationary); Cannon's 30-year windows are needed for transient scenarios only.</w:t>
            </w:r>
          </w:p>
        </w:tc>
      </w:tr>
    </w:tbl>
    <w:p>
      <w:pPr>
        <w:spacing w:after="40"/>
      </w:pPr>
    </w:p>
    <w:p>
      <w:pPr>
        <w:pStyle w:val="Heading2"/>
      </w:pPr>
      <w:r>
        <w:t>Checks of the new version (notebook 4)</w:t>
      </w:r>
    </w:p>
    <w:p>
      <w:pPr>
        <w:pStyle w:val="ListBullet"/>
        <w:spacing w:after="40"/>
      </w:pPr>
      <w:r>
        <w:rPr>
          <w:i w:val="0"/>
        </w:rPr>
        <w:t>Section 2.5 — jumps at the changes of month: steps vs variations inside the months (ratio 6–8 before).</w:t>
      </w:r>
    </w:p>
    <w:p>
      <w:pPr>
        <w:pStyle w:val="ListBullet"/>
        <w:spacing w:after="40"/>
      </w:pPr>
      <w:r>
        <w:rPr>
          <w:i w:val="0"/>
        </w:rPr>
        <w:t>Section 2.4 — calibration per pixel: precision lost by the 3-month windows (monthly quantiles no longer exact).</w:t>
      </w:r>
    </w:p>
    <w:p>
      <w:pPr>
        <w:pStyle w:val="ListBullet"/>
        <w:spacing w:after="40"/>
      </w:pPr>
      <w:r>
        <w:rPr>
          <w:i w:val="0"/>
        </w:rPr>
        <w:t>Section 3.2b — preservation of the pr signal by climate zone and over Europe, with the jitter instead of the WDF.</w:t>
      </w:r>
    </w:p>
    <w:p>
      <w:pPr>
        <w:pStyle w:val="ListBullet"/>
        <w:spacing w:after="40"/>
      </w:pPr>
      <w:r>
        <w:rPr>
          <w:i w:val="0"/>
        </w:rPr>
        <w:t>Section 4 — pr extremes (largest factors, largest values).</w:t>
      </w:r>
    </w:p>
    <w:p>
      <w:r>
        <w:rPr>
          <w:i w:val="0"/>
        </w:rPr>
        <w:t>If the jumps remain too large, the fallback is the 31-day day-of-year window of NEX-GDDP-CMIP6 and ESPO-G6 (with nearest interpolation between quantiles, as ESPO-G6), which removes them by construction at the cost of 30× larger parameter files.</w:t>
      </w:r>
    </w:p>
    <w:p>
      <w:pPr>
        <w:pStyle w:val="Heading1"/>
      </w:pPr>
      <w:r>
        <w:t>6. Points to discuss</w:t>
      </w:r>
    </w:p>
    <w:p>
      <w:pPr>
        <w:pStyle w:val="ListBullet"/>
        <w:spacing w:after="40"/>
      </w:pPr>
      <w:r>
        <w:rPr>
          <w:i w:val="0"/>
        </w:rPr>
        <w:t>Confirm the GloFAS version and its calibration forcing (ERA5), which sets the 0.1 mm/day threshold.</w:t>
      </w:r>
    </w:p>
    <w:p>
      <w:pPr>
        <w:pStyle w:val="ListBullet"/>
        <w:spacing w:after="40"/>
      </w:pPr>
      <w:r>
        <w:rPr>
          <w:i w:val="0"/>
        </w:rPr>
        <w:t>Accept the 3-month windows of Cannon et al. (2015), or go directly to the 31-day day-of-year window.</w:t>
      </w:r>
    </w:p>
    <w:p>
      <w:pPr>
        <w:pStyle w:val="ListBullet"/>
        <w:spacing w:after="40"/>
      </w:pPr>
      <w:r>
        <w:rPr>
          <w:i w:val="0"/>
        </w:rPr>
        <w:t>Summer pr signal over Europe slightly dampened in its pattern (slope 0.8–0.9): acceptable as a limitation, or worth a closer look over southern Europe?</w:t>
      </w:r>
    </w:p>
    <w:p>
      <w:pPr>
        <w:pStyle w:val="ListBullet"/>
        <w:spacing w:after="40"/>
      </w:pPr>
      <w:r>
        <w:rPr>
          <w:i w:val="0"/>
        </w:rPr>
        <w:t>Crop suitability with the delta method on the BIO variables rather than with the bias-adjusted GCM.</w:t>
      </w:r>
    </w:p>
    <w:p>
      <w:pPr>
        <w:pStyle w:val="Heading1"/>
      </w:pPr>
      <w:r>
        <w:t>References</w:t>
      </w:r>
    </w:p>
    <w:p>
      <w:pPr>
        <w:ind w:left="340" w:hanging="340"/>
      </w:pPr>
      <w:r>
        <w:rPr>
          <w:i w:val="0"/>
          <w:sz w:val="19"/>
        </w:rPr>
        <w:t>Boé, J., Terray, L., Habets, F., Martin, E. (2007). Statistical and dynamical downscaling of the Seine basin climate for hydro-meteorological studies. International Journal of Climatology, 27, 1643–1655. (Cited through Cannon et al. 2015; to be checked in the original.)</w:t>
      </w:r>
    </w:p>
    <w:p>
      <w:pPr>
        <w:ind w:left="340" w:hanging="340"/>
      </w:pPr>
      <w:r>
        <w:rPr>
          <w:i w:val="0"/>
          <w:sz w:val="19"/>
        </w:rPr>
        <w:t>Cannon, A. J., Sobie, S. R., Murdock, T. Q. (2015). Bias correction of GCM precipitation by quantile mapping: how well do methods preserve changes in quantiles and extremes? Journal of Climate, 28, 6938–6959. doi:10.1175/JCLI-D-14-00754.1</w:t>
      </w:r>
    </w:p>
    <w:p>
      <w:pPr>
        <w:ind w:left="340" w:hanging="340"/>
      </w:pPr>
      <w:r>
        <w:rPr>
          <w:i w:val="0"/>
          <w:sz w:val="19"/>
        </w:rPr>
        <w:t>Lange, S. (2019). Trend-preserving bias adjustment and statistical downscaling with ISIMIP3BASD (v1.0). Geoscientific Model Development, 12, 3055–3070. doi:10.5194/gmd-12-3055-2019</w:t>
      </w:r>
    </w:p>
    <w:p>
      <w:pPr>
        <w:ind w:left="340" w:hanging="340"/>
      </w:pPr>
      <w:r>
        <w:rPr>
          <w:i w:val="0"/>
          <w:sz w:val="19"/>
        </w:rPr>
        <w:t>Lavoie, J. et al. (2024). An ensemble of bias-adjusted CMIP6 climate simulations based on a high-resolution North American reanalysis (ESPO-G6). Scientific Data. doi:10.1038/s41597-023-02855-z</w:t>
      </w:r>
    </w:p>
    <w:p>
      <w:pPr>
        <w:ind w:left="340" w:hanging="340"/>
      </w:pPr>
      <w:r>
        <w:rPr>
          <w:i w:val="0"/>
          <w:sz w:val="19"/>
        </w:rPr>
        <w:t>Thrasher, B. et al. (2022). NASA Global Daily Downscaled Projections, CMIP6. Scientific Data. doi:10.1038/s41597-022-01393-4</w:t>
      </w:r>
    </w:p>
    <w:p>
      <w:pPr>
        <w:ind w:left="340" w:hanging="340"/>
      </w:pPr>
      <w:r>
        <w:rPr>
          <w:i w:val="0"/>
          <w:sz w:val="19"/>
        </w:rPr>
        <w:t>Themeßl, M. J., Gobiet, A., Heinrich, G. (2012). Empirical-statistical downscaling and error correction of regional climate models and its impact on the climate change signal. Climatic Change, 112, 449–468. doi:10.1007/s10584-011-0224-4</w:t>
      </w:r>
    </w:p>
    <w:p>
      <w:pPr>
        <w:ind w:left="340" w:hanging="340"/>
      </w:pPr>
      <w:r>
        <w:rPr>
          <w:i w:val="0"/>
          <w:sz w:val="19"/>
        </w:rPr>
        <w:t>xsdba documentation (Ouranos): https://xsdba.readthedocs.io</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