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026Listas.py: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061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006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8" cy="3206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52.4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025For.py: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7802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571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978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34.4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2025-04-11T01:00:16Z</dcterms:modified>
</cp:coreProperties>
</file>