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002040"/>
          <w:sz w:val="52"/>
        </w:rPr>
        <w:t>PULSE</w:t>
      </w:r>
    </w:p>
    <w:p>
      <w:pPr>
        <w:spacing w:after="280"/>
      </w:pPr>
      <w:r>
        <w:rPr>
          <w:color w:val="5B6573"/>
          <w:sz w:val="20"/>
        </w:rPr>
        <w:t>Developer README &amp; maintenance handoff  |  Updated July 21, 2026</w:t>
      </w:r>
    </w:p>
    <w:p>
      <w:pPr>
        <w:pStyle w:val="Heading1"/>
      </w:pPr>
      <w:r>
        <w:t>What this application is</w:t>
      </w:r>
    </w:p>
    <w:p>
      <w:pPr>
        <w:spacing w:after="120"/>
      </w:pPr>
      <w:r>
        <w:t>PULSE is a browser-based SharePoint/Firepit operations application. It is a plain HTML, CSS, and JavaScript single-page application: SharePoint provides the authenticated runtime and Lists provide the shared data layer. There is no standalone backend, database server, Azure app registration, or Microsoft Graph dependency in the current design.</w:t>
      </w:r>
    </w:p>
    <w:p>
      <w:pPr>
        <w:pStyle w:val="Heading1"/>
      </w:pPr>
      <w:r>
        <w:t>Start here</w:t>
      </w:r>
    </w:p>
    <w:p>
      <w:pPr>
        <w:pStyle w:val="ListBullet"/>
        <w:spacing w:after="60"/>
      </w:pPr>
      <w:r>
        <w:t>Open index.html to launch the development version of the application.</w:t>
      </w:r>
    </w:p>
    <w:p>
      <w:pPr>
        <w:pStyle w:val="ListBullet"/>
        <w:spacing w:after="60"/>
      </w:pPr>
      <w:r>
        <w:t>Edit assets/js/app.js for the application shell, routing, and shared UI behavior.</w:t>
      </w:r>
    </w:p>
    <w:p>
      <w:pPr>
        <w:pStyle w:val="ListBullet"/>
        <w:spacing w:after="60"/>
      </w:pPr>
      <w:r>
        <w:t>Edit assets/js/pages/ for feature-specific screens.</w:t>
      </w:r>
    </w:p>
    <w:p>
      <w:pPr>
        <w:pStyle w:val="ListBullet"/>
        <w:spacing w:after="60"/>
      </w:pPr>
      <w:r>
        <w:t>Use assets/js/sharepoint-adapter.js and assets/js/sharepoint-repo.js for SharePoint access; do not add scattered raw fetch calls when these layers can support the work.</w:t>
      </w:r>
    </w:p>
    <w:p>
      <w:pPr>
        <w:pStyle w:val="ListBullet"/>
        <w:spacing w:after="60"/>
      </w:pPr>
      <w:r>
        <w:t>Use assets/js/sharepoint-schema.js for list and column definitions.</w:t>
      </w:r>
    </w:p>
    <w:p>
      <w:pPr>
        <w:pStyle w:val="Heading1"/>
      </w:pPr>
      <w:r>
        <w:t>Core implementation map</w:t>
      </w:r>
    </w:p>
    <w:p>
      <w:pPr>
        <w:spacing w:after="80"/>
      </w:pPr>
      <w:r>
        <w:rPr>
          <w:b/>
          <w:color w:val="002040"/>
        </w:rPr>
        <w:t xml:space="preserve">assets/js/app-config.js — </w:t>
      </w:r>
      <w:r>
        <w:rPr>
          <w:b/>
        </w:rPr>
        <w:t xml:space="preserve">Configuration. </w:t>
      </w:r>
      <w:r>
        <w:t>Owns site URL overrides, list prefix, Graph endpoint settings, and boot diagnostics. Check this first when the app points to the wrong SharePoint site or has a startup configuration issue.</w:t>
      </w:r>
    </w:p>
    <w:p>
      <w:pPr>
        <w:spacing w:after="80"/>
      </w:pPr>
      <w:r>
        <w:rPr>
          <w:b/>
          <w:color w:val="002040"/>
        </w:rPr>
        <w:t xml:space="preserve">assets/js/app.js — </w:t>
      </w:r>
      <w:r>
        <w:rPr>
          <w:b/>
        </w:rPr>
        <w:t xml:space="preserve">Application shell. </w:t>
      </w:r>
      <w:r>
        <w:t>Starts the app, detects SharePoint versus local mode, owns hash routes, navigation, shared rendering helpers, and cross-page UI behavior.</w:t>
      </w:r>
    </w:p>
    <w:p>
      <w:pPr>
        <w:spacing w:after="80"/>
      </w:pPr>
      <w:r>
        <w:rPr>
          <w:b/>
          <w:color w:val="002040"/>
        </w:rPr>
        <w:t xml:space="preserve">assets/js/sharepoint-adapter.js — </w:t>
      </w:r>
      <w:r>
        <w:rPr>
          <w:b/>
        </w:rPr>
        <w:t xml:space="preserve">SharePoint transport. </w:t>
      </w:r>
      <w:r>
        <w:t>Centralizes site detection, request-digest handling, current-user lookup, list and field operations, CRUD helpers, diagnostics, and SharePoint REST calls. New SharePoint work should use this layer instead of ad-hoc fetch calls.</w:t>
      </w:r>
    </w:p>
    <w:p>
      <w:pPr>
        <w:spacing w:after="80"/>
      </w:pPr>
      <w:r>
        <w:rPr>
          <w:b/>
          <w:color w:val="002040"/>
        </w:rPr>
        <w:t xml:space="preserve">assets/js/sharepoint-repo.js — </w:t>
      </w:r>
      <w:r>
        <w:rPr>
          <w:b/>
        </w:rPr>
        <w:t xml:space="preserve">Repository/data mapping. </w:t>
      </w:r>
      <w:r>
        <w:t>Maps PULSE domain objects to SharePoint List items and coordinates save, remove, read, and normalization behavior. Keep business-object mapping here rather than scattering it through page modules.</w:t>
      </w:r>
    </w:p>
    <w:p>
      <w:pPr>
        <w:spacing w:after="80"/>
      </w:pPr>
      <w:r>
        <w:rPr>
          <w:b/>
          <w:color w:val="002040"/>
        </w:rPr>
        <w:t xml:space="preserve">assets/js/sharepoint-schema.js — </w:t>
      </w:r>
      <w:r>
        <w:rPr>
          <w:b/>
        </w:rPr>
        <w:t xml:space="preserve">List schema. </w:t>
      </w:r>
      <w:r>
        <w:t>Defines the PULSE Lists and columns. The external template builders read this same schema, so make list/column changes here first.</w:t>
      </w:r>
    </w:p>
    <w:p>
      <w:pPr>
        <w:spacing w:after="80"/>
      </w:pPr>
      <w:r>
        <w:rPr>
          <w:b/>
          <w:color w:val="002040"/>
        </w:rPr>
        <w:t xml:space="preserve">assets/js/data.js — </w:t>
      </w:r>
      <w:r>
        <w:rPr>
          <w:b/>
        </w:rPr>
        <w:t xml:space="preserve">Data model. </w:t>
      </w:r>
      <w:r>
        <w:t>Defines the local store shape and seed/fallback data used outside SharePoint mode.</w:t>
      </w:r>
    </w:p>
    <w:p>
      <w:pPr>
        <w:spacing w:after="80"/>
      </w:pPr>
      <w:r>
        <w:rPr>
          <w:b/>
          <w:color w:val="002040"/>
        </w:rPr>
        <w:t xml:space="preserve">assets/js/pages/ — </w:t>
      </w:r>
      <w:r>
        <w:rPr>
          <w:b/>
        </w:rPr>
        <w:t xml:space="preserve">Feature modules. </w:t>
      </w:r>
      <w:r>
        <w:t>Screen-level behavior for dashboard, projects, weekly meetings, travel, document review, tickets, users, admin, and related workflows.</w:t>
      </w:r>
    </w:p>
    <w:p>
      <w:pPr>
        <w:pStyle w:val="Heading1"/>
      </w:pPr>
      <w:r>
        <w:t>PULSE folder map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1750"/>
        <w:gridCol w:w="2350"/>
        <w:gridCol w:w="4900"/>
      </w:tblGrid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Location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Role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Maintainer guidance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index.html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entry point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Development HTML that loads the runtime source files.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assets/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Editable source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CSS, images, app shell, SharePoint integration, schema, and feature-page JavaScript.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vendor/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Runtime dependency files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Bundled third-party libraries. Preserve relative paths used by index.html and the packagers.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scripts/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Build and maintenance helpers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Use build-sharepoint-package.js for normal SharePoint/Firepit shipping.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docs/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Maintenance reference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Handoff notes, architecture, guides, requirements, diagrams, and code analysis.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FS packages/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SharePoint ship packages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Preferred build output for SharePoint/Firepit uploads. Keep dated releases here.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releases/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Forge/reference packages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Forge builds and known-good reference packages; never treat these as source.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validation/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Verification material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sz w:val="18"/>
              </w:rPr>
              <w:t>Engineering PDF samples and similar checks; not runtime code.</w:t>
            </w:r>
          </w:p>
        </w:tc>
      </w:tr>
    </w:tbl>
    <w:p>
      <w:pPr>
        <w:pStyle w:val="Heading1"/>
      </w:pPr>
      <w:r>
        <w:t>Packaging toolkit</w:t>
      </w:r>
    </w:p>
    <w:p>
      <w:pPr>
        <w:spacing w:after="120"/>
      </w:pPr>
      <w:r>
        <w:t>PULSE carries both the canonical packaging scripts and handoff copies of the tools needed to use the secondary Forge path. The SharePoint packager is the normal shipping path; Forge is retained for the documented legacy/offline-wrapper use case.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1900"/>
        <w:gridCol w:w="4550"/>
      </w:tblGrid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Tool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Purpose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How to treat it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scripts/build-sharepoint-package.js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Canonical preferred packager</w:t>
            </w:r>
          </w:p>
        </w:tc>
        <w:tc>
          <w:tcPr>
            <w:tcW w:type="dxa" w:w="4550"/>
            <w:vAlign w:val="center"/>
          </w:tcPr>
          <w:p>
            <w:pPr>
              <w:spacing w:after="0"/>
            </w:pPr>
            <w:r>
              <w:rPr>
                <w:sz w:val="17"/>
              </w:rPr>
              <w:t>Bundles index.html and every local runtime dependency into one Firepit-ready HTML file, adds a WFC-MANIFEST provenance comment, and writes the result to FS packages/.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scripts/build-forge.js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Canonical secondary packager</w:t>
            </w:r>
          </w:p>
        </w:tc>
        <w:tc>
          <w:tcPr>
            <w:tcW w:type="dxa" w:w="4550"/>
            <w:vAlign w:val="center"/>
          </w:tcPr>
          <w:p>
            <w:pPr>
              <w:spacing w:after="0"/>
            </w:pPr>
            <w:r>
              <w:rPr>
                <w:sz w:val="17"/>
              </w:rPr>
              <w:t>Injects the bundled child HTML into a Forge HTML template. Use only when the Forge/offline-wrapper flow is specifically required.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tools/packaging/build-sharepoint-package.js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Handoff copy</w:t>
            </w:r>
          </w:p>
        </w:tc>
        <w:tc>
          <w:tcPr>
            <w:tcW w:type="dxa" w:w="4550"/>
            <w:vAlign w:val="center"/>
          </w:tcPr>
          <w:p>
            <w:pPr>
              <w:spacing w:after="0"/>
            </w:pPr>
            <w:r>
              <w:rPr>
                <w:sz w:val="17"/>
              </w:rPr>
              <w:t>Copy of the preferred packager retained with the local toolkit. Synchronize it with scripts/build-sharepoint-package.js after changes.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tools/packaging/build-forge.js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Handoff copy</w:t>
            </w:r>
          </w:p>
        </w:tc>
        <w:tc>
          <w:tcPr>
            <w:tcW w:type="dxa" w:w="4550"/>
            <w:vAlign w:val="center"/>
          </w:tcPr>
          <w:p>
            <w:pPr>
              <w:spacing w:after="0"/>
            </w:pPr>
            <w:r>
              <w:rPr>
                <w:sz w:val="17"/>
              </w:rPr>
              <w:t>Copy of the secondary packager retained with the local toolkit. Synchronize it with scripts/build-forge.js after changes.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tools/packaging/Forge.html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Forge HTML reference</w:t>
            </w:r>
          </w:p>
        </w:tc>
        <w:tc>
          <w:tcPr>
            <w:tcW w:type="dxa" w:w="4550"/>
            <w:vAlign w:val="center"/>
          </w:tcPr>
          <w:p>
            <w:pPr>
              <w:spacing w:after="0"/>
            </w:pPr>
            <w:r>
              <w:rPr>
                <w:sz w:val="17"/>
              </w:rPr>
              <w:t>Local HTML version of Forge used as the template argument for build-forge.js. A copy is kept in the app for handoff and offline reference.</w:t>
            </w:r>
          </w:p>
        </w:tc>
      </w:tr>
    </w:tbl>
    <w:p>
      <w:pPr>
        <w:pStyle w:val="Heading1"/>
      </w:pPr>
      <w:r>
        <w:t>Before you change code</w:t>
      </w:r>
    </w:p>
    <w:p>
      <w:pPr>
        <w:pStyle w:val="ListBullet"/>
        <w:spacing w:after="60"/>
      </w:pPr>
      <w:r>
        <w:t>Keep assets/ and vendor/ relative paths intact. The browser build and the packaging scripts resolve these files from index.html.</w:t>
      </w:r>
    </w:p>
    <w:p>
      <w:pPr>
        <w:pStyle w:val="ListBullet"/>
        <w:spacing w:after="60"/>
      </w:pPr>
      <w:r>
        <w:t>Treat SharePoint Lists as the shared source of truth in SharePoint mode. Do not reintroduce localStorage as the shared backend.</w:t>
      </w:r>
    </w:p>
    <w:p>
      <w:pPr>
        <w:pStyle w:val="ListBullet"/>
        <w:spacing w:after="60"/>
      </w:pPr>
      <w:r>
        <w:t>Preserve the current constraints unless the deployment architecture is intentionally being changed: no backend server, no Microsoft Graph, no Azure app registration, and no CDN/runtime internet dependency in the shipped package.</w:t>
      </w:r>
    </w:p>
    <w:p>
      <w:pPr>
        <w:pStyle w:val="ListBullet"/>
        <w:spacing w:after="60"/>
      </w:pPr>
      <w:r>
        <w:t>Read docs/handoff/AI-HANDOFF.md and docs/02-TECHNICAL-REFERENCE.md before making an architectural or deployment change.</w:t>
      </w:r>
    </w:p>
    <w:p>
      <w:pPr>
        <w:pStyle w:val="Heading1"/>
      </w:pPr>
      <w:r>
        <w:t>Build and ship</w:t>
      </w:r>
    </w:p>
    <w:p>
      <w:pPr>
        <w:spacing w:after="120"/>
      </w:pPr>
      <w:r>
        <w:t>The normal Firepit/SharePoint delivery path is a self-contained HTML file. From the PULSE folder:</w:t>
      </w:r>
    </w:p>
    <w:p>
      <w:pPr>
        <w:pStyle w:val="ListNumber"/>
        <w:spacing w:after="80"/>
      </w:pPr>
      <w:r>
        <w:t>Make and review the source change in index.html, assets/, and scripts/ as appropriate.</w:t>
      </w:r>
    </w:p>
    <w:p>
      <w:pPr>
        <w:pStyle w:val="ListNumber"/>
        <w:spacing w:after="80"/>
      </w:pPr>
      <w:r>
        <w:t>Generate a dated package: node scripts/build-sharepoint-package.js "FS packages/AEWTTR-PULSE_v.&lt;date&gt;.html".</w:t>
      </w:r>
    </w:p>
    <w:p>
      <w:pPr>
        <w:pStyle w:val="ListNumber"/>
        <w:spacing w:after="80"/>
      </w:pPr>
      <w:r>
        <w:t>Upload the generated HTML package to the approved SharePoint/Firepit location and validate the target experience.</w:t>
      </w:r>
    </w:p>
    <w:p>
      <w:pPr>
        <w:spacing w:after="120"/>
      </w:pPr>
      <w:r>
        <w:t>For packaging detail and known Firepit/Forge constraints, read docs/handoff/FS-FORGE-STEPS.md and docs/handoff/FIREPIT-DEVELOPER-GUIDE.md.</w:t>
      </w:r>
    </w:p>
    <w:p>
      <w:pPr>
        <w:spacing w:after="120"/>
      </w:pPr>
      <w:r>
        <w:t>If the secondary Forge path is explicitly required, run: node scripts/build-forge.js tools/packaging/Forge.html releases/forge-builds/Forge.html. Do not substitute this for the normal SharePoint packager without a deployment reason.</w:t>
      </w:r>
    </w:p>
    <w:p>
      <w:pPr>
        <w:pStyle w:val="Heading1"/>
      </w:pPr>
      <w:r>
        <w:t>Release validation checklist</w:t>
      </w:r>
    </w:p>
    <w:p>
      <w:pPr>
        <w:pStyle w:val="ListBullet"/>
        <w:spacing w:after="60"/>
      </w:pPr>
      <w:r>
        <w:t>Confirm the deployed page completes boot without an error panel or a blank screen.</w:t>
      </w:r>
    </w:p>
    <w:p>
      <w:pPr>
        <w:pStyle w:val="ListBullet"/>
        <w:spacing w:after="60"/>
      </w:pPr>
      <w:r>
        <w:t>Verify the current user, PULSE App Roles, and the expected SharePoint List access before diagnosing a page-level issue.</w:t>
      </w:r>
    </w:p>
    <w:p>
      <w:pPr>
        <w:pStyle w:val="ListBullet"/>
        <w:spacing w:after="60"/>
      </w:pPr>
      <w:r>
        <w:t>Exercise the specific changed workflow and its related record save/read behavior in the SharePoint target—not only in a local browser preview.</w:t>
      </w:r>
    </w:p>
    <w:p>
      <w:pPr>
        <w:pStyle w:val="ListBullet"/>
        <w:spacing w:after="60"/>
      </w:pPr>
      <w:r>
        <w:t>Keep a dated package in FS packages/ and preserve known-good reference files in releases/reference-packages/ for comparison or rollback.</w:t>
      </w:r>
    </w:p>
    <w:p>
      <w:pPr>
        <w:pStyle w:val="Heading1"/>
      </w:pPr>
      <w:r>
        <w:t>Reference documents</w:t>
      </w:r>
    </w:p>
    <w:p>
      <w:pPr>
        <w:spacing w:after="120"/>
      </w:pPr>
      <w:r>
        <w:t>Use docs/handoff/AI-HANDOFF.md for non-negotiable runtime constraints, docs/02-TECHNICAL-REFERENCE.md for architecture and packaging context, and docs/architecture/SHAREPOINT-LISTS-GUIDE.md for schema and list details.</w:t>
      </w:r>
    </w:p>
    <w:sectPr w:rsidR="00FC693F" w:rsidRPr="0006063C" w:rsidSect="00034616">
      <w:footerReference w:type="default" r:id="rId9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>PULSE • Developer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2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