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drawing>
          <wp:inline xmlns:a="http://schemas.openxmlformats.org/drawingml/2006/main" xmlns:pic="http://schemas.openxmlformats.org/drawingml/2006/picture">
            <wp:extent cx="1554480" cy="646324"/>
            <wp:docPr id="1" name="Picture 1"/>
            <wp:cNvGraphicFramePr>
              <a:graphicFrameLocks noChangeAspect="1"/>
            </wp:cNvGraphicFramePr>
            <a:graphic>
              <a:graphicData uri="http://schemas.openxmlformats.org/drawingml/2006/picture">
                <pic:pic>
                  <pic:nvPicPr>
                    <pic:cNvPr id="0" name="PULSE_logo_black_transparent_4x.png"/>
                    <pic:cNvPicPr/>
                  </pic:nvPicPr>
                  <pic:blipFill>
                    <a:blip r:embed="rId11"/>
                    <a:stretch>
                      <a:fillRect/>
                    </a:stretch>
                  </pic:blipFill>
                  <pic:spPr>
                    <a:xfrm>
                      <a:off x="0" y="0"/>
                      <a:ext cx="1554480" cy="646324"/>
                    </a:xfrm>
                    <a:prstGeom prst="rect"/>
                  </pic:spPr>
                </pic:pic>
              </a:graphicData>
            </a:graphic>
          </wp:inline>
        </w:drawing>
      </w:r>
    </w:p>
    <w:p>
      <w:pPr>
        <w:spacing w:before="600" w:after="160"/>
      </w:pPr>
      <w:r>
        <w:rPr>
          <w:rFonts w:ascii="Montserrat" w:hAnsi="Montserrat" w:cs="Montserrat" w:eastAsia="Montserrat"/>
          <w:b/>
          <w:i w:val="0"/>
          <w:color w:val="246BCE"/>
          <w:sz w:val="16"/>
        </w:rPr>
        <w:t>DOCUMENTATION SERIES</w:t>
      </w:r>
    </w:p>
    <w:p>
      <w:pPr>
        <w:spacing w:after="200"/>
      </w:pPr>
      <w:r>
        <w:rPr>
          <w:rFonts w:ascii="Montserrat" w:hAnsi="Montserrat" w:cs="Montserrat" w:eastAsia="Montserrat"/>
          <w:b/>
          <w:i w:val="0"/>
          <w:color w:val="102A43"/>
          <w:sz w:val="56"/>
        </w:rPr>
        <w:t>Technical Handoff</w:t>
      </w:r>
    </w:p>
    <w:p>
      <w:pPr>
        <w:spacing w:after="440"/>
      </w:pPr>
      <w:r>
        <w:rPr>
          <w:rFonts w:ascii="Montserrat" w:hAnsi="Montserrat" w:cs="Montserrat" w:eastAsia="Montserrat"/>
          <w:b w:val="0"/>
          <w:i w:val="0"/>
          <w:color w:val="5E6C84"/>
          <w:sz w:val="26"/>
        </w:rPr>
        <w:t>Developer continuity guide: runtime, source layout, SharePoint data, packaging, deployment, validation, and recovery.</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PURPOSE  </w:t>
            </w:r>
            <w:r>
              <w:rPr>
                <w:rFonts w:ascii="Montserrat" w:hAnsi="Montserrat" w:cs="Montserrat" w:eastAsia="Montserrat"/>
                <w:b w:val="0"/>
                <w:i w:val="0"/>
                <w:color w:val="172B4D"/>
                <w:sz w:val="19"/>
              </w:rPr>
              <w:t>This is the developer pickup document. Read it before making a code or schema change; it describes the actual boundaries that keep the application deployable.</w:t>
            </w:r>
          </w:p>
        </w:tc>
      </w:tr>
    </w:tbl>
    <w:p>
      <w:pPr>
        <w:spacing w:after="2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910"/>
        <w:gridCol w:w="4910"/>
      </w:tblGrid>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AUDIENCE</w:t>
              <w:br/>
            </w:r>
            <w:r>
              <w:rPr>
                <w:rFonts w:ascii="Montserrat" w:hAnsi="Montserrat" w:cs="Montserrat" w:eastAsia="Montserrat"/>
                <w:b/>
                <w:i w:val="0"/>
                <w:color w:val="172B4D"/>
                <w:sz w:val="18"/>
              </w:rPr>
              <w:t>Developers, site administrators, and release managers</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STATUS</w:t>
              <w:br/>
            </w:r>
            <w:r>
              <w:rPr>
                <w:rFonts w:ascii="Montserrat" w:hAnsi="Montserrat" w:cs="Montserrat" w:eastAsia="Montserrat"/>
                <w:b/>
                <w:i w:val="0"/>
                <w:color w:val="172B4D"/>
                <w:sz w:val="18"/>
              </w:rPr>
              <w:t>Final delivery</w:t>
            </w:r>
          </w:p>
        </w:tc>
      </w:tr>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VERSION</w:t>
              <w:br/>
            </w:r>
            <w:r>
              <w:rPr>
                <w:rFonts w:ascii="Montserrat" w:hAnsi="Montserrat" w:cs="Montserrat" w:eastAsia="Montserrat"/>
                <w:b/>
                <w:i w:val="0"/>
                <w:color w:val="172B4D"/>
                <w:sz w:val="18"/>
              </w:rPr>
              <w:t>2026.07</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REVIEW</w:t>
              <w:br/>
            </w:r>
            <w:r>
              <w:rPr>
                <w:rFonts w:ascii="Montserrat" w:hAnsi="Montserrat" w:cs="Montserrat" w:eastAsia="Montserrat"/>
                <w:b/>
                <w:i w:val="0"/>
                <w:color w:val="172B4D"/>
                <w:sz w:val="18"/>
              </w:rPr>
              <w:t>Owner: PULSE Administrator. Review after any material change and at least annually.</w:t>
            </w:r>
          </w:p>
        </w:tc>
      </w:tr>
    </w:tbl>
    <w:p>
      <w:r>
        <w:br w:type="page"/>
      </w:r>
    </w:p>
    <w:p>
      <w:pPr>
        <w:pStyle w:val="Heading1"/>
      </w:pPr>
      <w:r>
        <w:rPr>
          <w:rFonts w:ascii="Montserrat" w:hAnsi="Montserrat" w:cs="Montserrat" w:eastAsia="Montserrat"/>
          <w:b/>
          <w:i w:val="0"/>
          <w:color w:val="102A43"/>
          <w:sz w:val="34"/>
        </w:rPr>
        <w:t>1. Operating model</w:t>
      </w:r>
    </w:p>
    <w:p>
      <w:r>
        <w:rPr>
          <w:rFonts w:ascii="Montserrat" w:hAnsi="Montserrat" w:cs="Montserrat" w:eastAsia="Montserrat"/>
          <w:b w:val="0"/>
          <w:i w:val="0"/>
          <w:color w:val="172B4D"/>
          <w:sz w:val="20"/>
        </w:rPr>
        <w:t>PULSE is a browser-only single-page application. It is hosted as one self-contained HTML file in SharePoint and runs inside the visitor’s existing SharePoint session. SharePoint Lists and document libraries provide the shared operational record. There is no application server, separate database, separate login, or required runtime CDN.</w:t>
      </w:r>
    </w:p>
    <w:p>
      <w:pPr>
        <w:spacing w:before="60" w:after="80"/>
      </w:pPr>
      <w:r>
        <w:rPr>
          <w:rFonts w:ascii="Montserrat" w:hAnsi="Montserrat" w:cs="Montserrat" w:eastAsia="Montserrat"/>
          <w:b w:val="0"/>
          <w:i w:val="0"/>
          <w:color w:val="172B4D"/>
          <w:sz w:val="20"/>
        </w:rPr>
        <w:t xml:space="preserve">Architecture note: The Analysis of Alternatives evaluated SharePoint Framework (SPFx) and Forge-supported deployment approaches as potential enterprise implementation paths. The current PULSE implementation is delivered as a static HTML, CSS, and JavaScript application hosted through the approved Firepit environment and connected directly to SharePoint Online through authorized REST interfaces. References to Forge or SPFx in the AoA describe evaluated or future deployment approaches and should not be interpreted as the current production architecture. Future-state options involving SPFx, Forge, Power BI, Power Automate, or broader Microsoft 365 integration remain valid recommendations and are labeled as such where they appear in this document.</w:t>
      </w:r>
    </w:p>
    <w:p>
      <w:pPr>
        <w:pStyle w:val="Heading2"/>
      </w:pPr>
      <w:r>
        <w:rPr>
          <w:rFonts w:ascii="Montserrat" w:hAnsi="Montserrat" w:cs="Montserrat" w:eastAsia="Montserrat"/>
          <w:b/>
          <w:i w:val="0"/>
          <w:color w:val="246BCE"/>
          <w:sz w:val="25"/>
        </w:rPr>
        <w:t>Runtime path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964"/>
        <w:gridCol w:w="1964"/>
        <w:gridCol w:w="1964"/>
        <w:gridCol w:w="1964"/>
        <w:gridCol w:w="1964"/>
      </w:tblGrid>
      <w:tr>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Browser +</w:t>
              <w:br/>
              <w:t>SharePoint session</w:t>
            </w:r>
          </w:p>
        </w:tc>
        <w:tc>
          <w:tcPr>
            <w:tcW w:type="dxa" w:w="1964"/>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One-file PULSE</w:t>
              <w:br/>
              <w:t>HTML package</w:t>
            </w:r>
          </w:p>
        </w:tc>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Shell + feature</w:t>
              <w:br/>
              <w:t>modules</w:t>
            </w:r>
          </w:p>
        </w:tc>
        <w:tc>
          <w:tcPr>
            <w:tcW w:type="dxa" w:w="1964"/>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REST adapter +</w:t>
              <w:br/>
              <w:t>repository</w:t>
            </w:r>
          </w:p>
        </w:tc>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SharePoint lists</w:t>
              <w:br/>
              <w:t>and libraries</w:t>
            </w:r>
          </w:p>
        </w:tc>
      </w:tr>
    </w:tbl>
    <w:p>
      <w:pPr>
        <w:spacing w:after="40"/>
      </w:pP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NON-NEGOTIABLE BOUNDARY  </w:t>
            </w:r>
            <w:r>
              <w:rPr>
                <w:rFonts w:ascii="Montserrat" w:hAnsi="Montserrat" w:cs="Montserrat" w:eastAsia="Montserrat"/>
                <w:b w:val="0"/>
                <w:i w:val="0"/>
                <w:color w:val="172B4D"/>
                <w:sz w:val="19"/>
              </w:rPr>
              <w:t>Keep application data on SharePoint. Do not introduce a required backend, Azure registration, Graph dependency, external API, or runtime CDN into the shipping artifact.</w:t>
            </w:r>
          </w:p>
        </w:tc>
      </w:tr>
    </w:tbl>
    <w:p>
      <w:pPr>
        <w:spacing w:after="20"/>
      </w:pPr>
    </w:p>
    <w:p>
      <w:pPr>
        <w:pStyle w:val="Heading1"/>
      </w:pPr>
      <w:r>
        <w:rPr>
          <w:rFonts w:ascii="Montserrat" w:hAnsi="Montserrat" w:cs="Montserrat" w:eastAsia="Montserrat"/>
          <w:b/>
          <w:i w:val="0"/>
          <w:color w:val="102A43"/>
          <w:sz w:val="34"/>
        </w:rPr>
        <w:t>2. Repository map</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1800"/>
        <w:gridCol w:w="3671"/>
        <w:gridCol w:w="4348"/>
      </w:tblGrid>
      <w:tr>
        <w:tc>
          <w:tcPr>
            <w:tcW w:type="dxa" w:w="180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Area</w:t>
            </w:r>
          </w:p>
        </w:tc>
        <w:tc>
          <w:tcPr>
            <w:tcW w:type="dxa" w:w="3671"/>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Paths</w:t>
            </w:r>
          </w:p>
        </w:tc>
        <w:tc>
          <w:tcPr>
            <w:tcW w:type="dxa" w:w="434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Responsibility</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Entry</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index.html</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Development entry point; determines CSS, vendor, and script load order.</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Application shell</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assets/js/app.js; data.js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Boot, shared state, routing, rendering shell, in-memory data shape.</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Feature modules</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assets/js/pages/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One module per user-facing workspace and its interactions.</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 layer</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sharepoint-adapter.js; sharepoint-repo.js; sharepoint-schema.js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REST plumbing, object/list mapping, save semantics, schema/provisioning.</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Packaging</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scripts/build-sharepoint-package.js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Preferred source-to-one-file ship artifact.</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Alternative wrapper</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scripts/build-forge.js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Secondary portable/iframe wrapper; not the ordinary hosted release artifact.</w:t>
            </w:r>
          </w:p>
        </w:tc>
      </w:tr>
    </w:tbl>
    <w:p>
      <w:pPr>
        <w:spacing w:after="40"/>
      </w:pPr>
    </w:p>
    <w:p>
      <w:pPr>
        <w:pStyle w:val="Heading1"/>
      </w:pPr>
      <w:r>
        <w:rPr>
          <w:rFonts w:ascii="Montserrat" w:hAnsi="Montserrat" w:cs="Montserrat" w:eastAsia="Montserrat"/>
          <w:b/>
          <w:i w:val="0"/>
          <w:color w:val="102A43"/>
          <w:sz w:val="34"/>
        </w:rPr>
        <w:t>3. Source loading and application boot</w:t>
      </w:r>
    </w:p>
    <w:p>
      <w:r>
        <w:rPr>
          <w:rFonts w:ascii="Montserrat" w:hAnsi="Montserrat" w:cs="Montserrat" w:eastAsia="Montserrat"/>
          <w:b w:val="0"/>
          <w:i w:val="0"/>
          <w:color w:val="172B4D"/>
          <w:sz w:val="20"/>
        </w:rPr>
        <w:t>The source entry loads vendor libraries first, then configuration and SharePoint code, then data/services, then the shell and page modules. The order is material because the source uses browser globals rather than a module bundler. Do not reorder scripts casually.</w:t>
      </w:r>
    </w:p>
    <w:p>
      <w:pPr>
        <w:pStyle w:val="ListBullet"/>
        <w:spacing w:after="60" w:line="269" w:lineRule="auto"/>
      </w:pPr>
      <w:r>
        <w:rPr>
          <w:rFonts w:ascii="Montserrat" w:hAnsi="Montserrat" w:cs="Montserrat" w:eastAsia="Montserrat"/>
          <w:b w:val="0"/>
          <w:i w:val="0"/>
          <w:color w:val="172B4D"/>
          <w:sz w:val="20"/>
        </w:rPr>
        <w:t>app-config.js supplies site overrides, list prefix, and boot diagnostics.</w:t>
      </w:r>
    </w:p>
    <w:p>
      <w:pPr>
        <w:pStyle w:val="ListBullet"/>
        <w:spacing w:after="60" w:line="269" w:lineRule="auto"/>
      </w:pPr>
      <w:r>
        <w:rPr>
          <w:rFonts w:ascii="Montserrat" w:hAnsi="Montserrat" w:cs="Montserrat" w:eastAsia="Montserrat"/>
          <w:b w:val="0"/>
          <w:i w:val="0"/>
          <w:color w:val="172B4D"/>
          <w:sz w:val="20"/>
        </w:rPr>
        <w:t>sharepoint-adapter.js owns raw SharePoint REST calls, site detection, current-user lookup, request digest handling, and diagnostics.</w:t>
      </w:r>
    </w:p>
    <w:p>
      <w:pPr>
        <w:pStyle w:val="ListBullet"/>
        <w:spacing w:after="60" w:line="269" w:lineRule="auto"/>
      </w:pPr>
      <w:r>
        <w:rPr>
          <w:rFonts w:ascii="Montserrat" w:hAnsi="Montserrat" w:cs="Montserrat" w:eastAsia="Montserrat"/>
          <w:b w:val="0"/>
          <w:i w:val="0"/>
          <w:color w:val="172B4D"/>
          <w:sz w:val="20"/>
        </w:rPr>
        <w:t>sharepoint-schema.js centralizes lists, columns, validation, and setup/provisioning.</w:t>
      </w:r>
    </w:p>
    <w:p>
      <w:pPr>
        <w:pStyle w:val="ListBullet"/>
        <w:spacing w:after="60" w:line="269" w:lineRule="auto"/>
      </w:pPr>
      <w:r>
        <w:rPr>
          <w:rFonts w:ascii="Montserrat" w:hAnsi="Montserrat" w:cs="Montserrat" w:eastAsia="Montserrat"/>
          <w:b w:val="0"/>
          <w:i w:val="0"/>
          <w:color w:val="172B4D"/>
          <w:sz w:val="20"/>
        </w:rPr>
        <w:t>sharepoint-repo.js is the boundary page modules use to save and remove records; page code should not make raw REST calls.</w:t>
      </w:r>
    </w:p>
    <w:p>
      <w:pPr>
        <w:pStyle w:val="ListBullet"/>
        <w:spacing w:after="60" w:line="269" w:lineRule="auto"/>
      </w:pPr>
      <w:r>
        <w:rPr>
          <w:rFonts w:ascii="Montserrat" w:hAnsi="Montserrat" w:cs="Montserrat" w:eastAsia="Montserrat"/>
          <w:b w:val="0"/>
          <w:i w:val="0"/>
          <w:color w:val="172B4D"/>
          <w:sz w:val="20"/>
        </w:rPr>
        <w:t>data.js normalizes the in-memory store; app.js starts boot, maintains shared state, resolves hash routes, renders the shell, and dispatches page renderers.</w:t>
      </w:r>
    </w:p>
    <w:p>
      <w:pPr>
        <w:pStyle w:val="Heading1"/>
      </w:pPr>
      <w:r>
        <w:rPr>
          <w:rFonts w:ascii="Montserrat" w:hAnsi="Montserrat" w:cs="Montserrat" w:eastAsia="Montserrat"/>
          <w:b/>
          <w:i w:val="0"/>
          <w:color w:val="102A43"/>
          <w:sz w:val="34"/>
        </w:rPr>
        <w:t>4. SharePoint integration</w:t>
      </w:r>
    </w:p>
    <w:p>
      <w:r>
        <w:rPr>
          <w:rFonts w:ascii="Montserrat" w:hAnsi="Montserrat" w:cs="Montserrat" w:eastAsia="Montserrat"/>
          <w:b w:val="0"/>
          <w:i w:val="0"/>
          <w:color w:val="172B4D"/>
          <w:sz w:val="20"/>
        </w:rPr>
        <w:t>The adapter uses same-origin fetch calls to /_api/web/... with the visitor’s SharePoint session. Site detection favors the injected SharePoint context, then the configured manual site URL, then a limited origin-based fallback. When no site is detected, the application uses local fallback for UI exercise only; it is not an official shared record.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088"/>
        <w:gridCol w:w="2592"/>
        <w:gridCol w:w="5140"/>
      </w:tblGrid>
      <w:tr>
        <w:tc>
          <w:tcPr>
            <w:tcW w:type="dxa" w:w="208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Responsibility</w:t>
            </w:r>
          </w:p>
        </w:tc>
        <w:tc>
          <w:tcPr>
            <w:tcW w:type="dxa" w:w="259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Where</w:t>
            </w:r>
          </w:p>
        </w:tc>
        <w:tc>
          <w:tcPr>
            <w:tcW w:type="dxa" w:w="514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preserve</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Identity</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Adapter + boot</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Current-user REST identity is merged with page context; do not create a second authentication path.</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Roles</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PULSE App Roles list</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Resolve app roles from the role record; ordinary authorization is not inferred from site membership.</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Schema</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SHAREPOINT_SCHEMA</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Add lists/columns here first; validate/provision through setup instead of ad hoc manual fields.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Persistence</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Repo.save / Repo.remove</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Keep object-to-item mappers and item-to-object mappers symmetric, especially JSON fields.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Errors</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Repository diagnostics</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Persist the last SharePoint failure for recovery screens and capture the live request before changing UI.</w:t>
            </w:r>
          </w:p>
        </w:tc>
      </w:tr>
    </w:tbl>
    <w:p>
      <w:pPr>
        <w:spacing w:after="40"/>
      </w:pPr>
    </w:p>
    <w:p>
      <w:pPr>
        <w:pStyle w:val="Heading1"/>
      </w:pPr>
      <w:r>
        <w:rPr>
          <w:rFonts w:ascii="Montserrat" w:hAnsi="Montserrat" w:cs="Montserrat" w:eastAsia="Montserrat"/>
          <w:b/>
          <w:i w:val="0"/>
          <w:color w:val="102A43"/>
          <w:sz w:val="34"/>
        </w:rPr>
        <w:t>5. Data model and save behavior</w:t>
      </w:r>
    </w:p>
    <w:p>
      <w:r>
        <w:rPr>
          <w:rFonts w:ascii="Montserrat" w:hAnsi="Montserrat" w:cs="Montserrat" w:eastAsia="Montserrat"/>
          <w:b w:val="0"/>
          <w:i w:val="0"/>
          <w:color w:val="172B4D"/>
          <w:sz w:val="20"/>
        </w:rPr>
        <w:t>The application loads list records into an in-memory store. Feature pages operate on those objects and call the repository when a record changes. The repository maps an object to one list item, performs the REST operation, then refreshes or reconciles the local state.</w:t>
      </w:r>
    </w:p>
    <w:p>
      <w:pPr>
        <w:pStyle w:val="Heading2"/>
      </w:pPr>
      <w:r>
        <w:rPr>
          <w:rFonts w:ascii="Montserrat" w:hAnsi="Montserrat" w:cs="Montserrat" w:eastAsia="Montserrat"/>
          <w:b/>
          <w:i w:val="0"/>
          <w:color w:val="246BCE"/>
          <w:sz w:val="25"/>
        </w:rPr>
        <w:t>Write path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455"/>
        <w:gridCol w:w="2455"/>
        <w:gridCol w:w="2455"/>
        <w:gridCol w:w="2455"/>
      </w:tblGrid>
      <w:tr>
        <w:tc>
          <w:tcPr>
            <w:tcW w:type="dxa" w:w="2455"/>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Feature page</w:t>
              <w:br/>
              <w:t>changes object</w:t>
            </w:r>
          </w:p>
        </w:tc>
        <w:tc>
          <w:tcPr>
            <w:tcW w:type="dxa" w:w="2455"/>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Repository maps</w:t>
              <w:br/>
              <w:t>object to fields</w:t>
            </w:r>
          </w:p>
        </w:tc>
        <w:tc>
          <w:tcPr>
            <w:tcW w:type="dxa" w:w="2455"/>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Adapter issues</w:t>
              <w:br/>
              <w:t>same-origin REST</w:t>
            </w:r>
          </w:p>
        </w:tc>
        <w:tc>
          <w:tcPr>
            <w:tcW w:type="dxa" w:w="2455"/>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List item saves</w:t>
              <w:br/>
              <w:t>then state refreshes</w:t>
            </w:r>
          </w:p>
        </w:tc>
      </w:tr>
    </w:tbl>
    <w:p>
      <w:pPr>
        <w:spacing w:after="40"/>
      </w:pPr>
    </w:p>
    <w:p>
      <w:pPr>
        <w:pStyle w:val="ListBullet"/>
        <w:spacing w:after="60" w:line="269" w:lineRule="auto"/>
      </w:pPr>
      <w:r>
        <w:rPr>
          <w:rFonts w:ascii="Montserrat" w:hAnsi="Montserrat" w:cs="Montserrat" w:eastAsia="Montserrat"/>
          <w:b w:val="0"/>
          <w:i w:val="0"/>
          <w:color w:val="172B4D"/>
          <w:sz w:val="20"/>
        </w:rPr>
        <w:t>Project IDs are maintained as a project-code ↔ SharePoint-item map; preserve this when changing project joins.</w:t>
      </w:r>
    </w:p>
    <w:p>
      <w:pPr>
        <w:pStyle w:val="ListBullet"/>
        <w:spacing w:after="60" w:line="269" w:lineRule="auto"/>
      </w:pPr>
      <w:r>
        <w:rPr>
          <w:rFonts w:ascii="Montserrat" w:hAnsi="Montserrat" w:cs="Montserrat" w:eastAsia="Montserrat"/>
          <w:b w:val="0"/>
          <w:i w:val="0"/>
          <w:color w:val="172B4D"/>
          <w:sz w:val="20"/>
        </w:rPr>
        <w:t>Several compound values live in *Json fields. Treat their shape as a compatibility contract: read, write, and live validation must change together.</w:t>
      </w:r>
    </w:p>
    <w:p>
      <w:pPr>
        <w:pStyle w:val="ListBullet"/>
        <w:spacing w:after="60" w:line="269" w:lineRule="auto"/>
      </w:pPr>
      <w:r>
        <w:rPr>
          <w:rFonts w:ascii="Montserrat" w:hAnsi="Montserrat" w:cs="Montserrat" w:eastAsia="Montserrat"/>
          <w:b w:val="0"/>
          <w:i w:val="0"/>
          <w:color w:val="172B4D"/>
          <w:sz w:val="20"/>
        </w:rPr>
        <w:t>Writes are debounced and chained per object; the effective policy is last-write-wins. Avoid parallel UI changes to the same record without deliberate coordination.</w:t>
      </w:r>
    </w:p>
    <w:p>
      <w:pPr>
        <w:pStyle w:val="ListBullet"/>
        <w:spacing w:after="60" w:line="269" w:lineRule="auto"/>
      </w:pPr>
      <w:r>
        <w:rPr>
          <w:rFonts w:ascii="Montserrat" w:hAnsi="Montserrat" w:cs="Montserrat" w:eastAsia="Montserrat"/>
          <w:b w:val="0"/>
          <w:i w:val="0"/>
          <w:color w:val="172B4D"/>
          <w:sz w:val="20"/>
        </w:rPr>
        <w:t>If a record is wrong, inspect the list item, mapper, JSON shape, and cached object before changing the page renderer.</w:t>
      </w:r>
    </w:p>
    <w:p>
      <w:pPr>
        <w:pStyle w:val="Heading1"/>
      </w:pPr>
      <w:r>
        <w:rPr>
          <w:rFonts w:ascii="Montserrat" w:hAnsi="Montserrat" w:cs="Montserrat" w:eastAsia="Montserrat"/>
          <w:b/>
          <w:i w:val="0"/>
          <w:color w:val="102A43"/>
          <w:sz w:val="34"/>
        </w:rPr>
        <w:t>6. Safe code-change workflow</w:t>
      </w:r>
    </w:p>
    <w:p>
      <w:pPr>
        <w:pStyle w:val="ListNumber"/>
        <w:spacing w:after="80" w:line="269" w:lineRule="auto"/>
      </w:pPr>
      <w:r>
        <w:rPr>
          <w:rFonts w:ascii="Montserrat" w:hAnsi="Montserrat" w:cs="Montserrat" w:eastAsia="Montserrat"/>
          <w:b w:val="0"/>
          <w:i w:val="0"/>
          <w:color w:val="172B4D"/>
          <w:sz w:val="20"/>
        </w:rPr>
        <w:t>Locate the page module, related store shape, repository mapper, and schema definition before editing.</w:t>
      </w:r>
    </w:p>
    <w:p>
      <w:pPr>
        <w:pStyle w:val="ListNumber"/>
        <w:spacing w:after="80" w:line="269" w:lineRule="auto"/>
      </w:pPr>
      <w:r>
        <w:rPr>
          <w:rFonts w:ascii="Montserrat" w:hAnsi="Montserrat" w:cs="Montserrat" w:eastAsia="Montserrat"/>
          <w:b w:val="0"/>
          <w:i w:val="0"/>
          <w:color w:val="172B4D"/>
          <w:sz w:val="20"/>
        </w:rPr>
        <w:t>Make the smallest coherent source change. A new field normally requires schema, list mapping, object normalization, UI validation, and live read/write testing.</w:t>
      </w:r>
    </w:p>
    <w:p>
      <w:pPr>
        <w:pStyle w:val="ListNumber"/>
        <w:spacing w:after="80" w:line="269" w:lineRule="auto"/>
      </w:pPr>
      <w:r>
        <w:rPr>
          <w:rFonts w:ascii="Montserrat" w:hAnsi="Montserrat" w:cs="Montserrat" w:eastAsia="Montserrat"/>
          <w:b w:val="0"/>
          <w:i w:val="0"/>
          <w:color w:val="172B4D"/>
          <w:sz w:val="20"/>
        </w:rPr>
        <w:t>Run the unbundled source locally for UI behavior. Local fallback is useful for layout and interaction, not for permission or persistence validation.</w:t>
      </w:r>
    </w:p>
    <w:p>
      <w:pPr>
        <w:pStyle w:val="ListNumber"/>
        <w:spacing w:after="80" w:line="269" w:lineRule="auto"/>
      </w:pPr>
      <w:r>
        <w:rPr>
          <w:rFonts w:ascii="Montserrat" w:hAnsi="Montserrat" w:cs="Montserrat" w:eastAsia="Montserrat"/>
          <w:b w:val="0"/>
          <w:i w:val="0"/>
          <w:color w:val="172B4D"/>
          <w:sz w:val="20"/>
        </w:rPr>
        <w:t>Use a safe SharePoint site to test identity, role resolution, schema validation, list access, and the real persistence path.</w:t>
      </w:r>
    </w:p>
    <w:p>
      <w:pPr>
        <w:pStyle w:val="ListNumber"/>
        <w:spacing w:after="80" w:line="269" w:lineRule="auto"/>
      </w:pPr>
      <w:r>
        <w:rPr>
          <w:rFonts w:ascii="Montserrat" w:hAnsi="Montserrat" w:cs="Montserrat" w:eastAsia="Montserrat"/>
          <w:b w:val="0"/>
          <w:i w:val="0"/>
          <w:color w:val="172B4D"/>
          <w:sz w:val="20"/>
        </w:rPr>
        <w:t>Build a one-file package, upload it, and test the actual hosted page.</w:t>
      </w:r>
    </w:p>
    <w:p>
      <w:pPr>
        <w:pStyle w:val="ListNumber"/>
        <w:spacing w:after="80" w:line="269" w:lineRule="auto"/>
      </w:pPr>
      <w:r>
        <w:rPr>
          <w:rFonts w:ascii="Montserrat" w:hAnsi="Montserrat" w:cs="Montserrat" w:eastAsia="Montserrat"/>
          <w:b w:val="0"/>
          <w:i w:val="0"/>
          <w:color w:val="172B4D"/>
          <w:sz w:val="20"/>
        </w:rPr>
        <w:t>Record the package name, validation evidence, and previous known-good artifact before declaring release complete.</w:t>
      </w:r>
    </w:p>
    <w:p>
      <w:pPr>
        <w:pStyle w:val="Heading1"/>
      </w:pPr>
      <w:r>
        <w:rPr>
          <w:rFonts w:ascii="Montserrat" w:hAnsi="Montserrat" w:cs="Montserrat" w:eastAsia="Montserrat"/>
          <w:b/>
          <w:i w:val="0"/>
          <w:color w:val="102A43"/>
          <w:sz w:val="34"/>
        </w:rPr>
        <w:t>7. Build the shipping file</w:t>
      </w:r>
    </w:p>
    <w:p>
      <w:r>
        <w:rPr>
          <w:rFonts w:ascii="Montserrat" w:hAnsi="Montserrat" w:cs="Montserrat" w:eastAsia="Montserrat"/>
          <w:b w:val="0"/>
          <w:i w:val="0"/>
          <w:color w:val="172B4D"/>
          <w:sz w:val="20"/>
        </w:rPr>
        <w:t>The preferred builder is scripts/build-sharepoint-package.js. It converts the multi-file source tree into the flat HTML file expected by the hosted page.</w:t>
      </w:r>
    </w:p>
    <w:tbl>
      <w:tblPr>
        <w:tblW w:type="auto" w:w="0"/>
        <w:jc w:val="center"/>
        <w:tblLayout w:type="fixed"/>
        <w:tblLook w:firstColumn="1" w:firstRow="1" w:lastColumn="0" w:lastRow="0" w:noHBand="0" w:noVBand="1" w:val="04A0"/>
        <w:tblBorders>
          <w:top w:val="single" w:sz="4" w:color="EAF2FC"/>
          <w:left w:val="single" w:sz="4" w:color="EAF2FC"/>
          <w:bottom w:val="single" w:sz="4" w:color="EAF2FC"/>
          <w:right w:val="single" w:sz="4" w:color="EAF2FC"/>
          <w:insideH w:val="single" w:sz="4" w:color="EAF2FC"/>
          <w:insideV w:val="single" w:sz="4" w:color="EAF2FC"/>
        </w:tblBorders>
      </w:tblPr>
      <w:tblGrid>
        <w:gridCol w:w="9820"/>
      </w:tblGrid>
      <w:tr>
        <w:tc>
          <w:tcPr>
            <w:tcW w:type="dxa" w:w="9820"/>
            <w:shd w:fill="EAF2FC"/>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COMMAND  </w:t>
            </w:r>
            <w:r>
              <w:rPr>
                <w:rFonts w:ascii="Montserrat" w:hAnsi="Montserrat" w:cs="Montserrat" w:eastAsia="Montserrat"/>
                <w:b w:val="0"/>
                <w:i w:val="0"/>
                <w:color w:val="172B4D"/>
                <w:sz w:val="19"/>
              </w:rPr>
              <w:t>node scripts/build-sharepoint-package.js "FS packages/PULSE_v.&lt;YYYY.MM.DD&gt;.html"</w:t>
            </w:r>
          </w:p>
        </w:tc>
      </w:tr>
    </w:tbl>
    <w:p>
      <w:pPr>
        <w:spacing w:after="20"/>
      </w:pP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4104"/>
        <w:gridCol w:w="5760"/>
      </w:tblGrid>
      <w:tr>
        <w:tc>
          <w:tcPr>
            <w:tcW w:type="dxa" w:w="410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Builder action</w:t>
            </w:r>
          </w:p>
        </w:tc>
        <w:tc>
          <w:tcPr>
            <w:tcW w:type="dxa" w:w="576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Why it matters</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Reads index.html</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Preserves the authoritative development dependency order.</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Inlines styles and rewrites CSS URLs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released file carries its CSS, fonts, and image dependencies.</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Inlines scripts and escapes closing script text</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Avoids broken inline script blocks in the generated HTML.</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Strips local cache-busting query strings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Query strings on hosted asset paths can produce silent failures; none must remain in the ship file.</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Embeds selected images as data URIs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package remains self-contained.</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Wraps the presentation library UMD bundle</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Prevents an AMD host from intercepting the browser-global registration.</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Writes a provenance manifest comment</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Hashes and generation time provide release traceability.</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Fails external styles/scripts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 release must not depend on an external runtime resource.</w:t>
            </w:r>
          </w:p>
        </w:tc>
      </w:tr>
    </w:tbl>
    <w:p>
      <w:pPr>
        <w:spacing w:after="40"/>
      </w:pPr>
    </w:p>
    <w:p>
      <w:pPr>
        <w:pStyle w:val="Heading1"/>
      </w:pPr>
      <w:r>
        <w:rPr>
          <w:rFonts w:ascii="Montserrat" w:hAnsi="Montserrat" w:cs="Montserrat" w:eastAsia="Montserrat"/>
          <w:b/>
          <w:i w:val="0"/>
          <w:color w:val="102A43"/>
          <w:sz w:val="34"/>
        </w:rPr>
        <w:t>8. Builder choice and artifact discipline</w:t>
      </w:r>
    </w:p>
    <w:p>
      <w:r>
        <w:rPr>
          <w:rFonts w:ascii="Montserrat" w:hAnsi="Montserrat" w:cs="Montserrat" w:eastAsia="Montserrat"/>
          <w:b w:val="0"/>
          <w:i w:val="0"/>
          <w:color w:val="172B4D"/>
          <w:sz w:val="20"/>
        </w:rPr>
        <w:t>Do not substitute the secondary wrapper builder for an ordinary hosted release. The secondary script creates a heavier iframe/srcdoc-style wrapper for portable distribution. The preferred builder produces the direct flat package used for the normal SharePoint-hosted deployment.</w:t>
      </w:r>
    </w:p>
    <w:p>
      <w:pPr>
        <w:pStyle w:val="ListBullet"/>
        <w:spacing w:after="60" w:line="269" w:lineRule="auto"/>
      </w:pPr>
      <w:r>
        <w:rPr>
          <w:rFonts w:ascii="Montserrat" w:hAnsi="Montserrat" w:cs="Montserrat" w:eastAsia="Montserrat"/>
          <w:b w:val="0"/>
          <w:i w:val="0"/>
          <w:color w:val="172B4D"/>
          <w:sz w:val="20"/>
        </w:rPr>
        <w:t>Package after every source change; there is no automatic deploy or watch path.</w:t>
      </w:r>
    </w:p>
    <w:p>
      <w:pPr>
        <w:pStyle w:val="ListBullet"/>
        <w:spacing w:after="60" w:line="269" w:lineRule="auto"/>
      </w:pPr>
      <w:r>
        <w:rPr>
          <w:rFonts w:ascii="Montserrat" w:hAnsi="Montserrat" w:cs="Montserrat" w:eastAsia="Montserrat"/>
          <w:b w:val="0"/>
          <w:i w:val="0"/>
          <w:color w:val="172B4D"/>
          <w:sz w:val="20"/>
        </w:rPr>
        <w:t>Use a dated package name and retain the prior known-good package as a rollback candidate.</w:t>
      </w:r>
    </w:p>
    <w:p>
      <w:pPr>
        <w:pStyle w:val="ListBullet"/>
        <w:spacing w:after="60" w:line="269" w:lineRule="auto"/>
      </w:pPr>
      <w:r>
        <w:rPr>
          <w:rFonts w:ascii="Montserrat" w:hAnsi="Montserrat" w:cs="Montserrat" w:eastAsia="Montserrat"/>
          <w:b w:val="0"/>
          <w:i w:val="0"/>
          <w:color w:val="172B4D"/>
          <w:sz w:val="20"/>
        </w:rPr>
        <w:t>The embedded manifest generation time is more reliable than a filename alone when confirming provenance.</w:t>
      </w:r>
    </w:p>
    <w:p>
      <w:pPr>
        <w:pStyle w:val="ListBullet"/>
        <w:spacing w:after="60" w:line="269" w:lineRule="auto"/>
      </w:pPr>
      <w:r>
        <w:rPr>
          <w:rFonts w:ascii="Montserrat" w:hAnsi="Montserrat" w:cs="Montserrat" w:eastAsia="Montserrat"/>
          <w:b w:val="0"/>
          <w:i w:val="0"/>
          <w:color w:val="172B4D"/>
          <w:sz w:val="20"/>
        </w:rPr>
        <w:t>Never upload an untested local artifact as the only recovery option.</w:t>
      </w:r>
    </w:p>
    <w:p>
      <w:pPr>
        <w:pStyle w:val="Heading1"/>
      </w:pPr>
      <w:r>
        <w:rPr>
          <w:rFonts w:ascii="Montserrat" w:hAnsi="Montserrat" w:cs="Montserrat" w:eastAsia="Montserrat"/>
          <w:b/>
          <w:i w:val="0"/>
          <w:color w:val="102A43"/>
          <w:sz w:val="34"/>
        </w:rPr>
        <w:t>9. Deployment and acceptance</w:t>
      </w:r>
    </w:p>
    <w:p>
      <w:pPr>
        <w:pStyle w:val="ListNumber"/>
        <w:spacing w:after="80" w:line="269" w:lineRule="auto"/>
      </w:pPr>
      <w:r>
        <w:rPr>
          <w:rFonts w:ascii="Montserrat" w:hAnsi="Montserrat" w:cs="Montserrat" w:eastAsia="Montserrat"/>
          <w:b w:val="0"/>
          <w:i w:val="0"/>
          <w:color w:val="172B4D"/>
          <w:sz w:val="20"/>
        </w:rPr>
        <w:t>Build the package into FS packages with a clear dated name.</w:t>
      </w:r>
    </w:p>
    <w:p>
      <w:pPr>
        <w:pStyle w:val="ListNumber"/>
        <w:spacing w:after="80" w:line="269" w:lineRule="auto"/>
      </w:pPr>
      <w:r>
        <w:rPr>
          <w:rFonts w:ascii="Montserrat" w:hAnsi="Montserrat" w:cs="Montserrat" w:eastAsia="Montserrat"/>
          <w:b w:val="0"/>
          <w:i w:val="0"/>
          <w:color w:val="172B4D"/>
          <w:sz w:val="20"/>
        </w:rPr>
        <w:t>Upload the generated HTML to the document library used by the hosted page.</w:t>
      </w:r>
    </w:p>
    <w:p>
      <w:pPr>
        <w:pStyle w:val="ListNumber"/>
        <w:spacing w:after="80" w:line="269" w:lineRule="auto"/>
      </w:pPr>
      <w:r>
        <w:rPr>
          <w:rFonts w:ascii="Montserrat" w:hAnsi="Montserrat" w:cs="Montserrat" w:eastAsia="Montserrat"/>
          <w:b w:val="0"/>
          <w:i w:val="0"/>
          <w:color w:val="172B4D"/>
          <w:sz w:val="20"/>
        </w:rPr>
        <w:t>Open the real hosted page—not a local tab—and verify initial load, current user, role, navigation, and the affected workflow.</w:t>
      </w:r>
    </w:p>
    <w:p>
      <w:pPr>
        <w:pStyle w:val="ListNumber"/>
        <w:spacing w:after="80" w:line="269" w:lineRule="auto"/>
      </w:pPr>
      <w:r>
        <w:rPr>
          <w:rFonts w:ascii="Montserrat" w:hAnsi="Montserrat" w:cs="Montserrat" w:eastAsia="Montserrat"/>
          <w:b w:val="0"/>
          <w:i w:val="0"/>
          <w:color w:val="172B4D"/>
          <w:sz w:val="20"/>
        </w:rPr>
        <w:t>Validate a real read and write for the changed list or feature. Confirm expected list fields after save.</w:t>
      </w:r>
    </w:p>
    <w:p>
      <w:pPr>
        <w:pStyle w:val="ListNumber"/>
        <w:spacing w:after="80" w:line="269" w:lineRule="auto"/>
      </w:pPr>
      <w:r>
        <w:rPr>
          <w:rFonts w:ascii="Montserrat" w:hAnsi="Montserrat" w:cs="Montserrat" w:eastAsia="Montserrat"/>
          <w:b w:val="0"/>
          <w:i w:val="0"/>
          <w:color w:val="172B4D"/>
          <w:sz w:val="20"/>
        </w:rPr>
        <w:t>Check the browser console and the application diagnostics for errors.</w:t>
      </w:r>
    </w:p>
    <w:p>
      <w:pPr>
        <w:pStyle w:val="ListNumber"/>
        <w:spacing w:after="80" w:line="269" w:lineRule="auto"/>
      </w:pPr>
      <w:r>
        <w:rPr>
          <w:rFonts w:ascii="Montserrat" w:hAnsi="Montserrat" w:cs="Montserrat" w:eastAsia="Montserrat"/>
          <w:b w:val="0"/>
          <w:i w:val="0"/>
          <w:color w:val="172B4D"/>
          <w:sz w:val="20"/>
        </w:rPr>
        <w:t>Retain validation evidence and the prior package. If validation fails, restore the prior package first, then investigate.</w:t>
      </w:r>
    </w:p>
    <w:p>
      <w:pPr>
        <w:pStyle w:val="Heading1"/>
      </w:pPr>
      <w:r>
        <w:rPr>
          <w:rFonts w:ascii="Montserrat" w:hAnsi="Montserrat" w:cs="Montserrat" w:eastAsia="Montserrat"/>
          <w:b/>
          <w:i w:val="0"/>
          <w:color w:val="102A43"/>
          <w:sz w:val="34"/>
        </w:rPr>
        <w:t>10. Troubleshooting playbook</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1872"/>
        <w:gridCol w:w="3744"/>
        <w:gridCol w:w="4248"/>
      </w:tblGrid>
      <w:tr>
        <w:tc>
          <w:tcPr>
            <w:tcW w:type="dxa" w:w="187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Symptom</w:t>
            </w:r>
          </w:p>
        </w:tc>
        <w:tc>
          <w:tcPr>
            <w:tcW w:type="dxa" w:w="374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First inspection</w:t>
            </w:r>
          </w:p>
        </w:tc>
        <w:tc>
          <w:tcPr>
            <w:tcW w:type="dxa" w:w="424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Safe response</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Blank or partial app</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Hosted page, console, generated package, asset query strings</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Rebuild with the preferred builder; verify the package has no external runtime dependency.</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Wrong role or no admin access</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Current-user REST, detected site, role list record</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Fix the active role record or site configuration; do not assume site membership grants the app role.</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Save fails</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Logs, permissions, list schema, mapper, request payload</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Validate the live REST response and field mapping before changing the screen.</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Data appears wrong</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List item, JSON shape, mapper pair, local cache</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Correct the data boundary coherently and run read/write validation.</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Release-only defect</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Actual hosted page and prior package</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Rollback to the known-good package, capture evidence, then isolate the source change.</w:t>
            </w:r>
          </w:p>
        </w:tc>
      </w:tr>
    </w:tbl>
    <w:p>
      <w:pPr>
        <w:spacing w:after="40"/>
      </w:pPr>
    </w:p>
    <w:p>
      <w:pPr>
        <w:pStyle w:val="Heading1"/>
      </w:pPr>
      <w:r>
        <w:rPr>
          <w:rFonts w:ascii="Montserrat" w:hAnsi="Montserrat" w:cs="Montserrat" w:eastAsia="Montserrat"/>
          <w:b/>
          <w:i w:val="0"/>
          <w:color w:val="102A43"/>
          <w:sz w:val="34"/>
        </w:rPr>
        <w:t>11. Developer handoff checklist</w:t>
      </w:r>
    </w:p>
    <w:p>
      <w:pPr>
        <w:pStyle w:val="ListBullet"/>
        <w:spacing w:after="60" w:line="269" w:lineRule="auto"/>
      </w:pPr>
      <w:r>
        <w:rPr>
          <w:rFonts w:ascii="Montserrat" w:hAnsi="Montserrat" w:cs="Montserrat" w:eastAsia="Montserrat"/>
          <w:b w:val="0"/>
          <w:i w:val="0"/>
          <w:color w:val="172B4D"/>
          <w:sz w:val="20"/>
        </w:rPr>
        <w:t>Understand the one-file hosted runtime and its no-backend/no-CDN constraints.</w:t>
      </w:r>
    </w:p>
    <w:p>
      <w:pPr>
        <w:pStyle w:val="ListBullet"/>
        <w:spacing w:after="60" w:line="269" w:lineRule="auto"/>
      </w:pPr>
      <w:r>
        <w:rPr>
          <w:rFonts w:ascii="Montserrat" w:hAnsi="Montserrat" w:cs="Montserrat" w:eastAsia="Montserrat"/>
          <w:b w:val="0"/>
          <w:i w:val="0"/>
          <w:color w:val="172B4D"/>
          <w:sz w:val="20"/>
        </w:rPr>
        <w:t>Trace each changed feature from page module to store, mapper, schema, and live list.</w:t>
      </w:r>
    </w:p>
    <w:p>
      <w:pPr>
        <w:pStyle w:val="ListBullet"/>
        <w:spacing w:after="60" w:line="269" w:lineRule="auto"/>
      </w:pPr>
      <w:r>
        <w:rPr>
          <w:rFonts w:ascii="Montserrat" w:hAnsi="Montserrat" w:cs="Montserrat" w:eastAsia="Montserrat"/>
          <w:b w:val="0"/>
          <w:i w:val="0"/>
          <w:color w:val="172B4D"/>
          <w:sz w:val="20"/>
        </w:rPr>
        <w:t>Use the preferred package builder for the normal release path.</w:t>
      </w:r>
    </w:p>
    <w:p>
      <w:pPr>
        <w:pStyle w:val="ListBullet"/>
        <w:spacing w:after="60" w:line="269" w:lineRule="auto"/>
      </w:pPr>
      <w:r>
        <w:rPr>
          <w:rFonts w:ascii="Montserrat" w:hAnsi="Montserrat" w:cs="Montserrat" w:eastAsia="Montserrat"/>
          <w:b w:val="0"/>
          <w:i w:val="0"/>
          <w:color w:val="172B4D"/>
          <w:sz w:val="20"/>
        </w:rPr>
        <w:t>Validate in a safe SharePoint environment and then in the actual hosted page.</w:t>
      </w:r>
    </w:p>
    <w:p>
      <w:pPr>
        <w:pStyle w:val="ListBullet"/>
        <w:spacing w:after="60" w:line="269" w:lineRule="auto"/>
      </w:pPr>
      <w:r>
        <w:rPr>
          <w:rFonts w:ascii="Montserrat" w:hAnsi="Montserrat" w:cs="Montserrat" w:eastAsia="Montserrat"/>
          <w:b w:val="0"/>
          <w:i w:val="0"/>
          <w:color w:val="172B4D"/>
          <w:sz w:val="20"/>
        </w:rPr>
        <w:t>Keep a known-good package and record release evidence for every production change.</w:t>
      </w:r>
    </w:p>
    <w:sectPr w:rsidR="00FC693F" w:rsidRPr="0006063C" w:rsidSect="00034616">
      <w:headerReference w:type="default" r:id="rId9"/>
      <w:footerReference w:type="default" r:id="rId10"/>
      <w:pgSz w:w="12240" w:h="15840"/>
      <w:pgMar w:top="1123" w:right="1181" w:bottom="1123"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E6C84"/>
        <w:sz w:val="16"/>
      </w:rPr>
      <w:t xml:space="preserve">PULSE  •  INTERNAL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ontserrat" w:hAnsi="Montserrat" w:cs="Montserrat" w:eastAsia="Montserrat"/>
        <w:b/>
        <w:i w:val="0"/>
        <w:color w:val="5E6C84"/>
        <w:sz w:val="16"/>
      </w:rPr>
      <w:t>PULSE  /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s="Montserrat" w:eastAsia="Montserrat"/>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cstheme="majorBidi" w:ascii="Montserrat" w:hAnsi="Montserrat" w:cs="Montserrat" w:eastAsia="Montserrat"/>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Montserrat" w:hAnsi="Montserrat" w:cs="Montserrat" w:eastAsia="Montserrat"/>
      <w:b/>
      <w:bCs/>
      <w:color w:val="246BC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heme="majorBidi" w:ascii="Montserrat" w:hAnsi="Montserrat" w:cs="Montserrat" w:eastAsia="Montserrat"/>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Montserrat"/>
        <ns0:ea typeface="Montserrat"/>
        <ns0:cs typeface="Montserrat"/>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Montserrat"/>
        <ns0:ea typeface="Montserrat"/>
        <ns0:cs typeface="Montserrat"/>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