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left"/>
      </w:pPr>
      <w:r>
        <w:drawing>
          <wp:inline xmlns:a="http://schemas.openxmlformats.org/drawingml/2006/main" xmlns:pic="http://schemas.openxmlformats.org/drawingml/2006/picture">
            <wp:extent cx="1554480" cy="646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SE_logo_black_transparent_4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64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 w:after="160"/>
      </w:pPr>
      <w:r>
        <w:rPr>
          <w:rFonts w:ascii="Montserrat" w:hAnsi="Montserrat" w:cs="Montserrat" w:eastAsia="Montserrat"/>
          <w:b/>
          <w:i w:val="0"/>
          <w:color w:val="246BCE"/>
          <w:sz w:val="16"/>
        </w:rPr>
        <w:t>DOCUMENTATION SERIES</w:t>
      </w:r>
    </w:p>
    <w:p>
      <w:pPr>
        <w:spacing w:after="200"/>
      </w:pPr>
      <w:r>
        <w:rPr>
          <w:rFonts w:ascii="Montserrat" w:hAnsi="Montserrat" w:cs="Montserrat" w:eastAsia="Montserrat"/>
          <w:b/>
          <w:i w:val="0"/>
          <w:color w:val="102A43"/>
          <w:sz w:val="56"/>
        </w:rPr>
        <w:t>User Guide</w:t>
      </w:r>
    </w:p>
    <w:p>
      <w:pPr>
        <w:spacing w:after="440"/>
      </w:pPr>
      <w:r>
        <w:rPr>
          <w:rFonts w:ascii="Montserrat" w:hAnsi="Montserrat" w:cs="Montserrat" w:eastAsia="Montserrat"/>
          <w:b w:val="0"/>
          <w:i w:val="0"/>
          <w:color w:val="5E6C84"/>
          <w:sz w:val="26"/>
        </w:rPr>
        <w:t>The practical path through daily work, project delivery, meetings, travel, and reviews.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EF4FB"/>
          <w:left w:val="single" w:sz="4" w:color="EEF4FB"/>
          <w:bottom w:val="single" w:sz="4" w:color="EEF4FB"/>
          <w:right w:val="single" w:sz="4" w:color="EEF4FB"/>
          <w:insideH w:val="single" w:sz="4" w:color="EEF4FB"/>
          <w:insideV w:val="single" w:sz="4" w:color="EEF4FB"/>
        </w:tblBorders>
      </w:tblPr>
      <w:tblGrid>
        <w:gridCol w:w="9820"/>
      </w:tblGrid>
      <w:tr>
        <w:tc>
          <w:tcPr>
            <w:tcW w:type="dxa" w:w="9820"/>
            <w:shd w:fill="EEF4FB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246BCE"/>
                <w:sz w:val="16"/>
              </w:rPr>
              <w:t xml:space="preserve">PURPOSE  </w:t>
            </w: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9"/>
              </w:rPr>
              <w:t>Use this guide as a quick working reference. It explains where to act, what creates an official record, and when to request help.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910"/>
        <w:gridCol w:w="4910"/>
      </w:tblGrid>
      <w:tr>
        <w:tc>
          <w:tcPr>
            <w:tcW w:type="dxa" w:w="4910"/>
            <w:shd w:fill="F7F9F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5E6C84"/>
                <w:sz w:val="15"/>
              </w:rPr>
              <w:t>AUDIENCE</w:t>
              <w:br/>
            </w: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>Authorized users</w:t>
            </w:r>
          </w:p>
        </w:tc>
        <w:tc>
          <w:tcPr>
            <w:tcW w:type="dxa" w:w="4910"/>
            <w:shd w:fill="F7F9F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5E6C84"/>
                <w:sz w:val="15"/>
              </w:rPr>
              <w:t>STATUS</w:t>
              <w:br/>
            </w: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>Final delivery</w:t>
            </w:r>
          </w:p>
        </w:tc>
      </w:tr>
      <w:tr>
        <w:tc>
          <w:tcPr>
            <w:tcW w:type="dxa" w:w="4910"/>
            <w:shd w:fill="F7F9F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5E6C84"/>
                <w:sz w:val="15"/>
              </w:rPr>
              <w:t>VERSION</w:t>
              <w:br/>
            </w: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>2026.07</w:t>
            </w:r>
          </w:p>
        </w:tc>
        <w:tc>
          <w:tcPr>
            <w:tcW w:type="dxa" w:w="4910"/>
            <w:shd w:fill="F7F9F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5E6C84"/>
                <w:sz w:val="15"/>
              </w:rPr>
              <w:t>REVIEW</w:t>
              <w:br/>
            </w: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>After a material change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ontserrat" w:hAnsi="Montserrat" w:cs="Montserrat" w:eastAsia="Montserrat"/>
          <w:b/>
          <w:i w:val="0"/>
          <w:color w:val="102A43"/>
          <w:sz w:val="34"/>
        </w:rPr>
        <w:t>1. Begin each work session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54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54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ontserrat" w:hAnsi="Montserrat" w:cs="Montserrat" w:eastAsia="Montserrat"/>
          <w:b w:val="0"/>
          <w:i w:val="0"/>
          <w:color w:val="5E6C84"/>
          <w:sz w:val="17"/>
        </w:rPr>
        <w:t>Dashboard — Start-of-session attention items.</w:t>
      </w:r>
    </w:p>
    <w:p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Open PULSE from the approved SharePoint page. Your existing SharePoint session establishes your access; there is no separate PULSE password.</w:t>
      </w:r>
    </w:p>
    <w:p>
      <w:pPr>
        <w:pStyle w:val="Heading2"/>
      </w:pPr>
      <w:r>
        <w:rPr>
          <w:rFonts w:ascii="Montserrat" w:hAnsi="Montserrat" w:cs="Montserrat" w:eastAsia="Montserrat"/>
          <w:b/>
          <w:i w:val="0"/>
          <w:color w:val="246BCE"/>
          <w:sz w:val="25"/>
        </w:rPr>
        <w:t>Your opening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455"/>
        <w:gridCol w:w="2455"/>
        <w:gridCol w:w="2455"/>
        <w:gridCol w:w="2455"/>
      </w:tblGrid>
      <w:tr>
        <w:tc>
          <w:tcPr>
            <w:tcW w:type="dxa" w:w="2455"/>
            <w:shd w:fill="EEF4FB"/>
            <w:tcMar>
              <w:top w:w="145" w:type="dxa"/>
              <w:start w:w="110" w:type="dxa"/>
              <w:bottom w:w="14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olor w:val="102A43"/>
                <w:sz w:val="16"/>
              </w:rPr>
              <w:t>Confirm name</w:t>
              <w:br/>
              <w:t>and role</w:t>
            </w:r>
          </w:p>
        </w:tc>
        <w:tc>
          <w:tcPr>
            <w:tcW w:type="dxa" w:w="2455"/>
            <w:shd w:fill="E2ECF9"/>
            <w:tcMar>
              <w:top w:w="145" w:type="dxa"/>
              <w:start w:w="110" w:type="dxa"/>
              <w:bottom w:w="14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olor w:val="102A43"/>
                <w:sz w:val="16"/>
              </w:rPr>
              <w:t>Review attention</w:t>
              <w:br/>
              <w:t>items</w:t>
            </w:r>
          </w:p>
        </w:tc>
        <w:tc>
          <w:tcPr>
            <w:tcW w:type="dxa" w:w="2455"/>
            <w:shd w:fill="EEF4FB"/>
            <w:tcMar>
              <w:top w:w="145" w:type="dxa"/>
              <w:start w:w="110" w:type="dxa"/>
              <w:bottom w:w="14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olor w:val="102A43"/>
                <w:sz w:val="16"/>
              </w:rPr>
              <w:t>Open My Work</w:t>
              <w:br/>
              <w:t>and priorities</w:t>
            </w:r>
          </w:p>
        </w:tc>
        <w:tc>
          <w:tcPr>
            <w:tcW w:type="dxa" w:w="2455"/>
            <w:shd w:fill="E2ECF9"/>
            <w:tcMar>
              <w:top w:w="145" w:type="dxa"/>
              <w:start w:w="110" w:type="dxa"/>
              <w:bottom w:w="14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olor w:val="102A43"/>
                <w:sz w:val="16"/>
              </w:rPr>
              <w:t>Act, assign,</w:t>
              <w:br/>
              <w:t>or schedule</w:t>
            </w:r>
          </w:p>
        </w:tc>
      </w:tr>
    </w:tbl>
    <w:p>
      <w:pPr>
        <w:spacing w:after="40"/>
      </w:pPr>
    </w:p>
    <w:p>
      <w:pPr>
        <w:pStyle w:val="ListBullet"/>
        <w:spacing w:after="6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Use Dashboard as the start-of-session checkpoint.</w:t>
      </w:r>
    </w:p>
    <w:p>
      <w:pPr>
        <w:pStyle w:val="ListBullet"/>
        <w:spacing w:after="6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Use Overview → My for assigned work and Overview → Team for the portfolio-level summary.</w:t>
      </w:r>
    </w:p>
    <w:p>
      <w:pPr>
        <w:pStyle w:val="ListBullet"/>
        <w:spacing w:after="6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Use the bell and user menu for attention items and notification preferences.</w:t>
      </w:r>
    </w:p>
    <w:p>
      <w:pPr>
        <w:pStyle w:val="ListBullet"/>
        <w:spacing w:after="6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If the application opens outside SharePoint, local fallback is non-persistent. Do not treat that data as an official record.</w:t>
      </w:r>
    </w:p>
    <w:p>
      <w:pPr>
        <w:pStyle w:val="Heading1"/>
      </w:pPr>
      <w:r>
        <w:rPr>
          <w:rFonts w:ascii="Montserrat" w:hAnsi="Montserrat" w:cs="Montserrat" w:eastAsia="Montserrat"/>
          <w:b/>
          <w:i w:val="0"/>
          <w:color w:val="102A43"/>
          <w:sz w:val="34"/>
        </w:rPr>
        <w:t>2. Find the right workspace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707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-curr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07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ontserrat" w:hAnsi="Montserrat" w:cs="Montserrat" w:eastAsia="Montserrat"/>
          <w:b w:val="0"/>
          <w:i w:val="0"/>
          <w:color w:val="5E6C84"/>
          <w:sz w:val="17"/>
        </w:rPr>
        <w:t>Overview — Live portfolio summary.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0EA"/>
          <w:left w:val="single" w:sz="6" w:color="D7E0EA"/>
          <w:bottom w:val="single" w:sz="6" w:color="D7E0EA"/>
          <w:right w:val="single" w:sz="6" w:color="D7E0EA"/>
          <w:insideH w:val="single" w:sz="6" w:color="D7E0EA"/>
          <w:insideV w:val="single" w:sz="6" w:color="D7E0EA"/>
        </w:tblBorders>
      </w:tblPr>
      <w:tblGrid>
        <w:gridCol w:w="1944"/>
        <w:gridCol w:w="2088"/>
        <w:gridCol w:w="5788"/>
      </w:tblGrid>
      <w:tr>
        <w:tc>
          <w:tcPr>
            <w:tcW w:type="dxa" w:w="1944"/>
            <w:shd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>Need</w:t>
            </w:r>
          </w:p>
        </w:tc>
        <w:tc>
          <w:tcPr>
            <w:tcW w:type="dxa" w:w="2088"/>
            <w:shd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>Use</w:t>
            </w:r>
          </w:p>
        </w:tc>
        <w:tc>
          <w:tcPr>
            <w:tcW w:type="dxa" w:w="5788"/>
            <w:shd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>What to do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Portfolio health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Overview</w:t>
            </w:r>
          </w:p>
        </w:tc>
        <w:tc>
          <w:tcPr>
            <w:tcW w:type="dxa" w:w="57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Read the summary; make edits in the underlying workspace.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Project delivery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Projects</w:t>
            </w:r>
          </w:p>
        </w:tc>
        <w:tc>
          <w:tcPr>
            <w:tcW w:type="dxa" w:w="57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Maintain scope, roles, dates, tracker work, risks, and project context.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Meeting decisions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Weekly Meeting</w:t>
            </w:r>
          </w:p>
        </w:tc>
        <w:tc>
          <w:tcPr>
            <w:tcW w:type="dxa" w:w="57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Capture decisions and convert follow-ups into owned actions.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Travel request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Travel</w:t>
            </w:r>
          </w:p>
        </w:tc>
        <w:tc>
          <w:tcPr>
            <w:tcW w:type="dxa" w:w="57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Create, submit, monitor, and update the request.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Formal concurrence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Document Review</w:t>
            </w:r>
          </w:p>
        </w:tc>
        <w:tc>
          <w:tcPr>
            <w:tcW w:type="dxa" w:w="57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Route the correct revision to named reviewers and preserve history.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ontserrat" w:hAnsi="Montserrat" w:cs="Montserrat" w:eastAsia="Montserrat"/>
          <w:b/>
          <w:i w:val="0"/>
          <w:color w:val="102A43"/>
          <w:sz w:val="34"/>
        </w:rPr>
        <w:t>3. Maintain project work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ject-tracker-curr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ontserrat" w:hAnsi="Montserrat" w:cs="Montserrat" w:eastAsia="Montserrat"/>
          <w:b w:val="0"/>
          <w:i w:val="0"/>
          <w:color w:val="5E6C84"/>
          <w:sz w:val="17"/>
        </w:rPr>
        <w:t>Project Tracker — Record actionable dates and health.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Open Projects and select the required project.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Confirm project health, dates, lifecycle details, and named roles before changing records.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Create or update tracker work with an owner, practical date, status, and clear execution context.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Use Blocked only when work cannot proceed. State the dependency and raise the recovery action in the appropriate meeting.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EF4FB"/>
          <w:left w:val="single" w:sz="4" w:color="EEF4FB"/>
          <w:bottom w:val="single" w:sz="4" w:color="EEF4FB"/>
          <w:right w:val="single" w:sz="4" w:color="EEF4FB"/>
          <w:insideH w:val="single" w:sz="4" w:color="EEF4FB"/>
          <w:insideV w:val="single" w:sz="4" w:color="EEF4FB"/>
        </w:tblBorders>
      </w:tblPr>
      <w:tblGrid>
        <w:gridCol w:w="9820"/>
      </w:tblGrid>
      <w:tr>
        <w:tc>
          <w:tcPr>
            <w:tcW w:type="dxa" w:w="9820"/>
            <w:shd w:fill="EEF4FB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246BCE"/>
                <w:sz w:val="16"/>
              </w:rPr>
              <w:t xml:space="preserve">WORKING RULE  </w:t>
            </w: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9"/>
              </w:rPr>
              <w:t>Boards and checklists help visualize a workflow. The tracker is the authoritative work list for ownership, dates, and portfolio health.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ontserrat" w:hAnsi="Montserrat" w:cs="Montserrat" w:eastAsia="Montserrat"/>
          <w:b/>
          <w:i w:val="0"/>
          <w:color w:val="102A43"/>
          <w:sz w:val="34"/>
        </w:rPr>
        <w:t>4. Run a meeting that creates follow-through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eekly-meeting-curr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ontserrat" w:hAnsi="Montserrat" w:cs="Montserrat" w:eastAsia="Montserrat"/>
          <w:b w:val="0"/>
          <w:i w:val="0"/>
          <w:color w:val="5E6C84"/>
          <w:sz w:val="17"/>
        </w:rPr>
        <w:t>Weekly Meeting — Decisions and carry-forward actions.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Confirm the meeting scope and participant roster.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Review prior actions, priorities, and blocked work.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Capture material decisions and discussion notes.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Create or update named tracker actions before closing the meeting.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Verify each action has an owner and date in the appropriate tracker.</w:t>
      </w:r>
    </w:p>
    <w:p>
      <w:pPr>
        <w:pStyle w:val="Heading1"/>
      </w:pPr>
      <w:r>
        <w:rPr>
          <w:rFonts w:ascii="Montserrat" w:hAnsi="Montserrat" w:cs="Montserrat" w:eastAsia="Montserrat"/>
          <w:b/>
          <w:i w:val="0"/>
          <w:color w:val="102A43"/>
          <w:sz w:val="34"/>
        </w:rPr>
        <w:t>5. Submit travel and route reviews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ravel-request-curr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ontserrat" w:hAnsi="Montserrat" w:cs="Montserrat" w:eastAsia="Montserrat"/>
          <w:b w:val="0"/>
          <w:i w:val="0"/>
          <w:color w:val="5E6C84"/>
          <w:sz w:val="17"/>
        </w:rPr>
        <w:t>Travel Request — Enter required details.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0EA"/>
          <w:left w:val="single" w:sz="6" w:color="D7E0EA"/>
          <w:bottom w:val="single" w:sz="6" w:color="D7E0EA"/>
          <w:right w:val="single" w:sz="6" w:color="D7E0EA"/>
          <w:insideH w:val="single" w:sz="6" w:color="D7E0EA"/>
          <w:insideV w:val="single" w:sz="6" w:color="D7E0EA"/>
        </w:tblBorders>
      </w:tblPr>
      <w:tblGrid>
        <w:gridCol w:w="1800"/>
        <w:gridCol w:w="4003"/>
        <w:gridCol w:w="4017"/>
      </w:tblGrid>
      <w:tr>
        <w:tc>
          <w:tcPr>
            <w:tcW w:type="dxa" w:w="1800"/>
            <w:shd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>Workflow</w:t>
            </w:r>
          </w:p>
        </w:tc>
        <w:tc>
          <w:tcPr>
            <w:tcW w:type="dxa" w:w="4003"/>
            <w:shd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>Before submission</w:t>
            </w:r>
          </w:p>
        </w:tc>
        <w:tc>
          <w:tcPr>
            <w:tcW w:type="dxa" w:w="4017"/>
            <w:shd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>After submission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Travel</w:t>
            </w:r>
          </w:p>
        </w:tc>
        <w:tc>
          <w:tcPr>
            <w:tcW w:type="dxa" w:w="400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Enter accurate purpose, dates, travelers, location, estimates, and support detail.</w:t>
            </w:r>
          </w:p>
        </w:tc>
        <w:tc>
          <w:tcPr>
            <w:tcW w:type="dxa" w:w="401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Monitor status, update material changes, and complete any required debrief.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Document Review</w:t>
            </w:r>
          </w:p>
        </w:tc>
        <w:tc>
          <w:tcPr>
            <w:tcW w:type="dxa" w:w="400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Use the current revision, due date, context, and required reviewers.</w:t>
            </w:r>
          </w:p>
        </w:tc>
        <w:tc>
          <w:tcPr>
            <w:tcW w:type="dxa" w:w="401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Monitor decisions and feedback; preserve the revision trail before advancing.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ocument-review-curr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ontserrat" w:hAnsi="Montserrat" w:cs="Montserrat" w:eastAsia="Montserrat"/>
          <w:b w:val="0"/>
          <w:i w:val="0"/>
          <w:color w:val="5E6C84"/>
          <w:sz w:val="17"/>
        </w:rPr>
        <w:t>Document Review — Track formal concurrence.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5E5"/>
          <w:left w:val="single" w:sz="4" w:color="FFF5E5"/>
          <w:bottom w:val="single" w:sz="4" w:color="FFF5E5"/>
          <w:right w:val="single" w:sz="4" w:color="FFF5E5"/>
          <w:insideH w:val="single" w:sz="4" w:color="FFF5E5"/>
          <w:insideV w:val="single" w:sz="4" w:color="FFF5E5"/>
        </w:tblBorders>
      </w:tblPr>
      <w:tblGrid>
        <w:gridCol w:w="9820"/>
      </w:tblGrid>
      <w:tr>
        <w:tc>
          <w:tcPr>
            <w:tcW w:type="dxa" w:w="9820"/>
            <w:shd w:fill="FFF5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246BCE"/>
                <w:sz w:val="16"/>
              </w:rPr>
              <w:t xml:space="preserve">IMPORTANT  </w:t>
            </w: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9"/>
              </w:rPr>
              <w:t>Calendar visibility is not authorization. A file stored in a project library is not a formal concurrence record.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ontserrat" w:hAnsi="Montserrat" w:cs="Montserrat" w:eastAsia="Montserrat"/>
          <w:b/>
          <w:i w:val="0"/>
          <w:color w:val="102A43"/>
          <w:sz w:val="34"/>
        </w:rPr>
        <w:t>6. Get help safely</w:t>
      </w:r>
    </w:p>
    <w:p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For a defect, capture the time, SharePoint page or route, affected record identifier, your role, expected result, actual result, and an approved screenshot. Refresh first and confirm you are in the approved SharePoint-hosted version. Do not alter roles or schema unless you are authorized to administer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ontserrat" w:hAnsi="Montserrat" w:cs="Montserrat" w:eastAsia="Montserrat"/>
        <w:b w:val="0"/>
        <w:i w:val="0"/>
        <w:color w:val="5E6C84"/>
        <w:sz w:val="16"/>
      </w:rPr>
      <w:t xml:space="preserve">PULSE  •  INTERNAL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ontserrat" w:hAnsi="Montserrat" w:cs="Montserrat" w:eastAsia="Montserrat"/>
        <w:b/>
        <w:i w:val="0"/>
        <w:color w:val="5E6C84"/>
        <w:sz w:val="16"/>
      </w:rPr>
      <w:t>PULSE  /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ontserrat" w:hAnsi="Montserrat" w:cs="Montserrat" w:eastAsia="Montserrat"/>
      <w:color w:val="172B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cstheme="majorBidi" w:ascii="Montserrat" w:hAnsi="Montserrat" w:cs="Montserrat" w:eastAsia="Montserrat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cstheme="majorBidi" w:ascii="Montserrat" w:hAnsi="Montserrat" w:cs="Montserrat" w:eastAsia="Montserrat"/>
      <w:b/>
      <w:bCs/>
      <w:color w:val="246BC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cstheme="majorBidi" w:ascii="Montserrat" w:hAnsi="Montserrat" w:cs="Montserrat" w:eastAsia="Montserrat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Montserrat" w:hAnsi="Montserrat" w:cs="Montserrat" w:eastAsia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Montserrat" w:hAnsi="Montserrat" w:cs="Montserrat" w:eastAsia="Montserrat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 w:cs="Montserrat" w:eastAsia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 w:cs="Montserrat" w:eastAsia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ontserrat" w:hAnsi="Montserrat" w:cs="Montserrat" w:eastAsia="Montserrat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Montserrat"/>
        <ns0:ea typeface="Montserrat"/>
        <ns0:cs typeface="Montserrat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Montserrat"/>
        <ns0:ea typeface="Montserrat"/>
        <ns0:cs typeface="Montserrat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