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left"/>
      </w:pPr>
      <w:r>
        <w:drawing>
          <wp:inline xmlns:a="http://schemas.openxmlformats.org/drawingml/2006/main" xmlns:pic="http://schemas.openxmlformats.org/drawingml/2006/picture">
            <wp:extent cx="1554480" cy="646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E_logo_black_transparent_4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64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 w:after="160"/>
      </w:pPr>
      <w:r>
        <w:rPr>
          <w:rFonts w:ascii="Montserrat" w:hAnsi="Montserrat" w:cs="Montserrat" w:eastAsia="Montserrat"/>
          <w:b/>
          <w:i w:val="0"/>
          <w:color w:val="246BCE"/>
          <w:sz w:val="16"/>
        </w:rPr>
        <w:t>DOCUMENTATION SERIES</w:t>
      </w:r>
    </w:p>
    <w:p>
      <w:pPr>
        <w:spacing w:after="200"/>
      </w:pPr>
      <w:r>
        <w:rPr>
          <w:rFonts w:ascii="Montserrat" w:hAnsi="Montserrat" w:cs="Montserrat" w:eastAsia="Montserrat"/>
          <w:b/>
          <w:i w:val="0"/>
          <w:color w:val="102A43"/>
          <w:sz w:val="56"/>
        </w:rPr>
        <w:t>User Guide</w:t>
      </w:r>
    </w:p>
    <w:p>
      <w:pPr>
        <w:spacing w:after="440"/>
      </w:pPr>
      <w:r>
        <w:rPr>
          <w:rFonts w:ascii="Montserrat" w:hAnsi="Montserrat" w:cs="Montserrat" w:eastAsia="Montserrat"/>
          <w:b w:val="0"/>
          <w:i w:val="0"/>
          <w:color w:val="5E6C84"/>
          <w:sz w:val="26"/>
        </w:rPr>
        <w:t>The practical path through daily work, project delivery, meetings, travel, and reviews.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EF4FB"/>
          <w:left w:val="single" w:sz="4" w:color="EEF4FB"/>
          <w:bottom w:val="single" w:sz="4" w:color="EEF4FB"/>
          <w:right w:val="single" w:sz="4" w:color="EEF4FB"/>
          <w:insideH w:val="single" w:sz="4" w:color="EEF4FB"/>
          <w:insideV w:val="single" w:sz="4" w:color="EEF4FB"/>
        </w:tblBorders>
      </w:tblPr>
      <w:tblGrid>
        <w:gridCol w:w="9820"/>
      </w:tblGrid>
      <w:tr>
        <w:tc>
          <w:tcPr>
            <w:tcW w:type="dxa" w:w="9820"/>
            <w:shd w:val="clear" w:fill="EEF4F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246BCE"/>
                <w:sz w:val="16"/>
              </w:rPr>
              <w:t xml:space="preserve">PURPOSE  </w:t>
            </w: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9"/>
              </w:rPr>
              <w:t>Use this guide as a quick working reference. It explains where to act, what creates an official record, and when to request help.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910"/>
        <w:gridCol w:w="4910"/>
      </w:tblGrid>
      <w:tr>
        <w:tc>
          <w:tcPr>
            <w:tcW w:type="dxa" w:w="4910"/>
            <w:shd w:val="clear" w:fill="F7F9F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5E6C84"/>
                <w:sz w:val="15"/>
              </w:rPr>
              <w:t>AUDIENCE</w:t>
              <w:br/>
            </w: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>Authorized users</w:t>
            </w:r>
          </w:p>
        </w:tc>
        <w:tc>
          <w:tcPr>
            <w:tcW w:type="dxa" w:w="4910"/>
            <w:shd w:val="clear" w:fill="F7F9F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5E6C84"/>
                <w:sz w:val="15"/>
              </w:rPr>
              <w:t>STATUS</w:t>
              <w:br/>
            </w: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>Final delivery</w:t>
            </w:r>
          </w:p>
        </w:tc>
      </w:tr>
      <w:tr>
        <w:tc>
          <w:tcPr>
            <w:tcW w:type="dxa" w:w="4910"/>
            <w:shd w:val="clear" w:fill="F7F9F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5E6C84"/>
                <w:sz w:val="15"/>
              </w:rPr>
              <w:t>VERSION</w:t>
              <w:br/>
            </w: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>2026.07</w:t>
            </w:r>
          </w:p>
        </w:tc>
        <w:tc>
          <w:tcPr>
            <w:tcW w:type="dxa" w:w="4910"/>
            <w:shd w:val="clear" w:fill="F7F9F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5E6C84"/>
                <w:sz w:val="15"/>
              </w:rPr>
              <w:t>REVIEW</w:t>
              <w:br/>
            </w: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>Owner: PULSE Administrator. Review after any material change and at least annually.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1. Roles and Access</w:t>
      </w:r>
    </w:p>
    <w:p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 xml:space="preserve">PULSE-IPT uses role-based access. Your role is assigned by a site administrator and determines which workspaces and actions are available to you. Roles are listed below from highest to lowest authority. If you believe your role is incorrect, contact a PULSE Administrator.</w:t>
      </w:r>
    </w:p>
    <w:tbl>
      <w:tblPr>
        <w:tblW w:type="dxa" w:w="9820"/>
        <w:jc w:val="center"/>
        <w:tblBorders>
          <w:top w:val="single" w:sz="6" w:color="D7E0EA"/>
          <w:left w:val="single" w:sz="6" w:color="D7E0EA"/>
          <w:bottom w:val="single" w:sz="6" w:color="D7E0EA"/>
          <w:right w:val="single" w:sz="6" w:color="D7E0EA"/>
          <w:insideH w:val="single" w:sz="6" w:color="D7E0EA"/>
          <w:insideV w:val="single" w:sz="6" w:color="D7E0EA"/>
        </w:tblBorders>
        <w:tblLayout w:type="fixed"/>
      </w:tblPr>
      <w:tblGrid>
        <w:gridCol w:w="2200"/>
        <w:gridCol w:w="7620"/>
      </w:tblGrid>
      <w:tr>
        <w:tc>
          <w:tcPr>
            <w:tcW w:type="dxa" w:w="2200"/>
            <w:shd w:val="clear" w:color="auto"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 xml:space="preserve">Role</w:t>
            </w:r>
          </w:p>
        </w:tc>
        <w:tc>
          <w:tcPr>
            <w:tcW w:type="dxa" w:w="7620"/>
            <w:shd w:val="clear" w:color="auto"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 xml:space="preserve">Primary capabilities</w:t>
            </w:r>
          </w:p>
        </w:tc>
      </w:tr>
      <w:tr>
        <w:tc>
          <w:tcPr>
            <w:tcW w:type="dxa" w:w="2200"/>
            <w:shd w:val="clear" w:color="auto" w:fill="F0F4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 xml:space="preserve">Admin</w:t>
            </w:r>
          </w:p>
        </w:tc>
        <w:tc>
          <w:tcPr>
            <w:tcW w:type="dxa" w:w="7620"/>
            <w:shd w:val="clear" w:color="auto" w:fill="F0F4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8"/>
              </w:rPr>
              <w:t xml:space="preserve">Full application administration, user access, configuration, audit, and system-wide oversight</w:t>
            </w:r>
          </w:p>
        </w:tc>
      </w:tr>
      <w:tr>
        <w:tc>
          <w:tcPr>
            <w:tcW w:type="dxa" w:w="2200"/>
            <w:shd w:val="clear" w:color="auto"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 xml:space="preserve">Manager</w:t>
            </w:r>
          </w:p>
        </w:tc>
        <w:tc>
          <w:tcPr>
            <w:tcW w:type="dxa" w:w="7620"/>
            <w:shd w:val="clear" w:color="auto"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8"/>
              </w:rPr>
              <w:t xml:space="preserve">Team and portfolio visibility, project oversight, assignment review, and operational reporting</w:t>
            </w:r>
          </w:p>
        </w:tc>
      </w:tr>
      <w:tr>
        <w:tc>
          <w:tcPr>
            <w:tcW w:type="dxa" w:w="2200"/>
            <w:shd w:val="clear" w:color="auto" w:fill="F0F4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 xml:space="preserve">Document Admin</w:t>
            </w:r>
          </w:p>
        </w:tc>
        <w:tc>
          <w:tcPr>
            <w:tcW w:type="dxa" w:w="7620"/>
            <w:shd w:val="clear" w:color="auto" w:fill="F0F4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8"/>
              </w:rPr>
              <w:t xml:space="preserve">Document review configuration, reviewer management, workflow oversight, and record maintenance</w:t>
            </w:r>
          </w:p>
        </w:tc>
      </w:tr>
      <w:tr>
        <w:tc>
          <w:tcPr>
            <w:tcW w:type="dxa" w:w="2200"/>
            <w:shd w:val="clear" w:color="auto"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 xml:space="preserve">Finance Admin</w:t>
            </w:r>
          </w:p>
        </w:tc>
        <w:tc>
          <w:tcPr>
            <w:tcW w:type="dxa" w:w="7620"/>
            <w:shd w:val="clear" w:color="auto"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8"/>
              </w:rPr>
              <w:t xml:space="preserve">Travel, funding, cost, and finance-related administrative functions</w:t>
            </w:r>
          </w:p>
        </w:tc>
      </w:tr>
      <w:tr>
        <w:tc>
          <w:tcPr>
            <w:tcW w:type="dxa" w:w="2200"/>
            <w:shd w:val="clear" w:color="auto" w:fill="F0F4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 xml:space="preserve">Member</w:t>
            </w:r>
          </w:p>
        </w:tc>
        <w:tc>
          <w:tcPr>
            <w:tcW w:type="dxa" w:w="7620"/>
            <w:shd w:val="clear" w:color="auto" w:fill="F0F4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8"/>
              </w:rPr>
              <w:t xml:space="preserve">Create and update authorized projects, tasks, meetings, travel requests, and document review records</w:t>
            </w:r>
          </w:p>
        </w:tc>
      </w:tr>
      <w:tr>
        <w:tc>
          <w:tcPr>
            <w:tcW w:type="dxa" w:w="2200"/>
            <w:shd w:val="clear" w:color="auto"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72B4D"/>
                <w:sz w:val="18"/>
              </w:rPr>
              <w:t xml:space="preserve">Viewer</w:t>
            </w:r>
          </w:p>
        </w:tc>
        <w:tc>
          <w:tcPr>
            <w:tcW w:type="dxa" w:w="7620"/>
            <w:shd w:val="clear" w:color="auto"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8"/>
              </w:rPr>
              <w:t xml:space="preserve">Read-only access to authorized information and reports</w:t>
            </w:r>
          </w:p>
        </w:tc>
      </w:tr>
    </w:tbl>
    <w:p>
      <w:r>
        <w:rPr>
          <w:sz w:val="8"/>
        </w:rPr>
        <w:t xml:space="preserve"> </w:t>
      </w: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2. Begin each work session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54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5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Dashboard — Start-of-session attention items.</w:t>
      </w:r>
    </w:p>
    <w:p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Open PULSE from the approved SharePoint page. Your existing SharePoint session establishes your access; there is no separate PULSE password.</w:t>
      </w:r>
    </w:p>
    <w:p>
      <w:pPr>
        <w:pStyle w:val="Heading2"/>
      </w:pPr>
      <w:r>
        <w:rPr>
          <w:rFonts w:ascii="Montserrat" w:hAnsi="Montserrat" w:cs="Montserrat" w:eastAsia="Montserrat"/>
          <w:b/>
          <w:i w:val="0"/>
          <w:color w:val="246BCE"/>
          <w:sz w:val="25"/>
        </w:rPr>
        <w:t>Your opening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455"/>
        <w:gridCol w:w="2455"/>
        <w:gridCol w:w="2455"/>
        <w:gridCol w:w="2455"/>
      </w:tblGrid>
      <w:tr>
        <w:tc>
          <w:tcPr>
            <w:tcW w:type="dxa" w:w="2455"/>
            <w:shd w:val="clear" w:fill="EEF4FB"/>
            <w:tcMar>
              <w:top w:w="145" w:type="dxa"/>
              <w:start w:w="110" w:type="dxa"/>
              <w:bottom w:w="14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olor w:val="102A43"/>
                <w:sz w:val="16"/>
              </w:rPr>
              <w:t>Confirm name</w:t>
              <w:br/>
              <w:t>and role</w:t>
            </w:r>
          </w:p>
        </w:tc>
        <w:tc>
          <w:tcPr>
            <w:tcW w:type="dxa" w:w="2455"/>
            <w:shd w:val="clear" w:fill="E2ECF9"/>
            <w:tcMar>
              <w:top w:w="145" w:type="dxa"/>
              <w:start w:w="110" w:type="dxa"/>
              <w:bottom w:w="14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olor w:val="102A43"/>
                <w:sz w:val="16"/>
              </w:rPr>
              <w:t>Review attention</w:t>
              <w:br/>
              <w:t>items</w:t>
            </w:r>
          </w:p>
        </w:tc>
        <w:tc>
          <w:tcPr>
            <w:tcW w:type="dxa" w:w="2455"/>
            <w:shd w:val="clear" w:fill="EEF4FB"/>
            <w:tcMar>
              <w:top w:w="145" w:type="dxa"/>
              <w:start w:w="110" w:type="dxa"/>
              <w:bottom w:w="14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olor w:val="102A43"/>
                <w:sz w:val="16"/>
              </w:rPr>
              <w:t>Open My Work</w:t>
              <w:br/>
              <w:t>and priorities</w:t>
            </w:r>
          </w:p>
        </w:tc>
        <w:tc>
          <w:tcPr>
            <w:tcW w:type="dxa" w:w="2455"/>
            <w:shd w:val="clear" w:fill="E2ECF9"/>
            <w:tcMar>
              <w:top w:w="145" w:type="dxa"/>
              <w:start w:w="110" w:type="dxa"/>
              <w:bottom w:w="14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olor w:val="102A43"/>
                <w:sz w:val="16"/>
              </w:rPr>
              <w:t>Act, assign,</w:t>
              <w:br/>
              <w:t>or schedule</w:t>
            </w:r>
          </w:p>
        </w:tc>
      </w:tr>
    </w:tbl>
    <w:p>
      <w:pPr>
        <w:spacing w:after="40"/>
      </w:pPr>
    </w:p>
    <w:p>
      <w:pPr>
        <w:pStyle w:val="ListBullet"/>
        <w:spacing w:after="6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Use Dashboard as the start-of-session checkpoint.</w:t>
      </w:r>
    </w:p>
    <w:p>
      <w:pPr>
        <w:pStyle w:val="ListBullet"/>
        <w:spacing w:after="6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Use Overview → My for assigned work and Overview → Team for the portfolio-level summary.</w:t>
      </w:r>
    </w:p>
    <w:p>
      <w:pPr>
        <w:pStyle w:val="ListBullet"/>
        <w:spacing w:after="6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Use the bell and user menu for attention items and notification preferences.</w:t>
      </w:r>
    </w:p>
    <w:p>
      <w:pPr>
        <w:pStyle w:val="ListBullet"/>
        <w:spacing w:after="6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If the application opens outside SharePoint, local fallback is non-persistent. Do not treat that data as an official record.</w:t>
      </w: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3. Find the right workspace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707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-curr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0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Overview — Live portfolio summary.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A"/>
          <w:left w:val="single" w:sz="6" w:color="D7E0EA"/>
          <w:bottom w:val="single" w:sz="6" w:color="D7E0EA"/>
          <w:right w:val="single" w:sz="6" w:color="D7E0EA"/>
          <w:insideH w:val="single" w:sz="6" w:color="D7E0EA"/>
          <w:insideV w:val="single" w:sz="6" w:color="D7E0EA"/>
        </w:tblBorders>
      </w:tblPr>
      <w:tblGrid>
        <w:gridCol w:w="1944"/>
        <w:gridCol w:w="2088"/>
        <w:gridCol w:w="5788"/>
      </w:tblGrid>
      <w:tr>
        <w:tc>
          <w:tcPr>
            <w:tcW w:type="dxa" w:w="1944"/>
            <w:shd w:val="clear" w:color="auto"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Need</w:t>
            </w:r>
          </w:p>
        </w:tc>
        <w:tc>
          <w:tcPr>
            <w:tcW w:type="dxa" w:w="2088"/>
            <w:shd w:val="clear" w:color="auto"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Use</w:t>
            </w:r>
          </w:p>
        </w:tc>
        <w:tc>
          <w:tcPr>
            <w:tcW w:type="dxa" w:w="5788"/>
            <w:shd w:val="clear" w:color="auto"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What to do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Portfolio health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Overview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Read the summary; make edits in the underlying workspace.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Project delivery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Projects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Maintain scope, roles, dates, tracker work, risks, and project context.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Meeting decisions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Weekly Meeting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Capture decisions and convert follow-ups into owned actions.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Travel request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Travel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Create, submit, monitor, and update the request.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Formal concurrence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Document Review</w:t>
            </w:r>
          </w:p>
        </w:tc>
        <w:tc>
          <w:tcPr>
            <w:tcW w:type="dxa" w:w="57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Route the correct revision to named reviewers and preserve history.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4. Maintain project work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-tracker-cur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Project Tracker — Record actionable dates and health.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Open Projects and select the required project.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Confirm project health, dates, lifecycle details, and named roles before changing records.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Create or update tracker work with an owner, practical date, status, and clear execution context.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Use Blocked only when work cannot proceed. State the dependency and raise the recovery action in the appropriate meeting.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EF4FB"/>
          <w:left w:val="single" w:sz="4" w:color="EEF4FB"/>
          <w:bottom w:val="single" w:sz="4" w:color="EEF4FB"/>
          <w:right w:val="single" w:sz="4" w:color="EEF4FB"/>
          <w:insideH w:val="single" w:sz="4" w:color="EEF4FB"/>
          <w:insideV w:val="single" w:sz="4" w:color="EEF4FB"/>
        </w:tblBorders>
      </w:tblPr>
      <w:tblGrid>
        <w:gridCol w:w="9820"/>
      </w:tblGrid>
      <w:tr>
        <w:tc>
          <w:tcPr>
            <w:tcW w:type="dxa" w:w="9820"/>
            <w:shd w:val="clear" w:fill="EEF4F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246BCE"/>
                <w:sz w:val="16"/>
              </w:rPr>
              <w:t xml:space="preserve">WORKING RULE  </w:t>
            </w: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9"/>
              </w:rPr>
              <w:t>Boards and checklists help visualize a workflow. The tracker is the authoritative work list for ownership, dates, and portfolio health.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5. Run a meeting that creates follow-through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eekly-meeting-cur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Weekly Meeting — Decisions and carry-forward actions.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Confirm the meeting scope and participant roster.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Review prior actions, priorities, and blocked work.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Capture material decisions and discussion notes.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Create or update named tracker actions before closing the meeting.</w:t>
      </w:r>
    </w:p>
    <w:p>
      <w:pPr>
        <w:pStyle w:val="ListNumber"/>
        <w:spacing w:after="80" w:line="269" w:lineRule="auto"/>
      </w:pPr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Verify each action has an owner and date in the appropriate tracker.</w:t>
      </w: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6. Submit travel and route reviews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ravel-request-curr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Travel Request — Enter required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0EA"/>
          <w:left w:val="single" w:sz="6" w:color="D7E0EA"/>
          <w:bottom w:val="single" w:sz="6" w:color="D7E0EA"/>
          <w:right w:val="single" w:sz="6" w:color="D7E0EA"/>
          <w:insideH w:val="single" w:sz="6" w:color="D7E0EA"/>
          <w:insideV w:val="single" w:sz="6" w:color="D7E0EA"/>
        </w:tblBorders>
      </w:tblPr>
      <w:tblGrid>
        <w:gridCol w:w="1800"/>
        <w:gridCol w:w="4003"/>
        <w:gridCol w:w="4017"/>
      </w:tblGrid>
      <w:tr>
        <w:tc>
          <w:tcPr>
            <w:tcW w:type="dxa" w:w="1800"/>
            <w:shd w:val="clear" w:color="auto"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Workflow</w:t>
            </w:r>
          </w:p>
        </w:tc>
        <w:tc>
          <w:tcPr>
            <w:tcW w:type="dxa" w:w="4003"/>
            <w:shd w:val="clear" w:color="auto"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Before submission</w:t>
            </w:r>
          </w:p>
        </w:tc>
        <w:tc>
          <w:tcPr>
            <w:tcW w:type="dxa" w:w="4017"/>
            <w:shd w:val="clear" w:color="auto" w:fill="102A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6"/>
              </w:rPr>
              <w:t>After submission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Travel</w:t>
            </w:r>
          </w:p>
        </w:tc>
        <w:tc>
          <w:tcPr>
            <w:tcW w:type="dxa" w:w="400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Enter accurate purpose, dates, travelers, location, estimates, and support detail.</w:t>
            </w:r>
          </w:p>
        </w:tc>
        <w:tc>
          <w:tcPr>
            <w:tcW w:type="dxa" w:w="401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Monitor status, update material changes, and complete any required debrief.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Document Review</w:t>
            </w:r>
          </w:p>
        </w:tc>
        <w:tc>
          <w:tcPr>
            <w:tcW w:type="dxa" w:w="400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Use the current revision, due date, context, and required reviewers.</w:t>
            </w:r>
          </w:p>
        </w:tc>
        <w:tc>
          <w:tcPr>
            <w:tcW w:type="dxa" w:w="401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7"/>
              </w:rPr>
              <w:t>Monitor decisions and feedback; preserve the revision trail before advancing.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cument-review-curr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ontserrat" w:hAnsi="Montserrat" w:cs="Montserrat" w:eastAsia="Montserrat"/>
          <w:b w:val="0"/>
          <w:i w:val="0"/>
          <w:color w:val="5E6C84"/>
          <w:sz w:val="17"/>
        </w:rPr>
        <w:t>Document Review — Track formal concurrence.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FFF5E5"/>
          <w:left w:val="single" w:sz="4" w:color="FFF5E5"/>
          <w:bottom w:val="single" w:sz="4" w:color="FFF5E5"/>
          <w:right w:val="single" w:sz="4" w:color="FFF5E5"/>
          <w:insideH w:val="single" w:sz="4" w:color="FFF5E5"/>
          <w:insideV w:val="single" w:sz="4" w:color="FFF5E5"/>
        </w:tblBorders>
      </w:tblPr>
      <w:tblGrid>
        <w:gridCol w:w="9820"/>
      </w:tblGrid>
      <w:tr>
        <w:tc>
          <w:tcPr>
            <w:tcW w:type="dxa" w:w="9820"/>
            <w:shd w:val="clear" w:fill="FFF5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246BCE"/>
                <w:sz w:val="16"/>
              </w:rPr>
              <w:t xml:space="preserve">IMPORTANT  </w:t>
            </w:r>
            <w:r>
              <w:rPr>
                <w:rFonts w:ascii="Montserrat" w:hAnsi="Montserrat" w:cs="Montserrat" w:eastAsia="Montserrat"/>
                <w:b w:val="0"/>
                <w:i w:val="0"/>
                <w:color w:val="172B4D"/>
                <w:sz w:val="19"/>
              </w:rPr>
              <w:t>Calendar visibility is not authorization. A file stored in a project library is not a formal concurrence record.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ontserrat" w:hAnsi="Montserrat" w:cs="Montserrat" w:eastAsia="Montserrat"/>
          <w:b/>
          <w:i w:val="0"/>
          <w:color w:val="102A43"/>
          <w:sz w:val="34"/>
        </w:rPr>
        <w:t>7. Get help safely</w:t>
      </w:r>
    </w:p>
    <w:p>
      <w:r>
        <w:rPr>
          <w:rFonts w:ascii="Montserrat" w:hAnsi="Montserrat" w:cs="Montserrat" w:eastAsia="Montserrat"/>
          <w:b w:val="0"/>
          <w:i w:val="0"/>
          <w:color w:val="172B4D"/>
          <w:sz w:val="20"/>
        </w:rPr>
        <w:t>For a defect, capture the time, SharePoint page or route, affected record identifier, your role, expected result, actual result, and an approved screenshot. Refresh first and confirm you are in the approved SharePoint-hosted version. Do not alter roles or schema unless you are authorized to administer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cs="Montserrat" w:eastAsia="Montserrat"/>
        <w:b w:val="0"/>
        <w:i w:val="0"/>
        <w:color w:val="5E6C84"/>
        <w:sz w:val="16"/>
      </w:rPr>
      <w:t xml:space="preserve">PULSE  •  INTERNAL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ontserrat" w:hAnsi="Montserrat" w:cs="Montserrat" w:eastAsia="Montserrat"/>
        <w:b/>
        <w:i w:val="0"/>
        <w:color w:val="5E6C84"/>
        <w:sz w:val="16"/>
      </w:rPr>
      <w:t>PULSE  /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ontserrat" w:hAnsi="Montserrat" w:cs="Montserrat" w:eastAsia="Montserrat"/>
      <w:color w:val="172B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cstheme="majorBidi" w:ascii="Montserrat" w:hAnsi="Montserrat" w:cs="Montserrat" w:eastAsia="Montserrat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cstheme="majorBidi" w:ascii="Montserrat" w:hAnsi="Montserrat" w:cs="Montserrat" w:eastAsia="Montserrat"/>
      <w:b/>
      <w:bCs/>
      <w:color w:val="246BC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cstheme="majorBidi" w:ascii="Montserrat" w:hAnsi="Montserrat" w:cs="Montserrat" w:eastAsia="Montserrat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Montserrat" w:hAnsi="Montserrat" w:cs="Montserrat" w:eastAsia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Montserrat" w:hAnsi="Montserrat" w:cs="Montserrat" w:eastAsia="Montserrat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ontserrat" w:hAnsi="Montserrat" w:cs="Montserrat" w:eastAsia="Montserrat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Montserrat"/>
        <ns0:ea typeface="Montserrat"/>
        <ns0:cs typeface="Montserrat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Montserrat"/>
        <ns0:ea typeface="Montserrat"/>
        <ns0:cs typeface="Montserrat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