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56"/>
          <w:szCs w:val="56"/>
        </w:rPr>
        <w:t xml:space="preserve">Analysis of Alternatives</w:t>
      </w:r>
    </w:p>
    <w:p>
      <w:pPr>
        <w:spacing w:after="400"/>
        <w:jc w:val="center"/>
      </w:pPr>
      <w:r>
        <w:rPr>
          <w:b/>
          <w:bCs/>
          <w:color w:val="444444"/>
          <w:sz w:val="36"/>
          <w:szCs w:val="36"/>
        </w:rPr>
        <w:t xml:space="preserve">Team Project Dashboard</w:t>
      </w:r>
    </w:p>
    <w:p>
      <w:pPr>
        <w:spacing w:after="40"/>
        <w:jc w:val="center"/>
      </w:pPr>
      <w:r>
        <w:rPr>
          <w:sz w:val="22"/>
          <w:szCs w:val="22"/>
        </w:rPr>
        <w:t xml:space="preserve">Advanced Electronic Warfare Test and Training Range (AEWTTR) IPT</w:t>
      </w:r>
    </w:p>
    <w:p>
      <w:pPr>
        <w:spacing w:after="600"/>
        <w:jc w:val="center"/>
      </w:pPr>
      <w:r>
        <w:rPr>
          <w:sz w:val="22"/>
          <w:szCs w:val="22"/>
        </w:rPr>
        <w:t xml:space="preserve">NAWCWD China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Mar>
              <w:top w:type="dxa" w:w="80"/>
              <w:left w:type="dxa" w:w="100"/>
              <w:bottom w:type="dxa" w:w="80"/>
              <w:right w:type="dxa" w:w="100"/>
            </w:tcMar>
            <w:vAlign w:val="top"/>
          </w:tcPr>
          <w:p>
            <w:r>
              <w:rPr>
                <w:b/>
                <w:bCs/>
                <w:i w:val="false"/>
                <w:iCs w:val="false"/>
              </w:rPr>
              <w:t xml:space="preserve">Prepared by</w:t>
            </w:r>
          </w:p>
        </w:tc>
        <w:tc>
          <w:tcPr>
            <w:tcW w:type="dxa" w:w="6240"/>
            <w:tcMar>
              <w:top w:type="dxa" w:w="80"/>
              <w:left w:type="dxa" w:w="100"/>
              <w:bottom w:type="dxa" w:w="80"/>
              <w:right w:type="dxa" w:w="100"/>
            </w:tcMar>
            <w:vAlign w:val="top"/>
          </w:tcPr>
          <w:p>
            <w:r>
              <w:rPr>
                <w:b w:val="false"/>
                <w:bCs w:val="false"/>
                <w:i w:val="false"/>
                <w:iCs w:val="false"/>
              </w:rPr>
              <w:t xml:space="preserve">Elijah Scalere</w:t>
            </w:r>
          </w:p>
        </w:tc>
      </w:tr>
      <w:tr>
        <w:tc>
          <w:tcPr>
            <w:tcW w:type="dxa" w:w="3120"/>
            <w:shd w:fill="F2F2F2" w:val="clear"/>
            <w:tcMar>
              <w:top w:type="dxa" w:w="80"/>
              <w:left w:type="dxa" w:w="100"/>
              <w:bottom w:type="dxa" w:w="80"/>
              <w:right w:type="dxa" w:w="100"/>
            </w:tcMar>
            <w:vAlign w:val="top"/>
          </w:tcPr>
          <w:p>
            <w:r>
              <w:rPr>
                <w:b/>
                <w:bCs/>
                <w:i w:val="false"/>
                <w:iCs w:val="false"/>
              </w:rPr>
              <w:t xml:space="preserve">Role</w:t>
            </w:r>
          </w:p>
        </w:tc>
        <w:tc>
          <w:tcPr>
            <w:tcW w:type="dxa" w:w="6240"/>
            <w:tcMar>
              <w:top w:type="dxa" w:w="80"/>
              <w:left w:type="dxa" w:w="100"/>
              <w:bottom w:type="dxa" w:w="80"/>
              <w:right w:type="dxa" w:w="100"/>
            </w:tcMar>
            <w:vAlign w:val="top"/>
          </w:tcPr>
          <w:p>
            <w:r>
              <w:rPr>
                <w:b w:val="false"/>
                <w:bCs w:val="false"/>
                <w:i w:val="false"/>
                <w:iCs w:val="false"/>
              </w:rPr>
              <w:t xml:space="preserve">Data Analytics Intern</w:t>
            </w:r>
          </w:p>
        </w:tc>
      </w:tr>
      <w:tr>
        <w:tc>
          <w:tcPr>
            <w:tcW w:type="dxa" w:w="3120"/>
            <w:shd w:fill="F2F2F2" w:val="clear"/>
            <w:tcMar>
              <w:top w:type="dxa" w:w="80"/>
              <w:left w:type="dxa" w:w="100"/>
              <w:bottom w:type="dxa" w:w="80"/>
              <w:right w:type="dxa" w:w="100"/>
            </w:tcMar>
            <w:vAlign w:val="top"/>
          </w:tcPr>
          <w:p>
            <w:r>
              <w:rPr>
                <w:b/>
                <w:bCs/>
                <w:i w:val="false"/>
                <w:iCs w:val="false"/>
              </w:rPr>
              <w:t xml:space="preserve">Internship Support</w:t>
            </w:r>
          </w:p>
        </w:tc>
        <w:tc>
          <w:tcPr>
            <w:tcW w:type="dxa" w:w="6240"/>
            <w:tcMar>
              <w:top w:type="dxa" w:w="80"/>
              <w:left w:type="dxa" w:w="100"/>
              <w:bottom w:type="dxa" w:w="80"/>
              <w:right w:type="dxa" w:w="100"/>
            </w:tcMar>
            <w:vAlign w:val="top"/>
          </w:tcPr>
          <w:p>
            <w:r>
              <w:rPr>
                <w:b w:val="false"/>
                <w:bCs w:val="false"/>
                <w:i w:val="false"/>
                <w:iCs w:val="false"/>
              </w:rPr>
              <w:t xml:space="preserve">Viceroy Envoy Program</w:t>
            </w:r>
          </w:p>
        </w:tc>
      </w:tr>
      <w:tr>
        <w:tc>
          <w:tcPr>
            <w:tcW w:type="dxa" w:w="3120"/>
            <w:shd w:fill="F2F2F2" w:val="clear"/>
            <w:tcMar>
              <w:top w:type="dxa" w:w="80"/>
              <w:left w:type="dxa" w:w="100"/>
              <w:bottom w:type="dxa" w:w="80"/>
              <w:right w:type="dxa" w:w="100"/>
            </w:tcMar>
            <w:vAlign w:val="top"/>
          </w:tcPr>
          <w:p>
            <w:r>
              <w:rPr>
                <w:b/>
                <w:bCs/>
                <w:i w:val="false"/>
                <w:iCs w:val="false"/>
              </w:rPr>
              <w:t xml:space="preserve">Date</w:t>
            </w:r>
          </w:p>
        </w:tc>
        <w:tc>
          <w:tcPr>
            <w:tcW w:type="dxa" w:w="6240"/>
            <w:tcMar>
              <w:top w:type="dxa" w:w="80"/>
              <w:left w:type="dxa" w:w="100"/>
              <w:bottom w:type="dxa" w:w="80"/>
              <w:right w:type="dxa" w:w="100"/>
            </w:tcMar>
            <w:vAlign w:val="top"/>
          </w:tcPr>
          <w:p>
            <w:r>
              <w:rPr>
                <w:b w:val="false"/>
                <w:bCs w:val="false"/>
                <w:i w:val="false"/>
                <w:iCs w:val="false"/>
              </w:rPr>
              <w:t xml:space="preserve">July 2026</w:t>
            </w:r>
          </w:p>
        </w:tc>
      </w:tr>
      <w:tr>
        <w:tc>
          <w:tcPr>
            <w:tcW w:type="dxa" w:w="3120"/>
            <w:shd w:fill="F2F2F2" w:val="clear"/>
            <w:tcMar>
              <w:top w:type="dxa" w:w="80"/>
              <w:left w:type="dxa" w:w="100"/>
              <w:bottom w:type="dxa" w:w="80"/>
              <w:right w:type="dxa" w:w="100"/>
            </w:tcMar>
            <w:vAlign w:val="top"/>
          </w:tcPr>
          <w:p>
            <w:r>
              <w:rPr>
                <w:b/>
                <w:bCs/>
                <w:i w:val="false"/>
                <w:iCs w:val="false"/>
              </w:rPr>
              <w:t xml:space="preserve">Version</w:t>
            </w:r>
          </w:p>
        </w:tc>
        <w:tc>
          <w:tcPr>
            <w:tcW w:type="dxa" w:w="6240"/>
            <w:tcMar>
              <w:top w:type="dxa" w:w="80"/>
              <w:left w:type="dxa" w:w="100"/>
              <w:bottom w:type="dxa" w:w="80"/>
              <w:right w:type="dxa" w:w="100"/>
            </w:tcMar>
            <w:vAlign w:val="top"/>
          </w:tcPr>
          <w:p>
            <w:r>
              <w:rPr>
                <w:b w:val="false"/>
                <w:bCs w:val="false"/>
                <w:i w:val="false"/>
                <w:iCs w:val="false"/>
              </w:rPr>
              <w:t xml:space="preserve">2.8</w:t>
            </w:r>
          </w:p>
        </w:tc>
      </w:tr>
      <w:tr>
        <w:tc>
          <w:tcPr>
            <w:tcW w:type="dxa" w:w="3120"/>
            <w:shd w:fill="F2F2F2" w:val="clear"/>
            <w:tcMar>
              <w:top w:type="dxa" w:w="80"/>
              <w:left w:type="dxa" w:w="100"/>
              <w:bottom w:type="dxa" w:w="80"/>
              <w:right w:type="dxa" w:w="100"/>
            </w:tcMar>
            <w:vAlign w:val="top"/>
          </w:tcPr>
          <w:p>
            <w:r>
              <w:rPr>
                <w:b/>
                <w:bCs/>
                <w:i w:val="false"/>
                <w:iCs w:val="false"/>
              </w:rPr>
              <w:t xml:space="preserve">Document Status</w:t>
            </w:r>
          </w:p>
        </w:tc>
        <w:tc>
          <w:tcPr>
            <w:tcW w:type="dxa" w:w="6240"/>
            <w:tcMar>
              <w:top w:type="dxa" w:w="80"/>
              <w:left w:type="dxa" w:w="100"/>
              <w:bottom w:type="dxa" w:w="80"/>
              <w:right w:type="dxa" w:w="100"/>
            </w:tcMar>
            <w:vAlign w:val="top"/>
          </w:tcPr>
          <w:p>
            <w:r>
              <w:rPr>
                <w:b w:val="false"/>
                <w:bCs w:val="false"/>
                <w:i w:val="false"/>
                <w:iCs w:val="false"/>
              </w:rPr>
              <w:t xml:space="preserve">DRAFT — For Leadership Review</w:t>
            </w:r>
          </w:p>
        </w:tc>
      </w:tr>
    </w:tbl>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rPr>
        <w:t xml:space="preserve">1. Executive Summary</w:t>
      </w:r>
    </w:p>
    <w:p>
      <w:pPr>
        <w:pStyle w:val="Heading2"/>
        <w:spacing w:after="120" w:before="260"/>
      </w:pPr>
      <w:r>
        <w:rPr>
          <w:b/>
          <w:bCs/>
        </w:rPr>
        <w:t xml:space="preserve">The Problem</w:t>
      </w:r>
    </w:p>
    <w:p>
      <w:pPr>
        <w:spacing w:after="160"/>
      </w:pPr>
      <w:r>
        <w:t xml:space="preserve">The AEWTTR IPT leadership currently has no centralized view of the team's project portfolio. Project status, financial data, contract activity, scheduling milestones, and cyber compliance information are distributed across multiple people, systems, and file formats. The IPT Lead must manually collect information from each team member and synthesize it herself before she can answer a basic question about the state of the business.</w:t>
      </w:r>
    </w:p>
    <w:p>
      <w:pPr>
        <w:pStyle w:val="Heading2"/>
        <w:spacing w:after="120" w:before="260"/>
      </w:pPr>
      <w:r>
        <w:rPr>
          <w:b/>
          <w:bCs/>
        </w:rPr>
        <w:t xml:space="preserve">Why a Dashboard Is Needed</w:t>
      </w:r>
    </w:p>
    <w:p>
      <w:pPr>
        <w:spacing w:after="160"/>
      </w:pPr>
      <w:r>
        <w:t xml:space="preserve">The IPT Lead has identified the need directly: she wants to see the whole portfolio, filter to any individual project, view financial and contract status, and export a summary without manually querying her team. This directly affects her ability to make timely decisions, respond to data calls, and provide accurate status to sponsors and leadership above her.</w:t>
      </w:r>
    </w:p>
    <w:p>
      <w:pPr>
        <w:pStyle w:val="Heading2"/>
        <w:spacing w:after="120" w:before="260"/>
      </w:pPr>
      <w:r>
        <w:rPr>
          <w:b/>
          <w:bCs/>
        </w:rP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D9D9D9" w:val="clear"/>
            <w:tcMar>
              <w:top w:type="dxa" w:w="80"/>
              <w:left w:type="dxa" w:w="100"/>
              <w:bottom w:type="dxa" w:w="80"/>
              <w:right w:type="dxa" w:w="100"/>
            </w:tcMar>
            <w:vAlign w:val="top"/>
          </w:tcPr>
          <w:p>
            <w:r>
              <w:rPr>
                <w:b/>
                <w:bCs/>
                <w:i w:val="false"/>
                <w:iCs w:val="false"/>
              </w:rPr>
              <w:t xml:space="preserve">#</w:t>
            </w:r>
          </w:p>
        </w:tc>
        <w:tc>
          <w:tcPr>
            <w:tcW w:type="dxa" w:w="8424"/>
            <w:shd w:fill="D9D9D9" w:val="clear"/>
            <w:tcMar>
              <w:top w:type="dxa" w:w="80"/>
              <w:left w:type="dxa" w:w="100"/>
              <w:bottom w:type="dxa" w:w="80"/>
              <w:right w:type="dxa" w:w="100"/>
            </w:tcMar>
            <w:vAlign w:val="top"/>
          </w:tcPr>
          <w:p>
            <w:r>
              <w:rPr>
                <w:b/>
                <w:bCs/>
                <w:i w:val="false"/>
                <w:iCs w:val="false"/>
              </w:rPr>
              <w:t xml:space="preserve">Alternative</w:t>
            </w:r>
          </w:p>
        </w:tc>
      </w:tr>
      <w:tr>
        <w:tc>
          <w:tcPr>
            <w:tcW w:type="dxa" w:w="936"/>
            <w:tcMar>
              <w:top w:type="dxa" w:w="80"/>
              <w:left w:type="dxa" w:w="100"/>
              <w:bottom w:type="dxa" w:w="80"/>
              <w:right w:type="dxa" w:w="100"/>
            </w:tcMar>
            <w:vAlign w:val="top"/>
          </w:tcPr>
          <w:p>
            <w:r>
              <w:rPr>
                <w:b w:val="false"/>
                <w:bCs w:val="false"/>
                <w:i w:val="false"/>
                <w:iCs w:val="false"/>
              </w:rPr>
              <w:t xml:space="preserve">1</w:t>
            </w:r>
          </w:p>
        </w:tc>
        <w:tc>
          <w:tcPr>
            <w:tcW w:type="dxa" w:w="8424"/>
            <w:tcMar>
              <w:top w:type="dxa" w:w="80"/>
              <w:left w:type="dxa" w:w="100"/>
              <w:bottom w:type="dxa" w:w="80"/>
              <w:right w:type="dxa" w:w="100"/>
            </w:tcMar>
            <w:vAlign w:val="top"/>
          </w:tcPr>
          <w:p>
            <w:r>
              <w:rPr>
                <w:b w:val="false"/>
                <w:bCs w:val="false"/>
                <w:i w:val="false"/>
                <w:iCs w:val="false"/>
              </w:rPr>
              <w:t xml:space="preserve">Status Quo — No Change</w:t>
            </w:r>
          </w:p>
        </w:tc>
      </w:tr>
      <w:tr>
        <w:tc>
          <w:tcPr>
            <w:tcW w:type="dxa" w:w="936"/>
            <w:tcMar>
              <w:top w:type="dxa" w:w="80"/>
              <w:left w:type="dxa" w:w="100"/>
              <w:bottom w:type="dxa" w:w="80"/>
              <w:right w:type="dxa" w:w="100"/>
            </w:tcMar>
            <w:vAlign w:val="top"/>
          </w:tcPr>
          <w:p>
            <w:r>
              <w:rPr>
                <w:b w:val="false"/>
                <w:bCs w:val="false"/>
                <w:i w:val="false"/>
                <w:iCs w:val="false"/>
              </w:rPr>
              <w:t xml:space="preserve">2</w:t>
            </w:r>
          </w:p>
        </w:tc>
        <w:tc>
          <w:tcPr>
            <w:tcW w:type="dxa" w:w="8424"/>
            <w:tcMar>
              <w:top w:type="dxa" w:w="80"/>
              <w:left w:type="dxa" w:w="100"/>
              <w:bottom w:type="dxa" w:w="80"/>
              <w:right w:type="dxa" w:w="100"/>
            </w:tcMar>
            <w:vAlign w:val="top"/>
          </w:tcPr>
          <w:p>
            <w:r>
              <w:rPr>
                <w:b w:val="false"/>
                <w:bCs w:val="false"/>
                <w:i w:val="false"/>
                <w:iCs w:val="false"/>
              </w:rPr>
              <w:t xml:space="preserve">Power Apps / Power Platform (Native Microsoft Build)</w:t>
            </w:r>
          </w:p>
        </w:tc>
      </w:tr>
      <w:tr>
        <w:tc>
          <w:tcPr>
            <w:tcW w:type="dxa" w:w="936"/>
            <w:tcMar>
              <w:top w:type="dxa" w:w="80"/>
              <w:left w:type="dxa" w:w="100"/>
              <w:bottom w:type="dxa" w:w="80"/>
              <w:right w:type="dxa" w:w="100"/>
            </w:tcMar>
            <w:vAlign w:val="top"/>
          </w:tcPr>
          <w:p>
            <w:r>
              <w:rPr>
                <w:b w:val="false"/>
                <w:bCs w:val="false"/>
                <w:i w:val="false"/>
                <w:iCs w:val="false"/>
              </w:rPr>
              <w:t xml:space="preserve">3</w:t>
            </w:r>
          </w:p>
        </w:tc>
        <w:tc>
          <w:tcPr>
            <w:tcW w:type="dxa" w:w="8424"/>
            <w:tcMar>
              <w:top w:type="dxa" w:w="80"/>
              <w:left w:type="dxa" w:w="100"/>
              <w:bottom w:type="dxa" w:w="80"/>
              <w:right w:type="dxa" w:w="100"/>
            </w:tcMar>
            <w:vAlign w:val="top"/>
          </w:tcPr>
          <w:p>
            <w:r>
              <w:rPr>
                <w:b w:val="false"/>
                <w:bCs w:val="false"/>
                <w:i w:val="false"/>
                <w:iCs w:val="false"/>
              </w:rPr>
              <w:t xml:space="preserve">Firepit/Forge (Navy-Built SharePoint Application Framework)</w:t>
            </w:r>
          </w:p>
        </w:tc>
      </w:tr>
      <w:tr>
        <w:tc>
          <w:tcPr>
            <w:tcW w:type="dxa" w:w="936"/>
            <w:tcMar>
              <w:top w:type="dxa" w:w="80"/>
              <w:left w:type="dxa" w:w="100"/>
              <w:bottom w:type="dxa" w:w="80"/>
              <w:right w:type="dxa" w:w="100"/>
            </w:tcMar>
            <w:vAlign w:val="top"/>
          </w:tcPr>
          <w:p>
            <w:r>
              <w:rPr>
                <w:b w:val="false"/>
                <w:bCs w:val="false"/>
                <w:i w:val="false"/>
                <w:iCs w:val="false"/>
              </w:rPr>
              <w:t xml:space="preserve">4</w:t>
            </w:r>
          </w:p>
        </w:tc>
        <w:tc>
          <w:tcPr>
            <w:tcW w:type="dxa" w:w="8424"/>
            <w:tcMar>
              <w:top w:type="dxa" w:w="80"/>
              <w:left w:type="dxa" w:w="100"/>
              <w:bottom w:type="dxa" w:w="80"/>
              <w:right w:type="dxa" w:w="100"/>
            </w:tcMar>
            <w:vAlign w:val="top"/>
          </w:tcPr>
          <w:p>
            <w:r>
              <w:rPr>
                <w:b w:val="false"/>
                <w:bCs w:val="false"/>
                <w:i w:val="false"/>
                <w:iCs w:val="false"/>
              </w:rPr>
              <w:t xml:space="preserve">Atlassian Confluence/Jira (Government Cloud)</w:t>
            </w:r>
          </w:p>
        </w:tc>
      </w:tr>
      <w:tr>
        <w:tc>
          <w:tcPr>
            <w:tcW w:type="dxa" w:w="936"/>
            <w:tcMar>
              <w:top w:type="dxa" w:w="80"/>
              <w:left w:type="dxa" w:w="100"/>
              <w:bottom w:type="dxa" w:w="80"/>
              <w:right w:type="dxa" w:w="100"/>
            </w:tcMar>
            <w:vAlign w:val="top"/>
          </w:tcPr>
          <w:p>
            <w:r>
              <w:rPr>
                <w:b w:val="false"/>
                <w:bCs w:val="false"/>
                <w:i w:val="false"/>
                <w:iCs w:val="false"/>
              </w:rPr>
              <w:t xml:space="preserve">5</w:t>
            </w:r>
          </w:p>
        </w:tc>
        <w:tc>
          <w:tcPr>
            <w:tcW w:type="dxa" w:w="8424"/>
            <w:tcMar>
              <w:top w:type="dxa" w:w="80"/>
              <w:left w:type="dxa" w:w="100"/>
              <w:bottom w:type="dxa" w:w="80"/>
              <w:right w:type="dxa" w:w="100"/>
            </w:tcMar>
            <w:vAlign w:val="top"/>
          </w:tcPr>
          <w:p>
            <w:r>
              <w:rPr>
                <w:b w:val="false"/>
                <w:bCs w:val="false"/>
                <w:i w:val="false"/>
                <w:iCs w:val="false"/>
              </w:rPr>
              <w:t xml:space="preserve">Custom Web Application (External Hosting)</w:t>
            </w:r>
          </w:p>
        </w:tc>
      </w:tr>
      <w:tr>
        <w:tc>
          <w:tcPr>
            <w:tcW w:type="dxa" w:w="936"/>
            <w:tcMar>
              <w:top w:type="dxa" w:w="80"/>
              <w:left w:type="dxa" w:w="100"/>
              <w:bottom w:type="dxa" w:w="80"/>
              <w:right w:type="dxa" w:w="100"/>
            </w:tcMar>
            <w:vAlign w:val="top"/>
          </w:tcPr>
          <w:p>
            <w:r>
              <w:rPr>
                <w:b w:val="false"/>
                <w:bCs w:val="false"/>
                <w:i w:val="false"/>
                <w:iCs w:val="false"/>
              </w:rPr>
              <w:t xml:space="preserve">6</w:t>
            </w:r>
          </w:p>
        </w:tc>
        <w:tc>
          <w:tcPr>
            <w:tcW w:type="dxa" w:w="8424"/>
            <w:tcMar>
              <w:top w:type="dxa" w:w="80"/>
              <w:left w:type="dxa" w:w="100"/>
              <w:bottom w:type="dxa" w:w="80"/>
              <w:right w:type="dxa" w:w="100"/>
            </w:tcMar>
            <w:vAlign w:val="top"/>
          </w:tcPr>
          <w:p>
            <w:r>
              <w:rPr>
                <w:b w:val="false"/>
                <w:bCs w:val="false"/>
                <w:i w:val="false"/>
                <w:iCs w:val="false"/>
              </w:rPr>
              <w:t xml:space="preserve">ServiceNow National Security Cloud (External SaaS Platform)</w:t>
            </w:r>
          </w:p>
        </w:tc>
      </w:tr>
    </w:tbl>
    <w:p>
      <w:pPr>
        <w:spacing w:after="120"/>
      </w:pPr>
    </w:p>
    <w:p>
      <w:pPr>
        <w:pStyle w:val="Heading2"/>
        <w:spacing w:after="120" w:before="260"/>
      </w:pPr>
      <w:r>
        <w:rPr>
          <w:b/>
          <w:bCs/>
        </w:rPr>
        <w:t xml:space="preserve">Recommended Alternative</w:t>
      </w:r>
    </w:p>
    <w:p>
      <w:pPr>
        <w:spacing w:after="160"/>
      </w:pPr>
      <w:r>
        <w:t xml:space="preserve">Alternative 3 — Firepit/Forge is the recommended path. Firepit is a SharePoint Framework (SPFx) web part, developed within Navy NAVWAR PEO Digital, that hosts self-contained HTML/JavaScript applications inside a sandboxed frame on a SharePoint page. Forge is its companion offline authoring tool — a browser-based IDE with an AI coding agent, built-in security review tooling, and a compiler that packages a project into the single file Firepit runs. Because it deploys inside SharePoint on Flank Speed, it runs inside the team's existing, already-approved environment rather than requiring a new one to be stood up and separately secured. It is implemented in phases, beginning with a data schema and a minimum viable portfolio view, then expanding into a suite covering the dashboard, travel request tool, PM hub, and travel calendar under one consistent application shell.</w:t>
      </w:r>
    </w:p>
    <w:p>
      <w:pPr>
        <w:pStyle w:val="Heading2"/>
        <w:spacing w:after="120" w:before="260"/>
      </w:pPr>
      <w:r>
        <w:rPr>
          <w:b/>
          <w:bCs/>
        </w:rPr>
        <w:t xml:space="preserve">What Leadership Should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D9D9D9" w:val="clear"/>
            <w:tcMar>
              <w:top w:type="dxa" w:w="80"/>
              <w:left w:type="dxa" w:w="100"/>
              <w:bottom w:type="dxa" w:w="80"/>
              <w:right w:type="dxa" w:w="100"/>
            </w:tcMar>
            <w:vAlign w:val="top"/>
          </w:tcPr>
          <w:p>
            <w:r>
              <w:rPr>
                <w:b/>
                <w:bCs/>
                <w:i w:val="false"/>
                <w:iCs w:val="false"/>
              </w:rPr>
              <w:t xml:space="preserve">Decision</w:t>
            </w:r>
          </w:p>
        </w:tc>
        <w:tc>
          <w:tcPr>
            <w:tcW w:type="dxa" w:w="3120"/>
            <w:shd w:fill="D9D9D9" w:val="clear"/>
            <w:tcMar>
              <w:top w:type="dxa" w:w="80"/>
              <w:left w:type="dxa" w:w="100"/>
              <w:bottom w:type="dxa" w:w="80"/>
              <w:right w:type="dxa" w:w="100"/>
            </w:tcMar>
            <w:vAlign w:val="top"/>
          </w:tcPr>
          <w:p>
            <w:r>
              <w:rPr>
                <w:b/>
                <w:bCs/>
                <w:i w:val="false"/>
                <w:iCs w:val="false"/>
              </w:rPr>
              <w:t xml:space="preserve">Owner</w:t>
            </w:r>
          </w:p>
        </w:tc>
      </w:tr>
      <w:tr>
        <w:tc>
          <w:tcPr>
            <w:tcW w:type="dxa" w:w="6240"/>
            <w:tcMar>
              <w:top w:type="dxa" w:w="80"/>
              <w:left w:type="dxa" w:w="100"/>
              <w:bottom w:type="dxa" w:w="80"/>
              <w:right w:type="dxa" w:w="100"/>
            </w:tcMar>
            <w:vAlign w:val="top"/>
          </w:tcPr>
          <w:p>
            <w:r>
              <w:rPr>
                <w:b w:val="false"/>
                <w:bCs w:val="false"/>
                <w:i w:val="false"/>
                <w:iCs w:val="false"/>
              </w:rPr>
              <w:t xml:space="preserve">Confirm the specific metrics and data fields the IPT Lead wants in the dashboard, in priority order.</w:t>
            </w:r>
          </w:p>
        </w:tc>
        <w:tc>
          <w:tcPr>
            <w:tcW w:type="dxa" w:w="3120"/>
            <w:tcMar>
              <w:top w:type="dxa" w:w="80"/>
              <w:left w:type="dxa" w:w="100"/>
              <w:bottom w:type="dxa" w:w="80"/>
              <w:right w:type="dxa" w:w="100"/>
            </w:tcMar>
            <w:vAlign w:val="top"/>
          </w:tcPr>
          <w:p>
            <w:r>
              <w:rPr>
                <w:b w:val="false"/>
                <w:bCs w:val="false"/>
                <w:i w:val="false"/>
                <w:iCs w:val="false"/>
              </w:rPr>
              <w:t xml:space="preserve">Linda Dodson</w:t>
            </w:r>
          </w:p>
        </w:tc>
      </w:tr>
      <w:tr>
        <w:tc>
          <w:tcPr>
            <w:tcW w:type="dxa" w:w="6240"/>
            <w:tcMar>
              <w:top w:type="dxa" w:w="80"/>
              <w:left w:type="dxa" w:w="100"/>
              <w:bottom w:type="dxa" w:w="80"/>
              <w:right w:type="dxa" w:w="100"/>
            </w:tcMar>
            <w:vAlign w:val="top"/>
          </w:tcPr>
          <w:p>
            <w:r>
              <w:rPr>
                <w:b w:val="false"/>
                <w:bCs w:val="false"/>
                <w:i w:val="false"/>
                <w:iCs w:val="false"/>
              </w:rPr>
              <w:t xml:space="preserve">Confirm data owner assignments per domain.</w:t>
            </w:r>
          </w:p>
        </w:tc>
        <w:tc>
          <w:tcPr>
            <w:tcW w:type="dxa" w:w="3120"/>
            <w:tcMar>
              <w:top w:type="dxa" w:w="80"/>
              <w:left w:type="dxa" w:w="100"/>
              <w:bottom w:type="dxa" w:w="80"/>
              <w:right w:type="dxa" w:w="100"/>
            </w:tcMar>
            <w:vAlign w:val="top"/>
          </w:tcPr>
          <w:p>
            <w:r>
              <w:rPr>
                <w:b w:val="false"/>
                <w:bCs w:val="false"/>
                <w:i w:val="false"/>
                <w:iCs w:val="false"/>
              </w:rPr>
              <w:t xml:space="preserve">Linda Dodson</w:t>
            </w:r>
          </w:p>
        </w:tc>
      </w:tr>
      <w:tr>
        <w:tc>
          <w:tcPr>
            <w:tcW w:type="dxa" w:w="6240"/>
            <w:tcMar>
              <w:top w:type="dxa" w:w="80"/>
              <w:left w:type="dxa" w:w="100"/>
              <w:bottom w:type="dxa" w:w="80"/>
              <w:right w:type="dxa" w:w="100"/>
            </w:tcMar>
            <w:vAlign w:val="top"/>
          </w:tcPr>
          <w:p>
            <w:r>
              <w:rPr>
                <w:b w:val="false"/>
                <w:bCs w:val="false"/>
                <w:i w:val="false"/>
                <w:iCs w:val="false"/>
              </w:rPr>
              <w:t xml:space="preserve">Confirm the SharePoint deployment path for the Firepit .sppkg package (tenant app catalog vs. site collection app catalog).</w:t>
            </w:r>
          </w:p>
        </w:tc>
        <w:tc>
          <w:tcPr>
            <w:tcW w:type="dxa" w:w="3120"/>
            <w:tcMar>
              <w:top w:type="dxa" w:w="80"/>
              <w:left w:type="dxa" w:w="100"/>
              <w:bottom w:type="dxa" w:w="80"/>
              <w:right w:type="dxa" w:w="100"/>
            </w:tcMar>
            <w:vAlign w:val="top"/>
          </w:tcPr>
          <w:p>
            <w:r>
              <w:rPr>
                <w:b w:val="false"/>
                <w:bCs w:val="false"/>
                <w:i w:val="false"/>
                <w:iCs w:val="false"/>
              </w:rPr>
              <w:t xml:space="preserve">Aimee Bloomberg / NMCI POC</w:t>
            </w:r>
          </w:p>
        </w:tc>
      </w:tr>
      <w:tr>
        <w:tc>
          <w:tcPr>
            <w:tcW w:type="dxa" w:w="6240"/>
            <w:tcMar>
              <w:top w:type="dxa" w:w="80"/>
              <w:left w:type="dxa" w:w="100"/>
              <w:bottom w:type="dxa" w:w="80"/>
              <w:right w:type="dxa" w:w="100"/>
            </w:tcMar>
            <w:vAlign w:val="top"/>
          </w:tcPr>
          <w:p>
            <w:r>
              <w:rPr>
                <w:b w:val="false"/>
                <w:bCs w:val="false"/>
                <w:i w:val="false"/>
                <w:iCs w:val="false"/>
              </w:rPr>
              <w:t xml:space="preserve">Designate who will own the dashboard and its underlying SharePoint data after the internship ends.</w:t>
            </w:r>
          </w:p>
        </w:tc>
        <w:tc>
          <w:tcPr>
            <w:tcW w:type="dxa" w:w="3120"/>
            <w:tcMar>
              <w:top w:type="dxa" w:w="80"/>
              <w:left w:type="dxa" w:w="100"/>
              <w:bottom w:type="dxa" w:w="80"/>
              <w:right w:type="dxa" w:w="100"/>
            </w:tcMar>
            <w:vAlign w:val="top"/>
          </w:tcPr>
          <w:p>
            <w:r>
              <w:rPr>
                <w:b w:val="false"/>
                <w:bCs w:val="false"/>
                <w:i w:val="false"/>
                <w:iCs w:val="false"/>
              </w:rPr>
              <w:t xml:space="preserve">Linda Dodson or Aimee Bloomberg</w:t>
            </w:r>
          </w:p>
        </w:tc>
      </w:tr>
    </w:tbl>
    <w:p>
      <w:pPr>
        <w:pStyle w:val="Heading1"/>
        <w:spacing w:after="160" w:before="360"/>
      </w:pPr>
      <w:r>
        <w:rPr>
          <w:b/>
          <w:bCs/>
        </w:rPr>
        <w:t xml:space="preserve">2. Background</w:t>
      </w:r>
    </w:p>
    <w:p>
      <w:pPr>
        <w:spacing w:after="160"/>
      </w:pPr>
      <w:r>
        <w:t xml:space="preserve">The AEWTTR IPT operates a project portfolio across multiple functional areas including engineering, project management, contracts, finance, logistics, and cybersecurity. The team is small, embedded within a larger organization at NAWCWD China Lake, and manages a significant number of concurrent projects involving multiple external contractors and sponsors.</w:t>
      </w:r>
    </w:p>
    <w:p>
      <w:pPr>
        <w:spacing w:after="160"/>
      </w:pPr>
      <w:r>
        <w:t xml:space="preserve">Project information is currently stored and maintained as follows:</w:t>
      </w:r>
    </w:p>
    <w:p>
      <w:pPr>
        <w:pStyle w:val="ListParagraph"/>
        <w:numPr>
          <w:ilvl w:val="0"/>
          <w:numId w:val="1"/>
        </w:numPr>
        <w:spacing w:after="80"/>
      </w:pPr>
      <w:r>
        <w:t xml:space="preserve">Project status: Maintained in a SharePoint Online list by the project management team; updated manually from contractor reports, meeting notes, and email.</w:t>
      </w:r>
    </w:p>
    <w:p>
      <w:pPr>
        <w:pStyle w:val="ListParagraph"/>
        <w:numPr>
          <w:ilvl w:val="0"/>
          <w:numId w:val="1"/>
        </w:numPr>
        <w:spacing w:after="80"/>
      </w:pPr>
      <w:r>
        <w:t xml:space="preserve">Financial data: Extracted weekly from Navy ERP by the Budget Financial Manager (BFM) and maintained in Excel workbooks. The Contracts Manager began a Power BI financial dashboard that was not completed and has not been maintained.</w:t>
      </w:r>
    </w:p>
    <w:p>
      <w:pPr>
        <w:pStyle w:val="ListParagraph"/>
        <w:numPr>
          <w:ilvl w:val="0"/>
          <w:numId w:val="1"/>
        </w:numPr>
        <w:spacing w:after="80"/>
      </w:pPr>
      <w:r>
        <w:t xml:space="preserve">Contract data: Maintained by the contracts team on a separate SharePoint site not routinely accessible to project managers or the IPT Lead.</w:t>
      </w:r>
    </w:p>
    <w:p>
      <w:pPr>
        <w:pStyle w:val="ListParagraph"/>
        <w:numPr>
          <w:ilvl w:val="0"/>
          <w:numId w:val="1"/>
        </w:numPr>
        <w:spacing w:after="80"/>
      </w:pPr>
      <w:r>
        <w:t xml:space="preserve">Schedule and milestone data: Managed by the project scheduler in Microsoft Project and distributed by email after each status cycle.</w:t>
      </w:r>
    </w:p>
    <w:p>
      <w:pPr>
        <w:pStyle w:val="ListParagraph"/>
        <w:numPr>
          <w:ilvl w:val="0"/>
          <w:numId w:val="1"/>
        </w:numPr>
        <w:spacing w:after="80"/>
      </w:pPr>
      <w:r>
        <w:t xml:space="preserve">Cyber compliance step data: Tracked in eMASS on a restricted network; the IPT Lead must ask the cyber team directly.</w:t>
      </w:r>
    </w:p>
    <w:p>
      <w:pPr>
        <w:pStyle w:val="ListParagraph"/>
        <w:numPr>
          <w:ilvl w:val="0"/>
          <w:numId w:val="1"/>
        </w:numPr>
        <w:spacing w:after="80"/>
      </w:pPr>
      <w:r>
        <w:t xml:space="preserve">Engineering status: Tracked informally; no standardized shared tool.</w:t>
      </w:r>
    </w:p>
    <w:p>
      <w:pPr>
        <w:pStyle w:val="ListParagraph"/>
        <w:numPr>
          <w:ilvl w:val="0"/>
          <w:numId w:val="1"/>
        </w:numPr>
        <w:spacing w:after="80"/>
      </w:pPr>
      <w:r>
        <w:t xml:space="preserve">Support ticketing: Support and troubleshooting requests are currently tracked in a Jira ticketing system that the team's contractors already use. This ticketing workflow is a planned integration point for whichever application platform is selected: the future suite should either host a ticketing screen of its own or link directly to the existing contractor ticketing process, so ticket status becomes visible alongside the rest of the portfolio.</w:t>
      </w:r>
    </w:p>
    <w:p>
      <w:pPr>
        <w:spacing w:after="160"/>
      </w:pPr>
      <w:r>
        <w:t xml:space="preserve">Several standalone workflow improvement projects are also part of the broader effort — including a travel request approval flow, a document review routing tool, and a CSDVD [Confirm] distribution tool. These are operationally independent of the dashboard and are treated as out of scope for this analysis, though several are planned as future modules of the same application suite (see Section 6).</w:t>
      </w:r>
    </w:p>
    <w:p>
      <w:pPr>
        <w:spacing w:after="160"/>
      </w:pPr>
      <w:r>
        <w:t xml:space="preserve">A peer IPT team (GPETE [Confirm]) has built a mature Power Platform-based data management suite over approximately five years. Its existence confirms the Microsoft Power Platform can support a tool of this type within the NMCI / Flank Speed environment, while also illustrating the scale of effort required to reach full maturity.</w:t>
      </w:r>
    </w:p>
    <w:p>
      <w:pPr>
        <w:spacing w:after="160"/>
      </w:pPr>
      <w:r>
        <w:t xml:space="preserve">Separately, a technical architecture review of Firepit and Forge — an application framework built within Navy NAVWAR PEO Digital and already deployed to a NAVWAR SharePoint site — was conducted for this analysis. That review, summarized in Section 11 and Appendix A, found a mature, security-conscious toolchain purpose-built for exactly this kind of sensitive, SharePoint-hosted application.</w:t>
      </w:r>
    </w:p>
    <w:p>
      <w:pPr>
        <w:pStyle w:val="Heading1"/>
        <w:spacing w:after="160" w:before="360"/>
      </w:pPr>
      <w:r>
        <w:rPr>
          <w:b/>
          <w:bCs/>
        </w:rPr>
        <w:t xml:space="preserve">3. Decision Context and Problem Statement</w:t>
      </w:r>
    </w:p>
    <w:p>
      <w:pPr>
        <w:pStyle w:val="Heading2"/>
        <w:spacing w:after="120" w:before="260"/>
      </w:pPr>
      <w:r>
        <w:rPr>
          <w:b/>
          <w:bCs/>
        </w:rPr>
        <w:t xml:space="preserve">Decision Context</w:t>
      </w:r>
    </w:p>
    <w:p>
      <w:pPr>
        <w:spacing w:after="160"/>
      </w:pPr>
      <w:r>
        <w:t xml:space="preserve">This Analysis of Alternatives was prepared during the AEWTTR IPT Data Analytics Internship at NAWCWD China Lake. The analysis is an internal planning aid, not a formal acquisition program document. It follows the spirit of the Adaptive Acquisition Framework (AAF) to structure the analysis and support a defensible decision recommendation that leadership can act on or modify with full visibility into the underlying logic.</w:t>
      </w:r>
    </w:p>
    <w:p>
      <w:pPr>
        <w:spacing w:after="160"/>
      </w:pPr>
      <w:r>
        <w:t xml:space="preserve">The decision to be made is: what combination of available tools and approaches should the AEWTTR IPT use to build and sustain a centralized Team Project Dashboard — and, by extension, a small suite of related team tools — within the constraints of the NMCI / Flank Speed environment, an eight-week internship timeline, existing licensing, and a small team with limited dedicated technical capacity?</w:t>
      </w:r>
    </w:p>
    <w:p>
      <w:pPr>
        <w:pStyle w:val="Heading2"/>
        <w:spacing w:after="120" w:before="260"/>
      </w:pPr>
      <w:r>
        <w:rPr>
          <w:b/>
          <w:bCs/>
        </w:rPr>
        <w:t xml:space="preserve">Capability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The AEWTTR IPT lacks a centralized, governed, and sustainable way for leadership to view project status, financial position, schedule milestones, contract data, cyber compliance status, and reporting outputs across the project portfolio.</w:t>
            </w:r>
          </w:p>
        </w:tc>
      </w:tr>
    </w:tbl>
    <w:p>
      <w:pPr>
        <w:spacing w:after="120"/>
      </w:pPr>
    </w:p>
    <w:p>
      <w:pPr>
        <w:spacing w:after="160"/>
      </w:pPr>
      <w:r>
        <w:t xml:space="preserve">The data exists. The problem is that it is fragmented, unconnected, and accessible only through individual effort, not through a shared system. As the IPT Lead has put it: "If I wanted a whole picture of what this business looks like, I have to get it from each individual person and try to analyze it myself to figure out what is the real story."</w:t>
      </w:r>
    </w:p>
    <w:p>
      <w:pPr>
        <w:spacing w:after="160"/>
      </w:pPr>
      <w:r>
        <w:t xml:space="preserve">No single authoritative source exists for any data domain. Status reporting to sponsors requires significant manual re-entry of the same data across multiple formats. There is no mechanism for data updated by one team to become visible to another without an email or a conversation.</w:t>
      </w:r>
    </w:p>
    <w:p>
      <w:pPr>
        <w:pStyle w:val="Heading1"/>
        <w:spacing w:after="160" w:before="360"/>
      </w:pPr>
      <w:r>
        <w:rPr>
          <w:b/>
          <w:bCs/>
        </w:rPr>
        <w:t xml:space="preserve">4. Mission and Business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6607"/>
      </w:tblGrid>
      <w:tr>
        <w:trPr>
          <w:tblHeader/>
        </w:trPr>
        <w:tc>
          <w:tcPr>
            <w:tcW w:type="dxa" w:w="2753"/>
            <w:shd w:fill="D9D9D9" w:val="clear"/>
            <w:tcMar>
              <w:top w:type="dxa" w:w="80"/>
              <w:left w:type="dxa" w:w="100"/>
              <w:bottom w:type="dxa" w:w="80"/>
              <w:right w:type="dxa" w:w="100"/>
            </w:tcMar>
            <w:vAlign w:val="top"/>
          </w:tcPr>
          <w:p>
            <w:r>
              <w:rPr>
                <w:b/>
                <w:bCs/>
                <w:i w:val="false"/>
                <w:iCs w:val="false"/>
              </w:rPr>
              <w:t xml:space="preserve">Need</w:t>
            </w:r>
          </w:p>
        </w:tc>
        <w:tc>
          <w:tcPr>
            <w:tcW w:type="dxa" w:w="6607"/>
            <w:shd w:fill="D9D9D9" w:val="clear"/>
            <w:tcMar>
              <w:top w:type="dxa" w:w="80"/>
              <w:left w:type="dxa" w:w="100"/>
              <w:bottom w:type="dxa" w:w="80"/>
              <w:right w:type="dxa" w:w="100"/>
            </w:tcMar>
            <w:vAlign w:val="top"/>
          </w:tcPr>
          <w:p>
            <w:r>
              <w:rPr>
                <w:b/>
                <w:bCs/>
                <w:i w:val="false"/>
                <w:iCs w:val="false"/>
              </w:rPr>
              <w:t xml:space="preserve">Description</w:t>
            </w:r>
          </w:p>
        </w:tc>
      </w:tr>
      <w:tr>
        <w:tc>
          <w:tcPr>
            <w:tcW w:type="dxa" w:w="2753"/>
            <w:tcMar>
              <w:top w:type="dxa" w:w="80"/>
              <w:left w:type="dxa" w:w="100"/>
              <w:bottom w:type="dxa" w:w="80"/>
              <w:right w:type="dxa" w:w="100"/>
            </w:tcMar>
            <w:vAlign w:val="top"/>
          </w:tcPr>
          <w:p>
            <w:r>
              <w:rPr>
                <w:b w:val="false"/>
                <w:bCs w:val="false"/>
                <w:i w:val="false"/>
                <w:iCs w:val="false"/>
              </w:rPr>
              <w:t xml:space="preserve">Portfolio Visibility</w:t>
            </w:r>
          </w:p>
        </w:tc>
        <w:tc>
          <w:tcPr>
            <w:tcW w:type="dxa" w:w="6607"/>
            <w:tcMar>
              <w:top w:type="dxa" w:w="80"/>
              <w:left w:type="dxa" w:w="100"/>
              <w:bottom w:type="dxa" w:w="80"/>
              <w:right w:type="dxa" w:w="100"/>
            </w:tcMar>
            <w:vAlign w:val="top"/>
          </w:tcPr>
          <w:p>
            <w:r>
              <w:rPr>
                <w:b w:val="false"/>
                <w:bCs w:val="false"/>
                <w:i w:val="false"/>
                <w:iCs w:val="false"/>
              </w:rPr>
              <w:t xml:space="preserve">The IPT Lead needs to see the full portfolio on demand without scheduling meetings or sending data call emails. This capability does not currently exist.</w:t>
            </w:r>
          </w:p>
        </w:tc>
      </w:tr>
      <w:tr>
        <w:tc>
          <w:tcPr>
            <w:tcW w:type="dxa" w:w="2753"/>
            <w:tcMar>
              <w:top w:type="dxa" w:w="80"/>
              <w:left w:type="dxa" w:w="100"/>
              <w:bottom w:type="dxa" w:w="80"/>
              <w:right w:type="dxa" w:w="100"/>
            </w:tcMar>
            <w:vAlign w:val="top"/>
          </w:tcPr>
          <w:p>
            <w:r>
              <w:rPr>
                <w:b w:val="false"/>
                <w:bCs w:val="false"/>
                <w:i w:val="false"/>
                <w:iCs w:val="false"/>
              </w:rPr>
              <w:t xml:space="preserve">Decision Support</w:t>
            </w:r>
          </w:p>
        </w:tc>
        <w:tc>
          <w:tcPr>
            <w:tcW w:type="dxa" w:w="6607"/>
            <w:tcMar>
              <w:top w:type="dxa" w:w="80"/>
              <w:left w:type="dxa" w:w="100"/>
              <w:bottom w:type="dxa" w:w="80"/>
              <w:right w:type="dxa" w:w="100"/>
            </w:tcMar>
            <w:vAlign w:val="top"/>
          </w:tcPr>
          <w:p>
            <w:r>
              <w:rPr>
                <w:b w:val="false"/>
                <w:bCs w:val="false"/>
                <w:i w:val="false"/>
                <w:iCs w:val="false"/>
              </w:rPr>
              <w:t xml:space="preserve">Timely, accurate portfolio data directly supports the IPT Lead's ability to make resource decisions, respond to sponsor inquiries, and prioritize team effort.</w:t>
            </w:r>
          </w:p>
        </w:tc>
      </w:tr>
      <w:tr>
        <w:tc>
          <w:tcPr>
            <w:tcW w:type="dxa" w:w="2753"/>
            <w:tcMar>
              <w:top w:type="dxa" w:w="80"/>
              <w:left w:type="dxa" w:w="100"/>
              <w:bottom w:type="dxa" w:w="80"/>
              <w:right w:type="dxa" w:w="100"/>
            </w:tcMar>
            <w:vAlign w:val="top"/>
          </w:tcPr>
          <w:p>
            <w:r>
              <w:rPr>
                <w:b w:val="false"/>
                <w:bCs w:val="false"/>
                <w:i w:val="false"/>
                <w:iCs w:val="false"/>
              </w:rPr>
              <w:t xml:space="preserve">Leadership Reporting</w:t>
            </w:r>
          </w:p>
        </w:tc>
        <w:tc>
          <w:tcPr>
            <w:tcW w:type="dxa" w:w="6607"/>
            <w:tcMar>
              <w:top w:type="dxa" w:w="80"/>
              <w:left w:type="dxa" w:w="100"/>
              <w:bottom w:type="dxa" w:w="80"/>
              <w:right w:type="dxa" w:w="100"/>
            </w:tcMar>
            <w:vAlign w:val="top"/>
          </w:tcPr>
          <w:p>
            <w:r>
              <w:rPr>
                <w:b w:val="false"/>
                <w:bCs w:val="false"/>
                <w:i w:val="false"/>
                <w:iCs w:val="false"/>
              </w:rPr>
              <w:t xml:space="preserve">Project managers spend a significant amount of time each month re-entering the same status data into multiple reporting formats. A single-source dashboard should substantially reduce this burden.</w:t>
            </w:r>
          </w:p>
        </w:tc>
      </w:tr>
      <w:tr>
        <w:tc>
          <w:tcPr>
            <w:tcW w:type="dxa" w:w="2753"/>
            <w:tcMar>
              <w:top w:type="dxa" w:w="80"/>
              <w:left w:type="dxa" w:w="100"/>
              <w:bottom w:type="dxa" w:w="80"/>
              <w:right w:type="dxa" w:w="100"/>
            </w:tcMar>
            <w:vAlign w:val="top"/>
          </w:tcPr>
          <w:p>
            <w:r>
              <w:rPr>
                <w:b w:val="false"/>
                <w:bCs w:val="false"/>
                <w:i w:val="false"/>
                <w:iCs w:val="false"/>
              </w:rPr>
              <w:t xml:space="preserve">Project Accountability</w:t>
            </w:r>
          </w:p>
        </w:tc>
        <w:tc>
          <w:tcPr>
            <w:tcW w:type="dxa" w:w="6607"/>
            <w:tcMar>
              <w:top w:type="dxa" w:w="80"/>
              <w:left w:type="dxa" w:w="100"/>
              <w:bottom w:type="dxa" w:w="80"/>
              <w:right w:type="dxa" w:w="100"/>
            </w:tcMar>
            <w:vAlign w:val="top"/>
          </w:tcPr>
          <w:p>
            <w:r>
              <w:rPr>
                <w:b w:val="false"/>
                <w:bCs w:val="false"/>
                <w:i w:val="false"/>
                <w:iCs w:val="false"/>
              </w:rPr>
              <w:t xml:space="preserve">When data ownership is unclear and data lives in personal files, accountability is difficult to establish. A shared dashboard with defined owners per data domain creates visible accountability.</w:t>
            </w:r>
          </w:p>
        </w:tc>
      </w:tr>
      <w:tr>
        <w:tc>
          <w:tcPr>
            <w:tcW w:type="dxa" w:w="2753"/>
            <w:tcMar>
              <w:top w:type="dxa" w:w="80"/>
              <w:left w:type="dxa" w:w="100"/>
              <w:bottom w:type="dxa" w:w="80"/>
              <w:right w:type="dxa" w:w="100"/>
            </w:tcMar>
            <w:vAlign w:val="top"/>
          </w:tcPr>
          <w:p>
            <w:r>
              <w:rPr>
                <w:b w:val="false"/>
                <w:bCs w:val="false"/>
                <w:i w:val="false"/>
                <w:iCs w:val="false"/>
              </w:rPr>
              <w:t xml:space="preserve">Reduced Manual Re-Entry</w:t>
            </w:r>
          </w:p>
        </w:tc>
        <w:tc>
          <w:tcPr>
            <w:tcW w:type="dxa" w:w="6607"/>
            <w:tcMar>
              <w:top w:type="dxa" w:w="80"/>
              <w:left w:type="dxa" w:w="100"/>
              <w:bottom w:type="dxa" w:w="80"/>
              <w:right w:type="dxa" w:w="100"/>
            </w:tcMar>
            <w:vAlign w:val="top"/>
          </w:tcPr>
          <w:p>
            <w:r>
              <w:rPr>
                <w:b w:val="false"/>
                <w:bCs w:val="false"/>
                <w:i w:val="false"/>
                <w:iCs w:val="false"/>
              </w:rPr>
              <w:t xml:space="preserve">Multiple team members described spending hours per month transcribing the same data across tools. Even partial automation produces direct time savings.</w:t>
            </w:r>
          </w:p>
        </w:tc>
      </w:tr>
      <w:tr>
        <w:tc>
          <w:tcPr>
            <w:tcW w:type="dxa" w:w="2753"/>
            <w:tcMar>
              <w:top w:type="dxa" w:w="80"/>
              <w:left w:type="dxa" w:w="100"/>
              <w:bottom w:type="dxa" w:w="80"/>
              <w:right w:type="dxa" w:w="100"/>
            </w:tcMar>
            <w:vAlign w:val="top"/>
          </w:tcPr>
          <w:p>
            <w:r>
              <w:rPr>
                <w:b w:val="false"/>
                <w:bCs w:val="false"/>
                <w:i w:val="false"/>
                <w:iCs w:val="false"/>
              </w:rPr>
              <w:t xml:space="preserve">Data Continuity</w:t>
            </w:r>
          </w:p>
        </w:tc>
        <w:tc>
          <w:tcPr>
            <w:tcW w:type="dxa" w:w="6607"/>
            <w:tcMar>
              <w:top w:type="dxa" w:w="80"/>
              <w:left w:type="dxa" w:w="100"/>
              <w:bottom w:type="dxa" w:w="80"/>
              <w:right w:type="dxa" w:w="100"/>
            </w:tcMar>
            <w:vAlign w:val="top"/>
          </w:tcPr>
          <w:p>
            <w:r>
              <w:rPr>
                <w:b w:val="false"/>
                <w:bCs w:val="false"/>
                <w:i w:val="false"/>
                <w:iCs w:val="false"/>
              </w:rPr>
              <w:t xml:space="preserve">When team members leave and data exists only in personal tools or memory, that data is at risk. A shared, documented dashboard reduces this risk.</w:t>
            </w:r>
          </w:p>
        </w:tc>
      </w:tr>
      <w:tr>
        <w:tc>
          <w:tcPr>
            <w:tcW w:type="dxa" w:w="2753"/>
            <w:tcMar>
              <w:top w:type="dxa" w:w="80"/>
              <w:left w:type="dxa" w:w="100"/>
              <w:bottom w:type="dxa" w:w="80"/>
              <w:right w:type="dxa" w:w="100"/>
            </w:tcMar>
            <w:vAlign w:val="top"/>
          </w:tcPr>
          <w:p>
            <w:r>
              <w:rPr>
                <w:b w:val="false"/>
                <w:bCs w:val="false"/>
                <w:i w:val="false"/>
                <w:iCs w:val="false"/>
              </w:rPr>
              <w:t xml:space="preserve">Foundation for Future Capability</w:t>
            </w:r>
          </w:p>
        </w:tc>
        <w:tc>
          <w:tcPr>
            <w:tcW w:type="dxa" w:w="6607"/>
            <w:tcMar>
              <w:top w:type="dxa" w:w="80"/>
              <w:left w:type="dxa" w:w="100"/>
              <w:bottom w:type="dxa" w:w="80"/>
              <w:right w:type="dxa" w:w="100"/>
            </w:tcMar>
            <w:vAlign w:val="top"/>
          </w:tcPr>
          <w:p>
            <w:r>
              <w:rPr>
                <w:b w:val="false"/>
                <w:bCs w:val="false"/>
                <w:i w:val="false"/>
                <w:iCs w:val="false"/>
              </w:rPr>
              <w:t xml:space="preserve">A well-designed data schema and architecture creates a foundation that future developers or ESDP rotation members can build on.</w:t>
            </w:r>
          </w:p>
        </w:tc>
      </w:tr>
      <w:tr>
        <w:tc>
          <w:tcPr>
            <w:tcW w:type="dxa" w:w="2753"/>
            <w:tcMar>
              <w:top w:type="dxa" w:w="80"/>
              <w:left w:type="dxa" w:w="100"/>
              <w:bottom w:type="dxa" w:w="80"/>
              <w:right w:type="dxa" w:w="100"/>
            </w:tcMar>
            <w:vAlign w:val="top"/>
          </w:tcPr>
          <w:p>
            <w:r>
              <w:rPr>
                <w:b w:val="false"/>
                <w:bCs w:val="false"/>
                <w:i w:val="false"/>
                <w:iCs w:val="false"/>
              </w:rPr>
              <w:t xml:space="preserve">Tool Consolidation</w:t>
            </w:r>
          </w:p>
        </w:tc>
        <w:tc>
          <w:tcPr>
            <w:tcW w:type="dxa" w:w="6607"/>
            <w:tcMar>
              <w:top w:type="dxa" w:w="80"/>
              <w:left w:type="dxa" w:w="100"/>
              <w:bottom w:type="dxa" w:w="80"/>
              <w:right w:type="dxa" w:w="100"/>
            </w:tcMar>
            <w:vAlign w:val="top"/>
          </w:tcPr>
          <w:p>
            <w:r>
              <w:rPr>
                <w:b w:val="false"/>
                <w:bCs w:val="false"/>
                <w:i w:val="false"/>
                <w:iCs w:val="false"/>
              </w:rPr>
              <w:t xml:space="preserve">Several standalone workflow tools (travel request, project hub, travel calendar) are being built independently. A single application shell that can host all of them reduces the number of separate systems the team must learn and maintain.</w:t>
            </w:r>
          </w:p>
        </w:tc>
      </w:tr>
    </w:tbl>
    <w:p>
      <w:pPr>
        <w:pStyle w:val="Heading1"/>
        <w:spacing w:after="160" w:before="360"/>
      </w:pPr>
      <w:r>
        <w:rPr>
          <w:b/>
          <w:bCs/>
        </w:rPr>
        <w:t xml:space="preserve">5. Ground Rules, Assumptions, and Constraints</w:t>
      </w:r>
    </w:p>
    <w:p>
      <w:pPr>
        <w:pStyle w:val="Heading2"/>
        <w:spacing w:after="120" w:before="260"/>
      </w:pPr>
      <w:r>
        <w:rPr>
          <w:b/>
          <w:bCs/>
        </w:rPr>
        <w:t xml:space="preserve">Ground Rules</w:t>
      </w:r>
    </w:p>
    <w:p>
      <w:pPr>
        <w:spacing w:after="160"/>
      </w:pPr>
      <w:r>
        <w:t xml:space="preserve">The following ground rules governed this analysis and the alternatives considered:</w:t>
      </w:r>
    </w:p>
    <w:p>
      <w:pPr>
        <w:pStyle w:val="ListParagraph"/>
        <w:numPr>
          <w:ilvl w:val="0"/>
          <w:numId w:val="1"/>
        </w:numPr>
        <w:spacing w:after="80"/>
      </w:pPr>
      <w:r>
        <w:t xml:space="preserve">All solutions must operate within the team's existing, already-approved NMCI / Flank Speed environment, or must offer a clearly justified capability or cost advantage sufficient to warrant standing up and separately securing a new environment. No external hosting and no new, separately-administered systems outside the approved Microsoft 365 suite are considered viable for the near term unless that bar is met.</w:t>
      </w:r>
    </w:p>
    <w:p>
      <w:pPr>
        <w:pStyle w:val="ListParagraph"/>
        <w:numPr>
          <w:ilvl w:val="0"/>
          <w:numId w:val="1"/>
        </w:numPr>
        <w:spacing w:after="80"/>
      </w:pPr>
      <w:r>
        <w:t xml:space="preserve">The analysis is bounded by an eight-week internship timeline. Any alternative that cannot produce useful output within that window is classified as a future-state option.</w:t>
      </w:r>
    </w:p>
    <w:p>
      <w:pPr>
        <w:pStyle w:val="ListParagraph"/>
        <w:numPr>
          <w:ilvl w:val="0"/>
          <w:numId w:val="1"/>
        </w:numPr>
        <w:spacing w:after="80"/>
      </w:pPr>
      <w:r>
        <w:t xml:space="preserve">No additional licensing beyond existing Flank Speed entitlements is assumed available unless explicitly noted.</w:t>
      </w:r>
    </w:p>
    <w:p>
      <w:pPr>
        <w:pStyle w:val="ListParagraph"/>
        <w:numPr>
          <w:ilvl w:val="0"/>
          <w:numId w:val="1"/>
        </w:numPr>
        <w:spacing w:after="80"/>
      </w:pPr>
      <w:r>
        <w:t xml:space="preserve">Items that could not be verified against team knowledge are labeled [Confirm].</w:t>
      </w:r>
    </w:p>
    <w:p>
      <w:pPr>
        <w:pStyle w:val="ListParagraph"/>
        <w:numPr>
          <w:ilvl w:val="0"/>
          <w:numId w:val="1"/>
        </w:numPr>
        <w:spacing w:after="80"/>
      </w:pPr>
      <w:r>
        <w:t xml:space="preserve">This document does not constitute a formal acquisition program record. It is an internal planning aid.</w:t>
      </w:r>
    </w:p>
    <w:p>
      <w:pPr>
        <w:pStyle w:val="Heading2"/>
        <w:spacing w:after="120" w:before="260"/>
      </w:pPr>
      <w:r>
        <w:rPr>
          <w:b/>
          <w:bCs/>
        </w:rPr>
        <w:t xml:space="preserve">Hosting Environment Context — Why This Matters for Alternative Screening</w:t>
      </w:r>
    </w:p>
    <w:p>
      <w:pPr>
        <w:spacing w:after="160"/>
      </w:pPr>
      <w:r>
        <w:t xml:space="preserve">The AEWTTR IPT already operates inside Flank Speed, the Navy's enterprise Microsoft 365 environment — an existing, already-approved environment with its own security review, identity, and access-control model already in place. Any tool built natively inside that environment (SharePoint, Power Platform, or an SPFx web part hosted in SharePoint, such as Firepit) runs inside a boundary the team already has, at zero additional setup cost. Any tool that runs outside that environment is, by definition, a new system: it needs its own hosting, its own security review, and often its own licensing and procurement cycle, on top of whatever capability it delivers.</w:t>
      </w:r>
    </w:p>
    <w:p>
      <w:pPr>
        <w:spacing w:after="160"/>
      </w:pPr>
      <w:r>
        <w:t xml:space="preserve">This has a direct, disqualifying effect on two alternatives considered in this document:</w:t>
      </w:r>
    </w:p>
    <w:p>
      <w:pPr>
        <w:pStyle w:val="ListParagraph"/>
        <w:numPr>
          <w:ilvl w:val="0"/>
          <w:numId w:val="1"/>
        </w:numPr>
        <w:spacing w:after="80"/>
      </w:pPr>
      <w:r>
        <w:t xml:space="preserve">Atlassian Confluence/Jira (Government Cloud) is a separately hosted, separately licensed SaaS environment entirely outside Flank Speed. Adopting it means standing up and administering a second system — its own accounts, its own security review, its own licensing — for capability that works directly against the team's stated goal of consolidating onto one platform (Section 4). A self-hosted variant was also considered and is addressed in Appendix A.</w:t>
      </w:r>
    </w:p>
    <w:p>
      <w:pPr>
        <w:pStyle w:val="ListParagraph"/>
        <w:numPr>
          <w:ilvl w:val="0"/>
          <w:numId w:val="1"/>
        </w:numPr>
        <w:spacing w:after="80"/>
      </w:pPr>
      <w:r>
        <w:t xml:space="preserve">A Custom Web Application hosted outside Flank Speed — even on solid commercial infrastructure such as Azure Government or AWS GovCloud — is still a distinct system the team would have to secure, administer, and pay to host independently. This is redundant: the team would be paying to stand up and maintain an environment that Flank Speed already provides, for no compensating capability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IMPLICATION FOR SCREENING: Any alternative that runs natively inside Flank Speed (Power Platform, or an SPFx application such as Firepit) starts from an already-approved position at zero additional setup cost. Any alternative that runs outside Flank Speed must either offer a large enough capability advantage to justify standing up and securing a new environment, or it doesn't clear the bar. This is treated as a primary screening factor in Section 10, not merely a scoring input.</w:t>
            </w:r>
          </w:p>
        </w:tc>
      </w:tr>
    </w:tbl>
    <w:p>
      <w:pPr>
        <w:spacing w:after="120"/>
      </w:pPr>
    </w:p>
    <w:p>
      <w:pPr>
        <w:pStyle w:val="Heading2"/>
        <w:spacing w:after="120" w:before="260"/>
      </w:pPr>
      <w:r>
        <w:rPr>
          <w:b/>
          <w:bCs/>
        </w:rPr>
        <w:t xml:space="preserve">The Broader External Platform Landscape</w:t>
      </w:r>
    </w:p>
    <w:p>
      <w:pPr>
        <w:spacing w:after="160"/>
      </w:pPr>
      <w:r>
        <w:t xml:space="preserve">To make sure the external-SaaS option wasn't dismissed on a single vendor's limitations, the broader landscape of external commercial platforms that could plausibly serve this need was reviewed. The practical conclusion: capable external platforms exist — ServiceNow's Strategic Portfolio Management module (Alternative 6) is a genuine functional competitor, and Salesforce (Alternative 7) is a credible general-purpose platform — but every one of them is an external procurement: new licensing, a government procurement cycle through a reseller, and a second, separately-administered environment outside Flank Speed. For a team of this size, with a working environment that already provides hosting at zero marginal cost, the burden of proof sits on the external option to justify that overhead — and none of them clearly does. This reasoning is applied as screening logic in Section 10.</w:t>
      </w:r>
    </w:p>
    <w:p>
      <w:pPr>
        <w:pStyle w:val="Heading2"/>
        <w:spacing w:after="120" w:before="260"/>
      </w:pPr>
      <w:r>
        <w:rPr>
          <w:b/>
          <w:bCs/>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80"/>
              <w:left w:type="dxa" w:w="100"/>
              <w:bottom w:type="dxa" w:w="80"/>
              <w:right w:type="dxa" w:w="100"/>
            </w:tcMar>
            <w:vAlign w:val="top"/>
          </w:tcPr>
          <w:p>
            <w:r>
              <w:rPr>
                <w:b/>
                <w:bCs/>
                <w:i w:val="false"/>
                <w:iCs w:val="false"/>
              </w:rPr>
              <w:t xml:space="preserve">Assumption</w:t>
            </w:r>
          </w:p>
        </w:tc>
        <w:tc>
          <w:tcPr>
            <w:tcW w:type="dxa" w:w="3120"/>
            <w:shd w:fill="D9D9D9" w:val="clear"/>
            <w:tcMar>
              <w:top w:type="dxa" w:w="80"/>
              <w:left w:type="dxa" w:w="100"/>
              <w:bottom w:type="dxa" w:w="80"/>
              <w:right w:type="dxa" w:w="100"/>
            </w:tcMar>
            <w:vAlign w:val="top"/>
          </w:tcPr>
          <w:p>
            <w:r>
              <w:rPr>
                <w:b/>
                <w:bCs/>
                <w:i w:val="false"/>
                <w:iCs w:val="false"/>
              </w:rPr>
              <w:t xml:space="preserve">Basis</w:t>
            </w:r>
          </w:p>
        </w:tc>
        <w:tc>
          <w:tcPr>
            <w:tcW w:type="dxa" w:w="3120"/>
            <w:shd w:fill="D9D9D9" w:val="clear"/>
            <w:tcMar>
              <w:top w:type="dxa" w:w="80"/>
              <w:left w:type="dxa" w:w="100"/>
              <w:bottom w:type="dxa" w:w="80"/>
              <w:right w:type="dxa" w:w="100"/>
            </w:tcMar>
            <w:vAlign w:val="top"/>
          </w:tcPr>
          <w:p>
            <w:r>
              <w:rPr>
                <w:b/>
                <w:bCs/>
                <w:i w:val="false"/>
                <w:iCs w:val="false"/>
              </w:rPr>
              <w:t xml:space="preserve">Risk if Wrong</w:t>
            </w:r>
          </w:p>
        </w:tc>
      </w:tr>
      <w:tr>
        <w:tc>
          <w:tcPr>
            <w:tcW w:type="dxa" w:w="3120"/>
            <w:tcMar>
              <w:top w:type="dxa" w:w="80"/>
              <w:left w:type="dxa" w:w="100"/>
              <w:bottom w:type="dxa" w:w="80"/>
              <w:right w:type="dxa" w:w="100"/>
            </w:tcMar>
            <w:vAlign w:val="top"/>
          </w:tcPr>
          <w:p>
            <w:r>
              <w:rPr>
                <w:b w:val="false"/>
                <w:bCs w:val="false"/>
                <w:i w:val="false"/>
                <w:iCs w:val="false"/>
              </w:rPr>
              <w:t xml:space="preserve">SharePoint Online is the preferred near-term data backbone for whichever front-end tool is used.</w:t>
            </w:r>
          </w:p>
        </w:tc>
        <w:tc>
          <w:tcPr>
            <w:tcW w:type="dxa" w:w="3120"/>
            <w:tcMar>
              <w:top w:type="dxa" w:w="80"/>
              <w:left w:type="dxa" w:w="100"/>
              <w:bottom w:type="dxa" w:w="80"/>
              <w:right w:type="dxa" w:w="100"/>
            </w:tcMar>
            <w:vAlign w:val="top"/>
          </w:tcPr>
          <w:p>
            <w:r>
              <w:rPr>
                <w:b w:val="false"/>
                <w:bCs w:val="false"/>
                <w:i w:val="false"/>
                <w:iCs w:val="false"/>
              </w:rPr>
              <w:t xml:space="preserve">Established team preference; Dataverse access not available during the internship.</w:t>
            </w:r>
          </w:p>
        </w:tc>
        <w:tc>
          <w:tcPr>
            <w:tcW w:type="dxa" w:w="3120"/>
            <w:tcMar>
              <w:top w:type="dxa" w:w="80"/>
              <w:left w:type="dxa" w:w="100"/>
              <w:bottom w:type="dxa" w:w="80"/>
              <w:right w:type="dxa" w:w="100"/>
            </w:tcMar>
            <w:vAlign w:val="top"/>
          </w:tcPr>
          <w:p>
            <w:r>
              <w:rPr>
                <w:b w:val="false"/>
                <w:bCs w:val="false"/>
                <w:i w:val="false"/>
                <w:iCs w:val="false"/>
              </w:rPr>
              <w:t xml:space="preserve">If Dataverse approval is closer than assumed, schema design should account for Dataverse from the start to avoid a rebuild.</w:t>
            </w:r>
          </w:p>
        </w:tc>
      </w:tr>
      <w:tr>
        <w:tc>
          <w:tcPr>
            <w:tcW w:type="dxa" w:w="3120"/>
            <w:tcMar>
              <w:top w:type="dxa" w:w="80"/>
              <w:left w:type="dxa" w:w="100"/>
              <w:bottom w:type="dxa" w:w="80"/>
              <w:right w:type="dxa" w:w="100"/>
            </w:tcMar>
            <w:vAlign w:val="top"/>
          </w:tcPr>
          <w:p>
            <w:r>
              <w:rPr>
                <w:b w:val="false"/>
                <w:bCs w:val="false"/>
                <w:i w:val="false"/>
                <w:iCs w:val="false"/>
              </w:rPr>
              <w:t xml:space="preserve">The BFM will drop weekly ERP extracts into a shared location accessible to the dashboard.</w:t>
            </w:r>
          </w:p>
        </w:tc>
        <w:tc>
          <w:tcPr>
            <w:tcW w:type="dxa" w:w="3120"/>
            <w:tcMar>
              <w:top w:type="dxa" w:w="80"/>
              <w:left w:type="dxa" w:w="100"/>
              <w:bottom w:type="dxa" w:w="80"/>
              <w:right w:type="dxa" w:w="100"/>
            </w:tcMar>
            <w:vAlign w:val="top"/>
          </w:tcPr>
          <w:p>
            <w:r>
              <w:rPr>
                <w:b w:val="false"/>
                <w:bCs w:val="false"/>
                <w:i w:val="false"/>
                <w:iCs w:val="false"/>
              </w:rPr>
              <w:t xml:space="preserve">Discussed with the team; not confirmed by the BFM directly.</w:t>
            </w:r>
          </w:p>
        </w:tc>
        <w:tc>
          <w:tcPr>
            <w:tcW w:type="dxa" w:w="3120"/>
            <w:tcMar>
              <w:top w:type="dxa" w:w="80"/>
              <w:left w:type="dxa" w:w="100"/>
              <w:bottom w:type="dxa" w:w="80"/>
              <w:right w:type="dxa" w:w="100"/>
            </w:tcMar>
            <w:vAlign w:val="top"/>
          </w:tcPr>
          <w:p>
            <w:r>
              <w:rPr>
                <w:b w:val="false"/>
                <w:bCs w:val="false"/>
                <w:i w:val="false"/>
                <w:iCs w:val="false"/>
              </w:rPr>
              <w:t xml:space="preserve">Financial module automation is not feasible without a process change directed by leadership.</w:t>
            </w:r>
          </w:p>
        </w:tc>
      </w:tr>
      <w:tr>
        <w:tc>
          <w:tcPr>
            <w:tcW w:type="dxa" w:w="3120"/>
            <w:tcMar>
              <w:top w:type="dxa" w:w="80"/>
              <w:left w:type="dxa" w:w="100"/>
              <w:bottom w:type="dxa" w:w="80"/>
              <w:right w:type="dxa" w:w="100"/>
            </w:tcMar>
            <w:vAlign w:val="top"/>
          </w:tcPr>
          <w:p>
            <w:r>
              <w:rPr>
                <w:b w:val="false"/>
                <w:bCs w:val="false"/>
                <w:i w:val="false"/>
                <w:iCs w:val="false"/>
              </w:rPr>
              <w:t xml:space="preserve">Aimee Bloomberg will serve as the primary data steward and system administrator after the internship.</w:t>
            </w:r>
          </w:p>
        </w:tc>
        <w:tc>
          <w:tcPr>
            <w:tcW w:type="dxa" w:w="3120"/>
            <w:tcMar>
              <w:top w:type="dxa" w:w="80"/>
              <w:left w:type="dxa" w:w="100"/>
              <w:bottom w:type="dxa" w:w="80"/>
              <w:right w:type="dxa" w:w="100"/>
            </w:tcMar>
            <w:vAlign w:val="top"/>
          </w:tcPr>
          <w:p>
            <w:r>
              <w:rPr>
                <w:b w:val="false"/>
                <w:bCs w:val="false"/>
                <w:i w:val="false"/>
                <w:iCs w:val="false"/>
              </w:rPr>
              <w:t xml:space="preserve">Consistent with her role and active involvement; not formally confirmed.</w:t>
            </w:r>
          </w:p>
        </w:tc>
        <w:tc>
          <w:tcPr>
            <w:tcW w:type="dxa" w:w="3120"/>
            <w:tcMar>
              <w:top w:type="dxa" w:w="80"/>
              <w:left w:type="dxa" w:w="100"/>
              <w:bottom w:type="dxa" w:w="80"/>
              <w:right w:type="dxa" w:w="100"/>
            </w:tcMar>
            <w:vAlign w:val="top"/>
          </w:tcPr>
          <w:p>
            <w:r>
              <w:rPr>
                <w:b w:val="false"/>
                <w:bCs w:val="false"/>
                <w:i w:val="false"/>
                <w:iCs w:val="false"/>
              </w:rPr>
              <w:t xml:space="preserve">If no permanent administrator is designated, apps and flows may become unowned and break.</w:t>
            </w:r>
          </w:p>
        </w:tc>
      </w:tr>
      <w:tr>
        <w:tc>
          <w:tcPr>
            <w:tcW w:type="dxa" w:w="3120"/>
            <w:tcMar>
              <w:top w:type="dxa" w:w="80"/>
              <w:left w:type="dxa" w:w="100"/>
              <w:bottom w:type="dxa" w:w="80"/>
              <w:right w:type="dxa" w:w="100"/>
            </w:tcMar>
            <w:vAlign w:val="top"/>
          </w:tcPr>
          <w:p>
            <w:r>
              <w:rPr>
                <w:b w:val="false"/>
                <w:bCs w:val="false"/>
                <w:i w:val="false"/>
                <w:iCs w:val="false"/>
              </w:rPr>
              <w:t xml:space="preserve">Flank Speed supports SPFx web part deployment (Firepit) and Power Apps Canvas App development.</w:t>
            </w:r>
          </w:p>
        </w:tc>
        <w:tc>
          <w:tcPr>
            <w:tcW w:type="dxa" w:w="3120"/>
            <w:tcMar>
              <w:top w:type="dxa" w:w="80"/>
              <w:left w:type="dxa" w:w="100"/>
              <w:bottom w:type="dxa" w:w="80"/>
              <w:right w:type="dxa" w:w="100"/>
            </w:tcMar>
            <w:vAlign w:val="top"/>
          </w:tcPr>
          <w:p>
            <w:r>
              <w:rPr>
                <w:b w:val="false"/>
                <w:bCs w:val="false"/>
                <w:i w:val="false"/>
                <w:iCs w:val="false"/>
              </w:rPr>
              <w:t xml:space="preserve">Firepit is already deployed to a NAVWAR SharePoint site; Power Apps use confirmed via the peer IPT's (GPETE [Confirm]) suite.</w:t>
            </w:r>
          </w:p>
        </w:tc>
        <w:tc>
          <w:tcPr>
            <w:tcW w:type="dxa" w:w="3120"/>
            <w:tcMar>
              <w:top w:type="dxa" w:w="80"/>
              <w:left w:type="dxa" w:w="100"/>
              <w:bottom w:type="dxa" w:w="80"/>
              <w:right w:type="dxa" w:w="100"/>
            </w:tcMar>
            <w:vAlign w:val="top"/>
          </w:tcPr>
          <w:p>
            <w:r>
              <w:rPr>
                <w:b w:val="false"/>
                <w:bCs w:val="false"/>
                <w:i w:val="false"/>
                <w:iCs w:val="false"/>
              </w:rPr>
              <w:t xml:space="preserve">If site-collection app catalog permissions are restricted for AEWTTR specifically, deployment path needs confirmation before Phase 2.</w:t>
            </w:r>
          </w:p>
        </w:tc>
      </w:tr>
      <w:tr>
        <w:tc>
          <w:tcPr>
            <w:tcW w:type="dxa" w:w="3120"/>
            <w:tcMar>
              <w:top w:type="dxa" w:w="80"/>
              <w:left w:type="dxa" w:w="100"/>
              <w:bottom w:type="dxa" w:w="80"/>
              <w:right w:type="dxa" w:w="100"/>
            </w:tcMar>
            <w:vAlign w:val="top"/>
          </w:tcPr>
          <w:p>
            <w:r>
              <w:rPr>
                <w:b w:val="false"/>
                <w:bCs w:val="false"/>
                <w:i w:val="false"/>
                <w:iCs w:val="false"/>
              </w:rPr>
              <w:t xml:space="preserve">The IPT Lead's primary reporting formats will remain substantially stable.</w:t>
            </w:r>
          </w:p>
        </w:tc>
        <w:tc>
          <w:tcPr>
            <w:tcW w:type="dxa" w:w="3120"/>
            <w:tcMar>
              <w:top w:type="dxa" w:w="80"/>
              <w:left w:type="dxa" w:w="100"/>
              <w:bottom w:type="dxa" w:w="80"/>
              <w:right w:type="dxa" w:w="100"/>
            </w:tcMar>
            <w:vAlign w:val="top"/>
          </w:tcPr>
          <w:p>
            <w:r>
              <w:rPr>
                <w:b w:val="false"/>
                <w:bCs w:val="false"/>
                <w:i w:val="false"/>
                <w:iCs w:val="false"/>
              </w:rPr>
              <w:t xml:space="preserve">Described as longstanding formats; sponsor contact noted as resistant to format changes.</w:t>
            </w:r>
          </w:p>
        </w:tc>
        <w:tc>
          <w:tcPr>
            <w:tcW w:type="dxa" w:w="3120"/>
            <w:tcMar>
              <w:top w:type="dxa" w:w="80"/>
              <w:left w:type="dxa" w:w="100"/>
              <w:bottom w:type="dxa" w:w="80"/>
              <w:right w:type="dxa" w:w="100"/>
            </w:tcMar>
            <w:vAlign w:val="top"/>
          </w:tcPr>
          <w:p>
            <w:r>
              <w:rPr>
                <w:b w:val="false"/>
                <w:bCs w:val="false"/>
                <w:i w:val="false"/>
                <w:iCs w:val="false"/>
              </w:rPr>
              <w:t xml:space="preserve">If formats change frequently, automation costs more to maintain than it saves.</w:t>
            </w:r>
          </w:p>
        </w:tc>
      </w:tr>
      <w:tr>
        <w:tc>
          <w:tcPr>
            <w:tcW w:type="dxa" w:w="3120"/>
            <w:tcMar>
              <w:top w:type="dxa" w:w="80"/>
              <w:left w:type="dxa" w:w="100"/>
              <w:bottom w:type="dxa" w:w="80"/>
              <w:right w:type="dxa" w:w="100"/>
            </w:tcMar>
            <w:vAlign w:val="top"/>
          </w:tcPr>
          <w:p>
            <w:r>
              <w:rPr>
                <w:b w:val="false"/>
                <w:bCs w:val="false"/>
                <w:i w:val="false"/>
                <w:iCs w:val="false"/>
              </w:rPr>
              <w:t xml:space="preserve">Cyber compliance step data will be manually maintained by the cyber team in the dashboard.</w:t>
            </w:r>
          </w:p>
        </w:tc>
        <w:tc>
          <w:tcPr>
            <w:tcW w:type="dxa" w:w="3120"/>
            <w:tcMar>
              <w:top w:type="dxa" w:w="80"/>
              <w:left w:type="dxa" w:w="100"/>
              <w:bottom w:type="dxa" w:w="80"/>
              <w:right w:type="dxa" w:w="100"/>
            </w:tcMar>
            <w:vAlign w:val="top"/>
          </w:tcPr>
          <w:p>
            <w:r>
              <w:rPr>
                <w:b w:val="false"/>
                <w:bCs w:val="false"/>
                <w:i w:val="false"/>
                <w:iCs w:val="false"/>
              </w:rPr>
              <w:t xml:space="preserve">No automated eMASS connection is feasible; cyber team is verbally supportive.</w:t>
            </w:r>
          </w:p>
        </w:tc>
        <w:tc>
          <w:tcPr>
            <w:tcW w:type="dxa" w:w="3120"/>
            <w:tcMar>
              <w:top w:type="dxa" w:w="80"/>
              <w:left w:type="dxa" w:w="100"/>
              <w:bottom w:type="dxa" w:w="80"/>
              <w:right w:type="dxa" w:w="100"/>
            </w:tcMar>
            <w:vAlign w:val="top"/>
          </w:tcPr>
          <w:p>
            <w:r>
              <w:rPr>
                <w:b w:val="false"/>
                <w:bCs w:val="false"/>
                <w:i w:val="false"/>
                <w:iCs w:val="false"/>
              </w:rPr>
              <w:t xml:space="preserve">If the cyber team does not update the field consistently, the cyber compliance module will have stale data and erode trust.</w:t>
            </w:r>
          </w:p>
        </w:tc>
      </w:tr>
      <w:tr>
        <w:tc>
          <w:tcPr>
            <w:tcW w:type="dxa" w:w="3120"/>
            <w:tcMar>
              <w:top w:type="dxa" w:w="80"/>
              <w:left w:type="dxa" w:w="100"/>
              <w:bottom w:type="dxa" w:w="80"/>
              <w:right w:type="dxa" w:w="100"/>
            </w:tcMar>
            <w:vAlign w:val="top"/>
          </w:tcPr>
          <w:p>
            <w:r>
              <w:rPr>
                <w:b w:val="false"/>
                <w:bCs w:val="false"/>
                <w:i w:val="false"/>
                <w:iCs w:val="false"/>
              </w:rPr>
              <w:t xml:space="preserve">The engineering team will provide checklist content before the engineering module is designed.</w:t>
            </w:r>
          </w:p>
        </w:tc>
        <w:tc>
          <w:tcPr>
            <w:tcW w:type="dxa" w:w="3120"/>
            <w:tcMar>
              <w:top w:type="dxa" w:w="80"/>
              <w:left w:type="dxa" w:w="100"/>
              <w:bottom w:type="dxa" w:w="80"/>
              <w:right w:type="dxa" w:w="100"/>
            </w:tcMar>
            <w:vAlign w:val="top"/>
          </w:tcPr>
          <w:p>
            <w:r>
              <w:rPr>
                <w:b w:val="false"/>
                <w:bCs w:val="false"/>
                <w:i w:val="false"/>
                <w:iCs w:val="false"/>
              </w:rPr>
              <w:t xml:space="preserve">Cole was asked to draft this; delivery has not yet occurred.</w:t>
            </w:r>
          </w:p>
        </w:tc>
        <w:tc>
          <w:tcPr>
            <w:tcW w:type="dxa" w:w="3120"/>
            <w:tcMar>
              <w:top w:type="dxa" w:w="80"/>
              <w:left w:type="dxa" w:w="100"/>
              <w:bottom w:type="dxa" w:w="80"/>
              <w:right w:type="dxa" w:w="100"/>
            </w:tcMar>
            <w:vAlign w:val="top"/>
          </w:tcPr>
          <w:p>
            <w:r>
              <w:rPr>
                <w:b w:val="false"/>
                <w:bCs w:val="false"/>
                <w:i w:val="false"/>
                <w:iCs w:val="false"/>
              </w:rPr>
              <w:t xml:space="preserve">The engineering module cannot be designed or built without this content.</w:t>
            </w:r>
          </w:p>
        </w:tc>
      </w:tr>
    </w:tbl>
    <w:p>
      <w:pPr>
        <w:pStyle w:val="Heading2"/>
        <w:spacing w:after="120" w:before="260"/>
      </w:pPr>
      <w:r>
        <w:rPr>
          <w:b/>
          <w:bCs/>
        </w:rPr>
        <w:t xml:space="preserve">Constraints</w:t>
      </w:r>
    </w:p>
    <w:p>
      <w:pPr>
        <w:pStyle w:val="ListParagraph"/>
        <w:numPr>
          <w:ilvl w:val="0"/>
          <w:numId w:val="1"/>
        </w:numPr>
        <w:spacing w:after="80"/>
      </w:pPr>
      <w:r>
        <w:t xml:space="preserve">Power Automate "Populate a Word Template" action is confirmed non-functional on NMCI. Word document generation requires an XML construction workaround or an alternative format.</w:t>
      </w:r>
    </w:p>
    <w:p>
      <w:pPr>
        <w:pStyle w:val="ListParagraph"/>
        <w:numPr>
          <w:ilvl w:val="0"/>
          <w:numId w:val="1"/>
        </w:numPr>
        <w:spacing w:after="80"/>
      </w:pPr>
      <w:r>
        <w:t xml:space="preserve">Dataverse requires Echelon 2 approval and premium per-user licensing. Access was not available during the internship.</w:t>
      </w:r>
    </w:p>
    <w:p>
      <w:pPr>
        <w:pStyle w:val="ListParagraph"/>
        <w:numPr>
          <w:ilvl w:val="0"/>
          <w:numId w:val="1"/>
        </w:numPr>
        <w:spacing w:after="80"/>
      </w:pPr>
      <w:r>
        <w:t xml:space="preserve">eMASS operates on a restricted network and cannot be directly integrated with dashboard tools.</w:t>
      </w:r>
    </w:p>
    <w:p>
      <w:pPr>
        <w:pStyle w:val="ListParagraph"/>
        <w:numPr>
          <w:ilvl w:val="0"/>
          <w:numId w:val="1"/>
        </w:numPr>
        <w:spacing w:after="80"/>
      </w:pPr>
      <w:r>
        <w:t xml:space="preserve">External Navy systems (EDA, SAM.gov, Wide Area Workflow, eMASS) cannot be directly integrated without access and security review.</w:t>
      </w:r>
    </w:p>
    <w:p>
      <w:pPr>
        <w:pStyle w:val="ListParagraph"/>
        <w:numPr>
          <w:ilvl w:val="0"/>
          <w:numId w:val="1"/>
        </w:numPr>
        <w:spacing w:after="80"/>
      </w:pPr>
      <w:r>
        <w:t xml:space="preserve">Microsoft Teams group chat Power Automate flows break when the flow owner's account is deactivated. All flows should be co-owned by a permanent government employee before the internship ends.</w:t>
      </w:r>
    </w:p>
    <w:p>
      <w:pPr>
        <w:pStyle w:val="ListParagraph"/>
        <w:numPr>
          <w:ilvl w:val="0"/>
          <w:numId w:val="1"/>
        </w:numPr>
        <w:spacing w:after="80"/>
      </w:pPr>
      <w:r>
        <w:t xml:space="preserve">Microsoft Planner subtasks have been removed from the DoD rollout. Any Planner-dependent design should account for this.</w:t>
      </w:r>
    </w:p>
    <w:p>
      <w:pPr>
        <w:pStyle w:val="ListParagraph"/>
        <w:numPr>
          <w:ilvl w:val="0"/>
          <w:numId w:val="1"/>
        </w:numPr>
        <w:spacing w:after="80"/>
      </w:pPr>
      <w:r>
        <w:t xml:space="preserve">Firepit's network guard restricts any hosted application to an allow-listed set of destinations (the SharePoint origin, approved CDNs, and approved GenAI endpoints). Any future integration outside that allow-list requires the guard's allow-list to be extended, which is a configuration change at the Firepit/Forge level, not a per-app setting.</w:t>
      </w:r>
    </w:p>
    <w:p>
      <w:pPr>
        <w:pStyle w:val="Heading1"/>
        <w:spacing w:after="160" w:before="360"/>
      </w:pPr>
      <w:r>
        <w:rPr>
          <w:b/>
          <w:bCs/>
        </w:rPr>
        <w:t xml:space="preserve">6. Scope</w:t>
      </w:r>
    </w:p>
    <w:p>
      <w:pPr>
        <w:pStyle w:val="Heading2"/>
        <w:spacing w:after="120" w:before="260"/>
      </w:pPr>
      <w:r>
        <w:rPr>
          <w:b/>
          <w:bCs/>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6607"/>
      </w:tblGrid>
      <w:tr>
        <w:trPr>
          <w:tblHeader/>
        </w:trPr>
        <w:tc>
          <w:tcPr>
            <w:tcW w:type="dxa" w:w="2753"/>
            <w:shd w:fill="D9D9D9" w:val="clear"/>
            <w:tcMar>
              <w:top w:type="dxa" w:w="80"/>
              <w:left w:type="dxa" w:w="100"/>
              <w:bottom w:type="dxa" w:w="80"/>
              <w:right w:type="dxa" w:w="100"/>
            </w:tcMar>
            <w:vAlign w:val="top"/>
          </w:tcPr>
          <w:p>
            <w:r>
              <w:rPr>
                <w:b/>
                <w:bCs/>
                <w:i w:val="false"/>
                <w:iCs w:val="false"/>
              </w:rPr>
              <w:t xml:space="preserve">Area</w:t>
            </w:r>
          </w:p>
        </w:tc>
        <w:tc>
          <w:tcPr>
            <w:tcW w:type="dxa" w:w="6607"/>
            <w:shd w:fill="D9D9D9" w:val="clear"/>
            <w:tcMar>
              <w:top w:type="dxa" w:w="80"/>
              <w:left w:type="dxa" w:w="100"/>
              <w:bottom w:type="dxa" w:w="80"/>
              <w:right w:type="dxa" w:w="100"/>
            </w:tcMar>
            <w:vAlign w:val="top"/>
          </w:tcPr>
          <w:p>
            <w:r>
              <w:rPr>
                <w:b/>
                <w:bCs/>
                <w:i w:val="false"/>
                <w:iCs w:val="false"/>
              </w:rPr>
              <w:t xml:space="preserve">Description</w:t>
            </w:r>
          </w:p>
        </w:tc>
      </w:tr>
      <w:tr>
        <w:tc>
          <w:tcPr>
            <w:tcW w:type="dxa" w:w="2753"/>
            <w:tcMar>
              <w:top w:type="dxa" w:w="80"/>
              <w:left w:type="dxa" w:w="100"/>
              <w:bottom w:type="dxa" w:w="80"/>
              <w:right w:type="dxa" w:w="100"/>
            </w:tcMar>
            <w:vAlign w:val="top"/>
          </w:tcPr>
          <w:p>
            <w:r>
              <w:rPr>
                <w:b w:val="false"/>
                <w:bCs w:val="false"/>
                <w:i w:val="false"/>
                <w:iCs w:val="false"/>
              </w:rPr>
              <w:t xml:space="preserve">Portfolio project tracking</w:t>
            </w:r>
          </w:p>
        </w:tc>
        <w:tc>
          <w:tcPr>
            <w:tcW w:type="dxa" w:w="6607"/>
            <w:tcMar>
              <w:top w:type="dxa" w:w="80"/>
              <w:left w:type="dxa" w:w="100"/>
              <w:bottom w:type="dxa" w:w="80"/>
              <w:right w:type="dxa" w:w="100"/>
            </w:tcMar>
            <w:vAlign w:val="top"/>
          </w:tcPr>
          <w:p>
            <w:r>
              <w:rPr>
                <w:b w:val="false"/>
                <w:bCs w:val="false"/>
                <w:i w:val="false"/>
                <w:iCs w:val="false"/>
              </w:rPr>
              <w:t xml:space="preserve">A single view of all AEWTTR IPT projects with key status fields.</w:t>
            </w:r>
          </w:p>
        </w:tc>
      </w:tr>
      <w:tr>
        <w:tc>
          <w:tcPr>
            <w:tcW w:type="dxa" w:w="2753"/>
            <w:tcMar>
              <w:top w:type="dxa" w:w="80"/>
              <w:left w:type="dxa" w:w="100"/>
              <w:bottom w:type="dxa" w:w="80"/>
              <w:right w:type="dxa" w:w="100"/>
            </w:tcMar>
            <w:vAlign w:val="top"/>
          </w:tcPr>
          <w:p>
            <w:r>
              <w:rPr>
                <w:b w:val="false"/>
                <w:bCs w:val="false"/>
                <w:i w:val="false"/>
                <w:iCs w:val="false"/>
              </w:rPr>
              <w:t xml:space="preserve">Per-project detail view</w:t>
            </w:r>
          </w:p>
        </w:tc>
        <w:tc>
          <w:tcPr>
            <w:tcW w:type="dxa" w:w="6607"/>
            <w:tcMar>
              <w:top w:type="dxa" w:w="80"/>
              <w:left w:type="dxa" w:w="100"/>
              <w:bottom w:type="dxa" w:w="80"/>
              <w:right w:type="dxa" w:w="100"/>
            </w:tcMar>
            <w:vAlign w:val="top"/>
          </w:tcPr>
          <w:p>
            <w:r>
              <w:rPr>
                <w:b w:val="false"/>
                <w:bCs w:val="false"/>
                <w:i w:val="false"/>
                <w:iCs w:val="false"/>
              </w:rPr>
              <w:t xml:space="preserve">A drill-down page per project showing all relevant data in one place.</w:t>
            </w:r>
          </w:p>
        </w:tc>
      </w:tr>
      <w:tr>
        <w:tc>
          <w:tcPr>
            <w:tcW w:type="dxa" w:w="2753"/>
            <w:tcMar>
              <w:top w:type="dxa" w:w="80"/>
              <w:left w:type="dxa" w:w="100"/>
              <w:bottom w:type="dxa" w:w="80"/>
              <w:right w:type="dxa" w:w="100"/>
            </w:tcMar>
            <w:vAlign w:val="top"/>
          </w:tcPr>
          <w:p>
            <w:r>
              <w:rPr>
                <w:b w:val="false"/>
                <w:bCs w:val="false"/>
                <w:i w:val="false"/>
                <w:iCs w:val="false"/>
              </w:rPr>
              <w:t xml:space="preserve">Status reporting</w:t>
            </w:r>
          </w:p>
        </w:tc>
        <w:tc>
          <w:tcPr>
            <w:tcW w:type="dxa" w:w="6607"/>
            <w:tcMar>
              <w:top w:type="dxa" w:w="80"/>
              <w:left w:type="dxa" w:w="100"/>
              <w:bottom w:type="dxa" w:w="80"/>
              <w:right w:type="dxa" w:w="100"/>
            </w:tcMar>
            <w:vAlign w:val="top"/>
          </w:tcPr>
          <w:p>
            <w:r>
              <w:rPr>
                <w:b w:val="false"/>
                <w:bCs w:val="false"/>
                <w:i w:val="false"/>
                <w:iCs w:val="false"/>
              </w:rPr>
              <w:t xml:space="preserve">Tools to update project status and generate reporting outputs.</w:t>
            </w:r>
          </w:p>
        </w:tc>
      </w:tr>
      <w:tr>
        <w:tc>
          <w:tcPr>
            <w:tcW w:type="dxa" w:w="2753"/>
            <w:tcMar>
              <w:top w:type="dxa" w:w="80"/>
              <w:left w:type="dxa" w:w="100"/>
              <w:bottom w:type="dxa" w:w="80"/>
              <w:right w:type="dxa" w:w="100"/>
            </w:tcMar>
            <w:vAlign w:val="top"/>
          </w:tcPr>
          <w:p>
            <w:r>
              <w:rPr>
                <w:b w:val="false"/>
                <w:bCs w:val="false"/>
                <w:i w:val="false"/>
                <w:iCs w:val="false"/>
              </w:rPr>
              <w:t xml:space="preserve">Financial summary integration</w:t>
            </w:r>
          </w:p>
        </w:tc>
        <w:tc>
          <w:tcPr>
            <w:tcW w:type="dxa" w:w="6607"/>
            <w:tcMar>
              <w:top w:type="dxa" w:w="80"/>
              <w:left w:type="dxa" w:w="100"/>
              <w:bottom w:type="dxa" w:w="80"/>
              <w:right w:type="dxa" w:w="100"/>
            </w:tcMar>
            <w:vAlign w:val="top"/>
          </w:tcPr>
          <w:p>
            <w:r>
              <w:rPr>
                <w:b w:val="false"/>
                <w:bCs w:val="false"/>
                <w:i w:val="false"/>
                <w:iCs w:val="false"/>
              </w:rPr>
              <w:t xml:space="preserve">Display of funding, obligations, expenditures, and available balance per project.</w:t>
            </w:r>
          </w:p>
        </w:tc>
      </w:tr>
      <w:tr>
        <w:tc>
          <w:tcPr>
            <w:tcW w:type="dxa" w:w="2753"/>
            <w:tcMar>
              <w:top w:type="dxa" w:w="80"/>
              <w:left w:type="dxa" w:w="100"/>
              <w:bottom w:type="dxa" w:w="80"/>
              <w:right w:type="dxa" w:w="100"/>
            </w:tcMar>
            <w:vAlign w:val="top"/>
          </w:tcPr>
          <w:p>
            <w:r>
              <w:rPr>
                <w:b w:val="false"/>
                <w:bCs w:val="false"/>
                <w:i w:val="false"/>
                <w:iCs w:val="false"/>
              </w:rPr>
              <w:t xml:space="preserve">Schedule / milestone tracking</w:t>
            </w:r>
          </w:p>
        </w:tc>
        <w:tc>
          <w:tcPr>
            <w:tcW w:type="dxa" w:w="6607"/>
            <w:tcMar>
              <w:top w:type="dxa" w:w="80"/>
              <w:left w:type="dxa" w:w="100"/>
              <w:bottom w:type="dxa" w:w="80"/>
              <w:right w:type="dxa" w:w="100"/>
            </w:tcMar>
            <w:vAlign w:val="top"/>
          </w:tcPr>
          <w:p>
            <w:r>
              <w:rPr>
                <w:b w:val="false"/>
                <w:bCs w:val="false"/>
                <w:i w:val="false"/>
                <w:iCs w:val="false"/>
              </w:rPr>
              <w:t xml:space="preserve">Key milestone dates, planned vs. actual, schedule variance.</w:t>
            </w:r>
          </w:p>
        </w:tc>
      </w:tr>
      <w:tr>
        <w:tc>
          <w:tcPr>
            <w:tcW w:type="dxa" w:w="2753"/>
            <w:tcMar>
              <w:top w:type="dxa" w:w="80"/>
              <w:left w:type="dxa" w:w="100"/>
              <w:bottom w:type="dxa" w:w="80"/>
              <w:right w:type="dxa" w:w="100"/>
            </w:tcMar>
            <w:vAlign w:val="top"/>
          </w:tcPr>
          <w:p>
            <w:r>
              <w:rPr>
                <w:b w:val="false"/>
                <w:bCs w:val="false"/>
                <w:i w:val="false"/>
                <w:iCs w:val="false"/>
              </w:rPr>
              <w:t xml:space="preserve">Contract data visibility</w:t>
            </w:r>
          </w:p>
        </w:tc>
        <w:tc>
          <w:tcPr>
            <w:tcW w:type="dxa" w:w="6607"/>
            <w:tcMar>
              <w:top w:type="dxa" w:w="80"/>
              <w:left w:type="dxa" w:w="100"/>
              <w:bottom w:type="dxa" w:w="80"/>
              <w:right w:type="dxa" w:w="100"/>
            </w:tcMar>
            <w:vAlign w:val="top"/>
          </w:tcPr>
          <w:p>
            <w:r>
              <w:rPr>
                <w:b w:val="false"/>
                <w:bCs w:val="false"/>
                <w:i w:val="false"/>
                <w:iCs w:val="false"/>
              </w:rPr>
              <w:t xml:space="preserve">Task order summary, modification status, period of performance, contractor name.</w:t>
            </w:r>
          </w:p>
        </w:tc>
      </w:tr>
      <w:tr>
        <w:tc>
          <w:tcPr>
            <w:tcW w:type="dxa" w:w="2753"/>
            <w:tcMar>
              <w:top w:type="dxa" w:w="80"/>
              <w:left w:type="dxa" w:w="100"/>
              <w:bottom w:type="dxa" w:w="80"/>
              <w:right w:type="dxa" w:w="100"/>
            </w:tcMar>
            <w:vAlign w:val="top"/>
          </w:tcPr>
          <w:p>
            <w:r>
              <w:rPr>
                <w:b w:val="false"/>
                <w:bCs w:val="false"/>
                <w:i w:val="false"/>
                <w:iCs w:val="false"/>
              </w:rPr>
              <w:t xml:space="preserve">Cyber compliance status visibility</w:t>
            </w:r>
          </w:p>
        </w:tc>
        <w:tc>
          <w:tcPr>
            <w:tcW w:type="dxa" w:w="6607"/>
            <w:tcMar>
              <w:top w:type="dxa" w:w="80"/>
              <w:left w:type="dxa" w:w="100"/>
              <w:bottom w:type="dxa" w:w="80"/>
              <w:right w:type="dxa" w:w="100"/>
            </w:tcMar>
            <w:vAlign w:val="top"/>
          </w:tcPr>
          <w:p>
            <w:r>
              <w:rPr>
                <w:b w:val="false"/>
                <w:bCs w:val="false"/>
                <w:i w:val="false"/>
                <w:iCs w:val="false"/>
              </w:rPr>
              <w:t xml:space="preserve">Current cyber compliance step per project; step entry date where feasible.</w:t>
            </w:r>
          </w:p>
        </w:tc>
      </w:tr>
      <w:tr>
        <w:tc>
          <w:tcPr>
            <w:tcW w:type="dxa" w:w="2753"/>
            <w:tcMar>
              <w:top w:type="dxa" w:w="80"/>
              <w:left w:type="dxa" w:w="100"/>
              <w:bottom w:type="dxa" w:w="80"/>
              <w:right w:type="dxa" w:w="100"/>
            </w:tcMar>
            <w:vAlign w:val="top"/>
          </w:tcPr>
          <w:p>
            <w:r>
              <w:rPr>
                <w:b w:val="false"/>
                <w:bCs w:val="false"/>
                <w:i w:val="false"/>
                <w:iCs w:val="false"/>
              </w:rPr>
              <w:t xml:space="preserve">Export and briefing support</w:t>
            </w:r>
          </w:p>
        </w:tc>
        <w:tc>
          <w:tcPr>
            <w:tcW w:type="dxa" w:w="6607"/>
            <w:tcMar>
              <w:top w:type="dxa" w:w="80"/>
              <w:left w:type="dxa" w:w="100"/>
              <w:bottom w:type="dxa" w:w="80"/>
              <w:right w:type="dxa" w:w="100"/>
            </w:tcMar>
            <w:vAlign w:val="top"/>
          </w:tcPr>
          <w:p>
            <w:r>
              <w:rPr>
                <w:b w:val="false"/>
                <w:bCs w:val="false"/>
                <w:i w:val="false"/>
                <w:iCs w:val="false"/>
              </w:rPr>
              <w:t xml:space="preserve">Export to Excel; leadership summary view; PowerPoint or Word output where technically feasible on NMCI.</w:t>
            </w:r>
          </w:p>
        </w:tc>
      </w:tr>
      <w:tr>
        <w:tc>
          <w:tcPr>
            <w:tcW w:type="dxa" w:w="2753"/>
            <w:tcMar>
              <w:top w:type="dxa" w:w="80"/>
              <w:left w:type="dxa" w:w="100"/>
              <w:bottom w:type="dxa" w:w="80"/>
              <w:right w:type="dxa" w:w="100"/>
            </w:tcMar>
            <w:vAlign w:val="top"/>
          </w:tcPr>
          <w:p>
            <w:r>
              <w:rPr>
                <w:b w:val="false"/>
                <w:bCs w:val="false"/>
                <w:i w:val="false"/>
                <w:iCs w:val="false"/>
              </w:rPr>
              <w:t xml:space="preserve">Data schema and source mapping</w:t>
            </w:r>
          </w:p>
        </w:tc>
        <w:tc>
          <w:tcPr>
            <w:tcW w:type="dxa" w:w="6607"/>
            <w:tcMar>
              <w:top w:type="dxa" w:w="80"/>
              <w:left w:type="dxa" w:w="100"/>
              <w:bottom w:type="dxa" w:w="80"/>
              <w:right w:type="dxa" w:w="100"/>
            </w:tcMar>
            <w:vAlign w:val="top"/>
          </w:tcPr>
          <w:p>
            <w:r>
              <w:rPr>
                <w:b w:val="false"/>
                <w:bCs w:val="false"/>
                <w:i w:val="false"/>
                <w:iCs w:val="false"/>
              </w:rPr>
              <w:t xml:space="preserve">A formal document defining all tables, fields, ownership, and data sources — the primary deliverable and required precondition for all other work.</w:t>
            </w:r>
          </w:p>
        </w:tc>
      </w:tr>
      <w:tr>
        <w:tc>
          <w:tcPr>
            <w:tcW w:type="dxa" w:w="2753"/>
            <w:tcMar>
              <w:top w:type="dxa" w:w="80"/>
              <w:left w:type="dxa" w:w="100"/>
              <w:bottom w:type="dxa" w:w="80"/>
              <w:right w:type="dxa" w:w="100"/>
            </w:tcMar>
            <w:vAlign w:val="top"/>
          </w:tcPr>
          <w:p>
            <w:r>
              <w:rPr>
                <w:b w:val="false"/>
                <w:bCs w:val="false"/>
                <w:i w:val="false"/>
                <w:iCs w:val="false"/>
              </w:rPr>
              <w:t xml:space="preserve">Engineering checklist status</w:t>
            </w:r>
          </w:p>
        </w:tc>
        <w:tc>
          <w:tcPr>
            <w:tcW w:type="dxa" w:w="6607"/>
            <w:tcMar>
              <w:top w:type="dxa" w:w="80"/>
              <w:left w:type="dxa" w:w="100"/>
              <w:bottom w:type="dxa" w:w="80"/>
              <w:right w:type="dxa" w:w="100"/>
            </w:tcMar>
            <w:vAlign w:val="top"/>
          </w:tcPr>
          <w:p>
            <w:r>
              <w:rPr>
                <w:b w:val="false"/>
                <w:bCs w:val="false"/>
                <w:i w:val="false"/>
                <w:iCs w:val="false"/>
              </w:rPr>
              <w:t xml:space="preserve">Per-project checklist completion as a module, once checklist content is defined by the engineering team.</w:t>
            </w:r>
          </w:p>
        </w:tc>
      </w:tr>
      <w:tr>
        <w:tc>
          <w:tcPr>
            <w:tcW w:type="dxa" w:w="2753"/>
            <w:tcMar>
              <w:top w:type="dxa" w:w="80"/>
              <w:left w:type="dxa" w:w="100"/>
              <w:bottom w:type="dxa" w:w="80"/>
              <w:right w:type="dxa" w:w="100"/>
            </w:tcMar>
            <w:vAlign w:val="top"/>
          </w:tcPr>
          <w:p>
            <w:r>
              <w:rPr>
                <w:b w:val="false"/>
                <w:bCs w:val="false"/>
                <w:i w:val="false"/>
                <w:iCs w:val="false"/>
              </w:rPr>
              <w:t xml:space="preserve">Application suite consolidation</w:t>
            </w:r>
          </w:p>
        </w:tc>
        <w:tc>
          <w:tcPr>
            <w:tcW w:type="dxa" w:w="6607"/>
            <w:tcMar>
              <w:top w:type="dxa" w:w="80"/>
              <w:left w:type="dxa" w:w="100"/>
              <w:bottom w:type="dxa" w:w="80"/>
              <w:right w:type="dxa" w:w="100"/>
            </w:tcMar>
            <w:vAlign w:val="top"/>
          </w:tcPr>
          <w:p>
            <w:r>
              <w:rPr>
                <w:b w:val="false"/>
                <w:bCs w:val="false"/>
                <w:i w:val="false"/>
                <w:iCs w:val="false"/>
              </w:rPr>
              <w:t xml:space="preserve">A single deployment shell (Firepit-hosted, if confirmed available) capable of hosting the dashboard alongside the travel request tool, PM hub, and travel calendar as separate screens or modules within one consistent application.</w:t>
            </w:r>
          </w:p>
        </w:tc>
      </w:tr>
      <w:tr>
        <w:tc>
          <w:tcPr>
            <w:tcW w:type="dxa" w:w="2753"/>
            <w:tcMar>
              <w:top w:type="dxa" w:w="80"/>
              <w:left w:type="dxa" w:w="100"/>
              <w:bottom w:type="dxa" w:w="80"/>
              <w:right w:type="dxa" w:w="100"/>
            </w:tcMar>
            <w:vAlign w:val="top"/>
          </w:tcPr>
          <w:p>
            <w:r>
              <w:rPr>
                <w:b w:val="false"/>
                <w:bCs w:val="false"/>
                <w:i w:val="false"/>
                <w:iCs w:val="false"/>
              </w:rPr>
              <w:t xml:space="preserve">Support ticketing integration</w:t>
            </w:r>
          </w:p>
        </w:tc>
        <w:tc>
          <w:tcPr>
            <w:tcW w:type="dxa" w:w="6607"/>
            <w:tcMar>
              <w:top w:type="dxa" w:w="80"/>
              <w:left w:type="dxa" w:w="100"/>
              <w:bottom w:type="dxa" w:w="80"/>
              <w:right w:type="dxa" w:w="100"/>
            </w:tcMar>
            <w:vAlign w:val="top"/>
          </w:tcPr>
          <w:p>
            <w:r>
              <w:rPr>
                <w:b w:val="false"/>
                <w:bCs w:val="false"/>
                <w:i w:val="false"/>
                <w:iCs w:val="false"/>
              </w:rPr>
              <w:t xml:space="preserve">The team's contractors currently work out of a Jira ticketing system. The selected platform should be able to host a ticketing screen within the suite, or link ticket status into the dashboard, so support requests are visible alongside the rest of the portfolio rather than living in a disconnected system. Full replacement of the contractor Jira instance is a future-phase decision, not an internship deliverable.</w:t>
            </w:r>
          </w:p>
        </w:tc>
      </w:tr>
    </w:tbl>
    <w:p>
      <w:pPr>
        <w:pStyle w:val="Heading2"/>
        <w:spacing w:after="120" w:before="260"/>
      </w:pPr>
      <w:r>
        <w:rPr>
          <w:b/>
          <w:bCs/>
        </w:rPr>
        <w:t xml:space="preserve">Out of Scope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6607"/>
      </w:tblGrid>
      <w:tr>
        <w:trPr>
          <w:tblHeader/>
        </w:trPr>
        <w:tc>
          <w:tcPr>
            <w:tcW w:type="dxa" w:w="2753"/>
            <w:shd w:fill="D9D9D9" w:val="clear"/>
            <w:tcMar>
              <w:top w:type="dxa" w:w="80"/>
              <w:left w:type="dxa" w:w="100"/>
              <w:bottom w:type="dxa" w:w="80"/>
              <w:right w:type="dxa" w:w="100"/>
            </w:tcMar>
            <w:vAlign w:val="top"/>
          </w:tcPr>
          <w:p>
            <w:r>
              <w:rPr>
                <w:b/>
                <w:bCs/>
                <w:i w:val="false"/>
                <w:iCs w:val="false"/>
              </w:rPr>
              <w:t xml:space="preserve">Project</w:t>
            </w:r>
          </w:p>
        </w:tc>
        <w:tc>
          <w:tcPr>
            <w:tcW w:type="dxa" w:w="6607"/>
            <w:shd w:fill="D9D9D9" w:val="clear"/>
            <w:tcMar>
              <w:top w:type="dxa" w:w="80"/>
              <w:left w:type="dxa" w:w="100"/>
              <w:bottom w:type="dxa" w:w="80"/>
              <w:right w:type="dxa" w:w="100"/>
            </w:tcMar>
            <w:vAlign w:val="top"/>
          </w:tcPr>
          <w:p>
            <w:r>
              <w:rPr>
                <w:b/>
                <w:bCs/>
                <w:i w:val="false"/>
                <w:iCs w:val="false"/>
              </w:rPr>
              <w:t xml:space="preserve">Reason for Exclusion</w:t>
            </w:r>
          </w:p>
        </w:tc>
      </w:tr>
      <w:tr>
        <w:tc>
          <w:tcPr>
            <w:tcW w:type="dxa" w:w="2753"/>
            <w:tcMar>
              <w:top w:type="dxa" w:w="80"/>
              <w:left w:type="dxa" w:w="100"/>
              <w:bottom w:type="dxa" w:w="80"/>
              <w:right w:type="dxa" w:w="100"/>
            </w:tcMar>
            <w:vAlign w:val="top"/>
          </w:tcPr>
          <w:p>
            <w:r>
              <w:rPr>
                <w:b w:val="false"/>
                <w:bCs w:val="false"/>
                <w:i w:val="false"/>
                <w:iCs w:val="false"/>
              </w:rPr>
              <w:t xml:space="preserve">Trip report tool (P6)</w:t>
            </w:r>
          </w:p>
        </w:tc>
        <w:tc>
          <w:tcPr>
            <w:tcW w:type="dxa" w:w="6607"/>
            <w:tcMar>
              <w:top w:type="dxa" w:w="80"/>
              <w:left w:type="dxa" w:w="100"/>
              <w:bottom w:type="dxa" w:w="80"/>
              <w:right w:type="dxa" w:w="100"/>
            </w:tcMar>
            <w:vAlign w:val="top"/>
          </w:tcPr>
          <w:p>
            <w:r>
              <w:rPr>
                <w:b w:val="false"/>
                <w:bCs w:val="false"/>
                <w:i w:val="false"/>
                <w:iCs w:val="false"/>
              </w:rPr>
              <w:t xml:space="preserve">Post-travel record-keeping; treated as a separate build task, not a dashboard architecture decision.</w:t>
            </w:r>
          </w:p>
        </w:tc>
      </w:tr>
      <w:tr>
        <w:tc>
          <w:tcPr>
            <w:tcW w:type="dxa" w:w="2753"/>
            <w:tcMar>
              <w:top w:type="dxa" w:w="80"/>
              <w:left w:type="dxa" w:w="100"/>
              <w:bottom w:type="dxa" w:w="80"/>
              <w:right w:type="dxa" w:w="100"/>
            </w:tcMar>
            <w:vAlign w:val="top"/>
          </w:tcPr>
          <w:p>
            <w:r>
              <w:rPr>
                <w:b w:val="false"/>
                <w:bCs w:val="false"/>
                <w:i w:val="false"/>
                <w:iCs w:val="false"/>
              </w:rPr>
              <w:t xml:space="preserve">Document review / approval workflow (P9)</w:t>
            </w:r>
          </w:p>
        </w:tc>
        <w:tc>
          <w:tcPr>
            <w:tcW w:type="dxa" w:w="6607"/>
            <w:tcMar>
              <w:top w:type="dxa" w:w="80"/>
              <w:left w:type="dxa" w:w="100"/>
              <w:bottom w:type="dxa" w:w="80"/>
              <w:right w:type="dxa" w:w="100"/>
            </w:tcMar>
            <w:vAlign w:val="top"/>
          </w:tcPr>
          <w:p>
            <w:r>
              <w:rPr>
                <w:b w:val="false"/>
                <w:bCs w:val="false"/>
                <w:i w:val="false"/>
                <w:iCs w:val="false"/>
              </w:rPr>
              <w:t xml:space="preserve">Internal routing improvement; no dashboard data relationship.</w:t>
            </w:r>
          </w:p>
        </w:tc>
      </w:tr>
      <w:tr>
        <w:tc>
          <w:tcPr>
            <w:tcW w:type="dxa" w:w="2753"/>
            <w:tcMar>
              <w:top w:type="dxa" w:w="80"/>
              <w:left w:type="dxa" w:w="100"/>
              <w:bottom w:type="dxa" w:w="80"/>
              <w:right w:type="dxa" w:w="100"/>
            </w:tcMar>
            <w:vAlign w:val="top"/>
          </w:tcPr>
          <w:p>
            <w:r>
              <w:rPr>
                <w:b w:val="false"/>
                <w:bCs w:val="false"/>
                <w:i w:val="false"/>
                <w:iCs w:val="false"/>
              </w:rPr>
              <w:t xml:space="preserve">AI-assisted editorial review tool (P10)</w:t>
            </w:r>
          </w:p>
        </w:tc>
        <w:tc>
          <w:tcPr>
            <w:tcW w:type="dxa" w:w="6607"/>
            <w:tcMar>
              <w:top w:type="dxa" w:w="80"/>
              <w:left w:type="dxa" w:w="100"/>
              <w:bottom w:type="dxa" w:w="80"/>
              <w:right w:type="dxa" w:w="100"/>
            </w:tcMar>
            <w:vAlign w:val="top"/>
          </w:tcPr>
          <w:p>
            <w:r>
              <w:rPr>
                <w:b w:val="false"/>
                <w:bCs w:val="false"/>
                <w:i w:val="false"/>
                <w:iCs w:val="false"/>
              </w:rPr>
              <w:t xml:space="preserve">Dependent on style guide completion; no dashboard data relationship.</w:t>
            </w:r>
          </w:p>
        </w:tc>
      </w:tr>
      <w:tr>
        <w:tc>
          <w:tcPr>
            <w:tcW w:type="dxa" w:w="2753"/>
            <w:tcMar>
              <w:top w:type="dxa" w:w="80"/>
              <w:left w:type="dxa" w:w="100"/>
              <w:bottom w:type="dxa" w:w="80"/>
              <w:right w:type="dxa" w:w="100"/>
            </w:tcMar>
            <w:vAlign w:val="top"/>
          </w:tcPr>
          <w:p>
            <w:r>
              <w:rPr>
                <w:b w:val="false"/>
                <w:bCs w:val="false"/>
                <w:i w:val="false"/>
                <w:iCs w:val="false"/>
              </w:rPr>
              <w:t xml:space="preserve">CSDVD [Confirm] distribution tool (P11)</w:t>
            </w:r>
          </w:p>
        </w:tc>
        <w:tc>
          <w:tcPr>
            <w:tcW w:type="dxa" w:w="6607"/>
            <w:tcMar>
              <w:top w:type="dxa" w:w="80"/>
              <w:left w:type="dxa" w:w="100"/>
              <w:bottom w:type="dxa" w:w="80"/>
              <w:right w:type="dxa" w:w="100"/>
            </w:tcMar>
            <w:vAlign w:val="top"/>
          </w:tcPr>
          <w:p>
            <w:r>
              <w:rPr>
                <w:b w:val="false"/>
                <w:bCs w:val="false"/>
                <w:i w:val="false"/>
                <w:iCs w:val="false"/>
              </w:rPr>
              <w:t xml:space="preserve">Cyber operational workflow; cyber compliance step tracking (P7) is the dashboard-related cyber element.</w:t>
            </w:r>
          </w:p>
        </w:tc>
      </w:tr>
      <w:tr>
        <w:tc>
          <w:tcPr>
            <w:tcW w:type="dxa" w:w="2753"/>
            <w:tcMar>
              <w:top w:type="dxa" w:w="80"/>
              <w:left w:type="dxa" w:w="100"/>
              <w:bottom w:type="dxa" w:w="80"/>
              <w:right w:type="dxa" w:w="100"/>
            </w:tcMar>
            <w:vAlign w:val="top"/>
          </w:tcPr>
          <w:p>
            <w:r>
              <w:rPr>
                <w:b w:val="false"/>
                <w:bCs w:val="false"/>
                <w:i w:val="false"/>
                <w:iCs w:val="false"/>
              </w:rPr>
              <w:t xml:space="preserve">Support ticket / help desk system (P13)</w:t>
            </w:r>
          </w:p>
        </w:tc>
        <w:tc>
          <w:tcPr>
            <w:tcW w:type="dxa" w:w="6607"/>
            <w:tcMar>
              <w:top w:type="dxa" w:w="80"/>
              <w:left w:type="dxa" w:w="100"/>
              <w:bottom w:type="dxa" w:w="80"/>
              <w:right w:type="dxa" w:w="100"/>
            </w:tcMar>
            <w:vAlign w:val="top"/>
          </w:tcPr>
          <w:p>
            <w:r>
              <w:rPr>
                <w:b w:val="false"/>
                <w:bCs w:val="false"/>
                <w:i w:val="false"/>
                <w:iCs w:val="false"/>
              </w:rPr>
              <w:t xml:space="preserve">Building a full replacement for the contractor Jira ticketing system is out of scope for the internship. However, a ticketing screen or ticket-status link inside the selected application suite is in scope as a future module (see In Scope, above), so this exclusion covers the full help desk build only.</w:t>
            </w:r>
          </w:p>
        </w:tc>
      </w:tr>
      <w:tr>
        <w:tc>
          <w:tcPr>
            <w:tcW w:type="dxa" w:w="2753"/>
            <w:tcMar>
              <w:top w:type="dxa" w:w="80"/>
              <w:left w:type="dxa" w:w="100"/>
              <w:bottom w:type="dxa" w:w="80"/>
              <w:right w:type="dxa" w:w="100"/>
            </w:tcMar>
            <w:vAlign w:val="top"/>
          </w:tcPr>
          <w:p>
            <w:r>
              <w:rPr>
                <w:b w:val="false"/>
                <w:bCs w:val="false"/>
                <w:i w:val="false"/>
                <w:iCs w:val="false"/>
              </w:rPr>
              <w:t xml:space="preserve">Property / asset tracking integration (P19)</w:t>
            </w:r>
          </w:p>
        </w:tc>
        <w:tc>
          <w:tcPr>
            <w:tcW w:type="dxa" w:w="6607"/>
            <w:tcMar>
              <w:top w:type="dxa" w:w="80"/>
              <w:left w:type="dxa" w:w="100"/>
              <w:bottom w:type="dxa" w:w="80"/>
              <w:right w:type="dxa" w:w="100"/>
            </w:tcMar>
            <w:vAlign w:val="top"/>
          </w:tcPr>
          <w:p>
            <w:r>
              <w:rPr>
                <w:b w:val="false"/>
                <w:bCs w:val="false"/>
                <w:i w:val="false"/>
                <w:iCs w:val="false"/>
              </w:rPr>
              <w:t xml:space="preserve">Likely deferred to a peer IPT's tool; optional future dashboard module only if that tool does not cover the need.</w:t>
            </w:r>
          </w:p>
        </w:tc>
      </w:tr>
      <w:tr>
        <w:tc>
          <w:tcPr>
            <w:tcW w:type="dxa" w:w="2753"/>
            <w:tcMar>
              <w:top w:type="dxa" w:w="80"/>
              <w:left w:type="dxa" w:w="100"/>
              <w:bottom w:type="dxa" w:w="80"/>
              <w:right w:type="dxa" w:w="100"/>
            </w:tcMar>
            <w:vAlign w:val="top"/>
          </w:tcPr>
          <w:p>
            <w:r>
              <w:rPr>
                <w:b w:val="false"/>
                <w:bCs w:val="false"/>
                <w:i w:val="false"/>
                <w:iCs w:val="false"/>
              </w:rPr>
              <w:t xml:space="preserve">Pre-fill form for Roberto (P12)</w:t>
            </w:r>
          </w:p>
        </w:tc>
        <w:tc>
          <w:tcPr>
            <w:tcW w:type="dxa" w:w="6607"/>
            <w:tcMar>
              <w:top w:type="dxa" w:w="80"/>
              <w:left w:type="dxa" w:w="100"/>
              <w:bottom w:type="dxa" w:w="80"/>
              <w:right w:type="dxa" w:w="100"/>
            </w:tcMar>
            <w:vAlign w:val="top"/>
          </w:tcPr>
          <w:p>
            <w:r>
              <w:rPr>
                <w:b w:val="false"/>
                <w:bCs w:val="false"/>
                <w:i w:val="false"/>
                <w:iCs w:val="false"/>
              </w:rPr>
              <w:t xml:space="preserve">NMCI-blocked; documentation-only deliverable.</w:t>
            </w:r>
          </w:p>
        </w:tc>
      </w:tr>
      <w:tr>
        <w:tc>
          <w:tcPr>
            <w:tcW w:type="dxa" w:w="2753"/>
            <w:tcMar>
              <w:top w:type="dxa" w:w="80"/>
              <w:left w:type="dxa" w:w="100"/>
              <w:bottom w:type="dxa" w:w="80"/>
              <w:right w:type="dxa" w:w="100"/>
            </w:tcMar>
            <w:vAlign w:val="top"/>
          </w:tcPr>
          <w:p>
            <w:r>
              <w:rPr>
                <w:b w:val="false"/>
                <w:bCs w:val="false"/>
                <w:i w:val="false"/>
                <w:iCs w:val="false"/>
              </w:rPr>
              <w:t xml:space="preserve">Food system status tracker (P20)</w:t>
            </w:r>
          </w:p>
        </w:tc>
        <w:tc>
          <w:tcPr>
            <w:tcW w:type="dxa" w:w="6607"/>
            <w:tcMar>
              <w:top w:type="dxa" w:w="80"/>
              <w:left w:type="dxa" w:w="100"/>
              <w:bottom w:type="dxa" w:w="80"/>
              <w:right w:type="dxa" w:w="100"/>
            </w:tcMar>
            <w:vAlign w:val="top"/>
          </w:tcPr>
          <w:p>
            <w:r>
              <w:rPr>
                <w:b w:val="false"/>
                <w:bCs w:val="false"/>
                <w:i w:val="false"/>
                <w:iCs w:val="false"/>
              </w:rPr>
              <w:t xml:space="preserve">Undefined requirement; insufficient information to scope.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NOTE FOR LEADERSHIP: Out-of-scope designation does not mean these projects lack value. It means they are evaluated and built independently rather than folded into this platform decision. The travel request approval flow and travel calendar, in particular, are already functioning tools that are strong early candidates to be re-hosted as additional screens inside whichever platform is selected here.</w:t>
            </w:r>
          </w:p>
        </w:tc>
      </w:tr>
    </w:tbl>
    <w:p>
      <w:pPr>
        <w:pStyle w:val="Heading1"/>
        <w:spacing w:after="160" w:before="360"/>
      </w:pPr>
      <w:r>
        <w:rPr>
          <w:b/>
          <w:bCs/>
        </w:rPr>
        <w:t xml:space="preserve">7. Facts and Items Requiring Confirmation</w:t>
      </w:r>
    </w:p>
    <w:p>
      <w:pPr>
        <w:pStyle w:val="Heading2"/>
        <w:spacing w:after="120" w:before="260"/>
      </w:pPr>
      <w:r>
        <w:rPr>
          <w:b/>
          <w:bCs/>
        </w:rPr>
        <w:t xml:space="preserve">Confirmed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80"/>
              <w:left w:type="dxa" w:w="100"/>
              <w:bottom w:type="dxa" w:w="80"/>
              <w:right w:type="dxa" w:w="100"/>
            </w:tcMar>
            <w:vAlign w:val="top"/>
          </w:tcPr>
          <w:p>
            <w:r>
              <w:rPr>
                <w:b/>
                <w:bCs/>
                <w:i w:val="false"/>
                <w:iCs w:val="false"/>
              </w:rPr>
              <w:t xml:space="preserve">Fact</w:t>
            </w:r>
          </w:p>
        </w:tc>
        <w:tc>
          <w:tcPr>
            <w:tcW w:type="dxa" w:w="4680"/>
            <w:shd w:fill="D9D9D9" w:val="clear"/>
            <w:tcMar>
              <w:top w:type="dxa" w:w="80"/>
              <w:left w:type="dxa" w:w="100"/>
              <w:bottom w:type="dxa" w:w="80"/>
              <w:right w:type="dxa" w:w="100"/>
            </w:tcMar>
            <w:vAlign w:val="top"/>
          </w:tcPr>
          <w:p>
            <w:r>
              <w:rPr>
                <w:b/>
                <w:bCs/>
                <w:i w:val="false"/>
                <w:iCs w:val="false"/>
              </w:rPr>
              <w:t xml:space="preserve">Why It Matters</w:t>
            </w:r>
          </w:p>
        </w:tc>
      </w:tr>
      <w:tr>
        <w:tc>
          <w:tcPr>
            <w:tcW w:type="dxa" w:w="4680"/>
            <w:tcMar>
              <w:top w:type="dxa" w:w="80"/>
              <w:left w:type="dxa" w:w="100"/>
              <w:bottom w:type="dxa" w:w="80"/>
              <w:right w:type="dxa" w:w="100"/>
            </w:tcMar>
            <w:vAlign w:val="top"/>
          </w:tcPr>
          <w:p>
            <w:r>
              <w:rPr>
                <w:b w:val="false"/>
                <w:bCs w:val="false"/>
                <w:i w:val="false"/>
                <w:iCs w:val="false"/>
              </w:rPr>
              <w:t xml:space="preserve">Project status is currently maintained manually in a SharePoint Online list by the project management team.</w:t>
            </w:r>
          </w:p>
        </w:tc>
        <w:tc>
          <w:tcPr>
            <w:tcW w:type="dxa" w:w="4680"/>
            <w:tcMar>
              <w:top w:type="dxa" w:w="80"/>
              <w:left w:type="dxa" w:w="100"/>
              <w:bottom w:type="dxa" w:w="80"/>
              <w:right w:type="dxa" w:w="100"/>
            </w:tcMar>
            <w:vAlign w:val="top"/>
          </w:tcPr>
          <w:p>
            <w:r>
              <w:rPr>
                <w:b w:val="false"/>
                <w:bCs w:val="false"/>
                <w:i w:val="false"/>
                <w:iCs w:val="false"/>
              </w:rPr>
              <w:t xml:space="preserve">This list is the most likely starting point for the project record table regardless of which front-end tool is chosen.</w:t>
            </w:r>
          </w:p>
        </w:tc>
      </w:tr>
      <w:tr>
        <w:tc>
          <w:tcPr>
            <w:tcW w:type="dxa" w:w="4680"/>
            <w:tcMar>
              <w:top w:type="dxa" w:w="80"/>
              <w:left w:type="dxa" w:w="100"/>
              <w:bottom w:type="dxa" w:w="80"/>
              <w:right w:type="dxa" w:w="100"/>
            </w:tcMar>
            <w:vAlign w:val="top"/>
          </w:tcPr>
          <w:p>
            <w:r>
              <w:rPr>
                <w:b w:val="false"/>
                <w:bCs w:val="false"/>
                <w:i w:val="false"/>
                <w:iCs w:val="false"/>
              </w:rPr>
              <w:t xml:space="preserve">The Contracts Manager began a Power BI financial dashboard that was not completed and has not been maintained.</w:t>
            </w:r>
          </w:p>
        </w:tc>
        <w:tc>
          <w:tcPr>
            <w:tcW w:type="dxa" w:w="4680"/>
            <w:tcMar>
              <w:top w:type="dxa" w:w="80"/>
              <w:left w:type="dxa" w:w="100"/>
              <w:bottom w:type="dxa" w:w="80"/>
              <w:right w:type="dxa" w:w="100"/>
            </w:tcMar>
            <w:vAlign w:val="top"/>
          </w:tcPr>
          <w:p>
            <w:r>
              <w:rPr>
                <w:b w:val="false"/>
                <w:bCs w:val="false"/>
                <w:i w:val="false"/>
                <w:iCs w:val="false"/>
              </w:rPr>
              <w:t xml:space="preserve">Existing work can inform the financial module's field list even if Power BI is not the chosen visualization layer.</w:t>
            </w:r>
          </w:p>
        </w:tc>
      </w:tr>
      <w:tr>
        <w:tc>
          <w:tcPr>
            <w:tcW w:type="dxa" w:w="4680"/>
            <w:tcMar>
              <w:top w:type="dxa" w:w="80"/>
              <w:left w:type="dxa" w:w="100"/>
              <w:bottom w:type="dxa" w:w="80"/>
              <w:right w:type="dxa" w:w="100"/>
            </w:tcMar>
            <w:vAlign w:val="top"/>
          </w:tcPr>
          <w:p>
            <w:r>
              <w:rPr>
                <w:b w:val="false"/>
                <w:bCs w:val="false"/>
                <w:i w:val="false"/>
                <w:iCs w:val="false"/>
              </w:rPr>
              <w:t xml:space="preserve">Navy ERP financial data is extracted manually on a weekly basis by the BFM and maintained in Excel workbooks.</w:t>
            </w:r>
          </w:p>
        </w:tc>
        <w:tc>
          <w:tcPr>
            <w:tcW w:type="dxa" w:w="4680"/>
            <w:tcMar>
              <w:top w:type="dxa" w:w="80"/>
              <w:left w:type="dxa" w:w="100"/>
              <w:bottom w:type="dxa" w:w="80"/>
              <w:right w:type="dxa" w:w="100"/>
            </w:tcMar>
            <w:vAlign w:val="top"/>
          </w:tcPr>
          <w:p>
            <w:r>
              <w:rPr>
                <w:b w:val="false"/>
                <w:bCs w:val="false"/>
                <w:i w:val="false"/>
                <w:iCs w:val="false"/>
              </w:rPr>
              <w:t xml:space="preserve">Direct ERP integration is not available; a shared import folder is the realistic path regardless of front end.</w:t>
            </w:r>
          </w:p>
        </w:tc>
      </w:tr>
      <w:tr>
        <w:tc>
          <w:tcPr>
            <w:tcW w:type="dxa" w:w="4680"/>
            <w:tcMar>
              <w:top w:type="dxa" w:w="80"/>
              <w:left w:type="dxa" w:w="100"/>
              <w:bottom w:type="dxa" w:w="80"/>
              <w:right w:type="dxa" w:w="100"/>
            </w:tcMar>
            <w:vAlign w:val="top"/>
          </w:tcPr>
          <w:p>
            <w:r>
              <w:rPr>
                <w:b w:val="false"/>
                <w:bCs w:val="false"/>
                <w:i w:val="false"/>
                <w:iCs w:val="false"/>
              </w:rPr>
              <w:t xml:space="preserve">Power Automate's 'Populate a Word Template' action is not functional in the NMCI environment.</w:t>
            </w:r>
          </w:p>
        </w:tc>
        <w:tc>
          <w:tcPr>
            <w:tcW w:type="dxa" w:w="4680"/>
            <w:tcMar>
              <w:top w:type="dxa" w:w="80"/>
              <w:left w:type="dxa" w:w="100"/>
              <w:bottom w:type="dxa" w:w="80"/>
              <w:right w:type="dxa" w:w="100"/>
            </w:tcMar>
            <w:vAlign w:val="top"/>
          </w:tcPr>
          <w:p>
            <w:r>
              <w:rPr>
                <w:b w:val="false"/>
                <w:bCs w:val="false"/>
                <w:i w:val="false"/>
                <w:iCs w:val="false"/>
              </w:rPr>
              <w:t xml:space="preserve">Word document generation requires an XML construction workaround; directly affects report generation scope for any Power Automate-based design.</w:t>
            </w:r>
          </w:p>
        </w:tc>
      </w:tr>
      <w:tr>
        <w:tc>
          <w:tcPr>
            <w:tcW w:type="dxa" w:w="4680"/>
            <w:tcMar>
              <w:top w:type="dxa" w:w="80"/>
              <w:left w:type="dxa" w:w="100"/>
              <w:bottom w:type="dxa" w:w="80"/>
              <w:right w:type="dxa" w:w="100"/>
            </w:tcMar>
            <w:vAlign w:val="top"/>
          </w:tcPr>
          <w:p>
            <w:r>
              <w:rPr>
                <w:b w:val="false"/>
                <w:bCs w:val="false"/>
                <w:i w:val="false"/>
                <w:iCs w:val="false"/>
              </w:rPr>
              <w:t xml:space="preserve">Dataverse requires Echelon 2 approval and premium per-user licensing; access is not currently available.</w:t>
            </w:r>
          </w:p>
        </w:tc>
        <w:tc>
          <w:tcPr>
            <w:tcW w:type="dxa" w:w="4680"/>
            <w:tcMar>
              <w:top w:type="dxa" w:w="80"/>
              <w:left w:type="dxa" w:w="100"/>
              <w:bottom w:type="dxa" w:w="80"/>
              <w:right w:type="dxa" w:w="100"/>
            </w:tcMar>
            <w:vAlign w:val="top"/>
          </w:tcPr>
          <w:p>
            <w:r>
              <w:rPr>
                <w:b w:val="false"/>
                <w:bCs w:val="false"/>
                <w:i w:val="false"/>
                <w:iCs w:val="false"/>
              </w:rPr>
              <w:t xml:space="preserve">SharePoint lists are the practical near-term data backbone regardless of front-end choice.</w:t>
            </w:r>
          </w:p>
        </w:tc>
      </w:tr>
      <w:tr>
        <w:tc>
          <w:tcPr>
            <w:tcW w:type="dxa" w:w="4680"/>
            <w:tcMar>
              <w:top w:type="dxa" w:w="80"/>
              <w:left w:type="dxa" w:w="100"/>
              <w:bottom w:type="dxa" w:w="80"/>
              <w:right w:type="dxa" w:w="100"/>
            </w:tcMar>
            <w:vAlign w:val="top"/>
          </w:tcPr>
          <w:p>
            <w:r>
              <w:rPr>
                <w:b w:val="false"/>
                <w:bCs w:val="false"/>
                <w:i w:val="false"/>
                <w:iCs w:val="false"/>
              </w:rPr>
              <w:t xml:space="preserve">eMASS operates on a restricted network and cannot be directly integrated with dashboard tools.</w:t>
            </w:r>
          </w:p>
        </w:tc>
        <w:tc>
          <w:tcPr>
            <w:tcW w:type="dxa" w:w="4680"/>
            <w:tcMar>
              <w:top w:type="dxa" w:w="80"/>
              <w:left w:type="dxa" w:w="100"/>
              <w:bottom w:type="dxa" w:w="80"/>
              <w:right w:type="dxa" w:w="100"/>
            </w:tcMar>
            <w:vAlign w:val="top"/>
          </w:tcPr>
          <w:p>
            <w:r>
              <w:rPr>
                <w:b w:val="false"/>
                <w:bCs w:val="false"/>
                <w:i w:val="false"/>
                <w:iCs w:val="false"/>
              </w:rPr>
              <w:t xml:space="preserve">Cyber compliance module depends on manual entry by the cyber team.</w:t>
            </w:r>
          </w:p>
        </w:tc>
      </w:tr>
      <w:tr>
        <w:tc>
          <w:tcPr>
            <w:tcW w:type="dxa" w:w="4680"/>
            <w:tcMar>
              <w:top w:type="dxa" w:w="80"/>
              <w:left w:type="dxa" w:w="100"/>
              <w:bottom w:type="dxa" w:w="80"/>
              <w:right w:type="dxa" w:w="100"/>
            </w:tcMar>
            <w:vAlign w:val="top"/>
          </w:tcPr>
          <w:p>
            <w:r>
              <w:rPr>
                <w:b w:val="false"/>
                <w:bCs w:val="false"/>
                <w:i w:val="false"/>
                <w:iCs w:val="false"/>
              </w:rPr>
              <w:t xml:space="preserve">Microsoft Teams group chat Power Automate flows break when the flow owner's account is deactivated.</w:t>
            </w:r>
          </w:p>
        </w:tc>
        <w:tc>
          <w:tcPr>
            <w:tcW w:type="dxa" w:w="4680"/>
            <w:tcMar>
              <w:top w:type="dxa" w:w="80"/>
              <w:left w:type="dxa" w:w="100"/>
              <w:bottom w:type="dxa" w:w="80"/>
              <w:right w:type="dxa" w:w="100"/>
            </w:tcMar>
            <w:vAlign w:val="top"/>
          </w:tcPr>
          <w:p>
            <w:r>
              <w:rPr>
                <w:b w:val="false"/>
                <w:bCs w:val="false"/>
                <w:i w:val="false"/>
                <w:iCs w:val="false"/>
              </w:rPr>
              <w:t xml:space="preserve">All flows should be co-owned by a permanent government employee before the internship ends.</w:t>
            </w:r>
          </w:p>
        </w:tc>
      </w:tr>
      <w:tr>
        <w:tc>
          <w:tcPr>
            <w:tcW w:type="dxa" w:w="4680"/>
            <w:tcMar>
              <w:top w:type="dxa" w:w="80"/>
              <w:left w:type="dxa" w:w="100"/>
              <w:bottom w:type="dxa" w:w="80"/>
              <w:right w:type="dxa" w:w="100"/>
            </w:tcMar>
            <w:vAlign w:val="top"/>
          </w:tcPr>
          <w:p>
            <w:r>
              <w:rPr>
                <w:b w:val="false"/>
                <w:bCs w:val="false"/>
                <w:i w:val="false"/>
                <w:iCs w:val="false"/>
              </w:rPr>
              <w:t xml:space="preserve">A peer IPT team built a mature Power Platform suite over approximately five years using Dataverse as the backend.</w:t>
            </w:r>
          </w:p>
        </w:tc>
        <w:tc>
          <w:tcPr>
            <w:tcW w:type="dxa" w:w="4680"/>
            <w:tcMar>
              <w:top w:type="dxa" w:w="80"/>
              <w:left w:type="dxa" w:w="100"/>
              <w:bottom w:type="dxa" w:w="80"/>
              <w:right w:type="dxa" w:w="100"/>
            </w:tcMar>
            <w:vAlign w:val="top"/>
          </w:tcPr>
          <w:p>
            <w:r>
              <w:rPr>
                <w:b w:val="false"/>
                <w:bCs w:val="false"/>
                <w:i w:val="false"/>
                <w:iCs w:val="false"/>
              </w:rPr>
              <w:t xml:space="preserve">Confirms Power Platform can support this tool type; also confirms the scale of effort required to reach full maturity by that path.</w:t>
            </w:r>
          </w:p>
        </w:tc>
      </w:tr>
      <w:tr>
        <w:tc>
          <w:tcPr>
            <w:tcW w:type="dxa" w:w="4680"/>
            <w:tcMar>
              <w:top w:type="dxa" w:w="80"/>
              <w:left w:type="dxa" w:w="100"/>
              <w:bottom w:type="dxa" w:w="80"/>
              <w:right w:type="dxa" w:w="100"/>
            </w:tcMar>
            <w:vAlign w:val="top"/>
          </w:tcPr>
          <w:p>
            <w:r>
              <w:rPr>
                <w:b w:val="false"/>
                <w:bCs w:val="false"/>
                <w:i w:val="false"/>
                <w:iCs w:val="false"/>
              </w:rPr>
              <w:t xml:space="preserve">Combining system identity with specific range/site location data may create an unnecessarily sensitive combined data product.</w:t>
            </w:r>
          </w:p>
        </w:tc>
        <w:tc>
          <w:tcPr>
            <w:tcW w:type="dxa" w:w="4680"/>
            <w:tcMar>
              <w:top w:type="dxa" w:w="80"/>
              <w:left w:type="dxa" w:w="100"/>
              <w:bottom w:type="dxa" w:w="80"/>
              <w:right w:type="dxa" w:w="100"/>
            </w:tcMar>
            <w:vAlign w:val="top"/>
          </w:tcPr>
          <w:p>
            <w:r>
              <w:rPr>
                <w:b w:val="false"/>
                <w:bCs w:val="false"/>
                <w:i w:val="false"/>
                <w:iCs w:val="false"/>
              </w:rPr>
              <w:t xml:space="preserve">Dashboard design should avoid this combination regardless of platform; a security review is recommended.</w:t>
            </w:r>
          </w:p>
        </w:tc>
      </w:tr>
      <w:tr>
        <w:tc>
          <w:tcPr>
            <w:tcW w:type="dxa" w:w="4680"/>
            <w:tcMar>
              <w:top w:type="dxa" w:w="80"/>
              <w:left w:type="dxa" w:w="100"/>
              <w:bottom w:type="dxa" w:w="80"/>
              <w:right w:type="dxa" w:w="100"/>
            </w:tcMar>
            <w:vAlign w:val="top"/>
          </w:tcPr>
          <w:p>
            <w:r>
              <w:rPr>
                <w:b w:val="false"/>
                <w:bCs w:val="false"/>
                <w:i w:val="false"/>
                <w:iCs w:val="false"/>
              </w:rPr>
              <w:t xml:space="preserve">The Microsoft Power Platform is available within the Flank Speed / NMCI environment.</w:t>
            </w:r>
          </w:p>
        </w:tc>
        <w:tc>
          <w:tcPr>
            <w:tcW w:type="dxa" w:w="4680"/>
            <w:tcMar>
              <w:top w:type="dxa" w:w="80"/>
              <w:left w:type="dxa" w:w="100"/>
              <w:bottom w:type="dxa" w:w="80"/>
              <w:right w:type="dxa" w:w="100"/>
            </w:tcMar>
            <w:vAlign w:val="top"/>
          </w:tcPr>
          <w:p>
            <w:r>
              <w:rPr>
                <w:b w:val="false"/>
                <w:bCs w:val="false"/>
                <w:i w:val="false"/>
                <w:iCs w:val="false"/>
              </w:rPr>
              <w:t xml:space="preserve">Flank Speed is the realistic deployment environment for any Microsoft-native alternative.</w:t>
            </w:r>
          </w:p>
        </w:tc>
      </w:tr>
      <w:tr>
        <w:tc>
          <w:tcPr>
            <w:tcW w:type="dxa" w:w="4680"/>
            <w:tcMar>
              <w:top w:type="dxa" w:w="80"/>
              <w:left w:type="dxa" w:w="100"/>
              <w:bottom w:type="dxa" w:w="80"/>
              <w:right w:type="dxa" w:w="100"/>
            </w:tcMar>
            <w:vAlign w:val="top"/>
          </w:tcPr>
          <w:p>
            <w:r>
              <w:rPr>
                <w:b w:val="false"/>
                <w:bCs w:val="false"/>
                <w:i w:val="false"/>
                <w:iCs w:val="false"/>
              </w:rPr>
              <w:t xml:space="preserve">Flank Speed is the team's existing, already-approved Microsoft 365 environment.</w:t>
            </w:r>
          </w:p>
        </w:tc>
        <w:tc>
          <w:tcPr>
            <w:tcW w:type="dxa" w:w="4680"/>
            <w:tcMar>
              <w:top w:type="dxa" w:w="80"/>
              <w:left w:type="dxa" w:w="100"/>
              <w:bottom w:type="dxa" w:w="80"/>
              <w:right w:type="dxa" w:w="100"/>
            </w:tcMar>
            <w:vAlign w:val="top"/>
          </w:tcPr>
          <w:p>
            <w:r>
              <w:rPr>
                <w:b w:val="false"/>
                <w:bCs w:val="false"/>
                <w:i w:val="false"/>
                <w:iCs w:val="false"/>
              </w:rPr>
              <w:t xml:space="preserve">Anything hosted natively inside Flank Speed — including an SPFx web part like Firepit — runs inside that existing approval without a separate review process.</w:t>
            </w:r>
          </w:p>
        </w:tc>
      </w:tr>
      <w:tr>
        <w:tc>
          <w:tcPr>
            <w:tcW w:type="dxa" w:w="4680"/>
            <w:tcMar>
              <w:top w:type="dxa" w:w="80"/>
              <w:left w:type="dxa" w:w="100"/>
              <w:bottom w:type="dxa" w:w="80"/>
              <w:right w:type="dxa" w:w="100"/>
            </w:tcMar>
            <w:vAlign w:val="top"/>
          </w:tcPr>
          <w:p>
            <w:r>
              <w:rPr>
                <w:b w:val="false"/>
                <w:bCs w:val="false"/>
                <w:i w:val="false"/>
                <w:iCs w:val="false"/>
              </w:rPr>
              <w:t xml:space="preserve">Firepit is an SPFx web part already deployed to a NAVWAR PEO Digital SharePoint site, and Forge is its companion offline authoring/compiler tool.</w:t>
            </w:r>
          </w:p>
        </w:tc>
        <w:tc>
          <w:tcPr>
            <w:tcW w:type="dxa" w:w="4680"/>
            <w:tcMar>
              <w:top w:type="dxa" w:w="80"/>
              <w:left w:type="dxa" w:w="100"/>
              <w:bottom w:type="dxa" w:w="80"/>
              <w:right w:type="dxa" w:w="100"/>
            </w:tcMar>
            <w:vAlign w:val="top"/>
          </w:tcPr>
          <w:p>
            <w:r>
              <w:rPr>
                <w:b w:val="false"/>
                <w:bCs w:val="false"/>
                <w:i w:val="false"/>
                <w:iCs w:val="false"/>
              </w:rPr>
              <w:t xml:space="preserve">Confirms the tool is a real, functioning, already-fielded Navy system rather than a speculative option.</w:t>
            </w:r>
          </w:p>
        </w:tc>
      </w:tr>
      <w:tr>
        <w:tc>
          <w:tcPr>
            <w:tcW w:type="dxa" w:w="4680"/>
            <w:tcMar>
              <w:top w:type="dxa" w:w="80"/>
              <w:left w:type="dxa" w:w="100"/>
              <w:bottom w:type="dxa" w:w="80"/>
              <w:right w:type="dxa" w:w="100"/>
            </w:tcMar>
            <w:vAlign w:val="top"/>
          </w:tcPr>
          <w:p>
            <w:r>
              <w:rPr>
                <w:b w:val="false"/>
                <w:bCs w:val="false"/>
                <w:i w:val="false"/>
                <w:iCs w:val="false"/>
              </w:rPr>
              <w:t xml:space="preserve">Atlassian Government Cloud (Jira/Confluence) is a separately hosted, separately licensed SaaS environment outside Flank Speed.</w:t>
            </w:r>
          </w:p>
        </w:tc>
        <w:tc>
          <w:tcPr>
            <w:tcW w:type="dxa" w:w="4680"/>
            <w:tcMar>
              <w:top w:type="dxa" w:w="80"/>
              <w:left w:type="dxa" w:w="100"/>
              <w:bottom w:type="dxa" w:w="80"/>
              <w:right w:type="dxa" w:w="100"/>
            </w:tcMar>
            <w:vAlign w:val="top"/>
          </w:tcPr>
          <w:p>
            <w:r>
              <w:rPr>
                <w:b w:val="false"/>
                <w:bCs w:val="false"/>
                <w:i w:val="false"/>
                <w:iCs w:val="false"/>
              </w:rPr>
              <w:t xml:space="preserve">Weighs against Confluence/Jira as a near-term option, since it works against the team's tool-consolidation goal; see Section 5.</w:t>
            </w:r>
          </w:p>
        </w:tc>
      </w:tr>
    </w:tbl>
    <w:p>
      <w:pPr>
        <w:pStyle w:val="Heading2"/>
        <w:spacing w:after="120" w:before="260"/>
      </w:pPr>
      <w:r>
        <w:rPr>
          <w:b/>
          <w:bCs/>
        </w:rPr>
        <w:t xml:space="preserve">Items Requiring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val="clear"/>
            <w:tcMar>
              <w:top w:type="dxa" w:w="80"/>
              <w:left w:type="dxa" w:w="100"/>
              <w:bottom w:type="dxa" w:w="80"/>
              <w:right w:type="dxa" w:w="100"/>
            </w:tcMar>
            <w:vAlign w:val="top"/>
          </w:tcPr>
          <w:p>
            <w:r>
              <w:rPr>
                <w:b/>
                <w:bCs/>
                <w:i w:val="false"/>
                <w:iCs w:val="false"/>
              </w:rPr>
              <w:t xml:space="preserve">Item</w:t>
            </w:r>
          </w:p>
        </w:tc>
        <w:tc>
          <w:tcPr>
            <w:tcW w:type="dxa" w:w="3744"/>
            <w:shd w:fill="D9D9D9" w:val="clear"/>
            <w:tcMar>
              <w:top w:type="dxa" w:w="80"/>
              <w:left w:type="dxa" w:w="100"/>
              <w:bottom w:type="dxa" w:w="80"/>
              <w:right w:type="dxa" w:w="100"/>
            </w:tcMar>
            <w:vAlign w:val="top"/>
          </w:tcPr>
          <w:p>
            <w:r>
              <w:rPr>
                <w:b/>
                <w:bCs/>
                <w:i w:val="false"/>
                <w:iCs w:val="false"/>
              </w:rPr>
              <w:t xml:space="preserve">Why Confirmation Is Needed</w:t>
            </w:r>
          </w:p>
        </w:tc>
        <w:tc>
          <w:tcPr>
            <w:tcW w:type="dxa" w:w="2246"/>
            <w:shd w:fill="D9D9D9" w:val="clear"/>
            <w:tcMar>
              <w:top w:type="dxa" w:w="80"/>
              <w:left w:type="dxa" w:w="100"/>
              <w:bottom w:type="dxa" w:w="80"/>
              <w:right w:type="dxa" w:w="100"/>
            </w:tcMar>
            <w:vAlign w:val="top"/>
          </w:tcPr>
          <w:p>
            <w:r>
              <w:rPr>
                <w:b/>
                <w:bCs/>
                <w:i w:val="false"/>
                <w:iCs w:val="false"/>
              </w:rPr>
              <w:t xml:space="preserve">Recommended Owner</w:t>
            </w:r>
          </w:p>
        </w:tc>
      </w:tr>
      <w:tr>
        <w:tc>
          <w:tcPr>
            <w:tcW w:type="dxa" w:w="3370"/>
            <w:tcMar>
              <w:top w:type="dxa" w:w="80"/>
              <w:left w:type="dxa" w:w="100"/>
              <w:bottom w:type="dxa" w:w="80"/>
              <w:right w:type="dxa" w:w="100"/>
            </w:tcMar>
            <w:vAlign w:val="top"/>
          </w:tcPr>
          <w:p>
            <w:r>
              <w:rPr>
                <w:b w:val="false"/>
                <w:bCs w:val="false"/>
                <w:i w:val="false"/>
                <w:iCs w:val="false"/>
              </w:rPr>
              <w:t xml:space="preserve">Specific metrics and data fields the IPT Lead wants, in priority order</w:t>
            </w:r>
          </w:p>
        </w:tc>
        <w:tc>
          <w:tcPr>
            <w:tcW w:type="dxa" w:w="3744"/>
            <w:tcMar>
              <w:top w:type="dxa" w:w="80"/>
              <w:left w:type="dxa" w:w="100"/>
              <w:bottom w:type="dxa" w:w="80"/>
              <w:right w:type="dxa" w:w="100"/>
            </w:tcMar>
            <w:vAlign w:val="top"/>
          </w:tcPr>
          <w:p>
            <w:r>
              <w:rPr>
                <w:b w:val="false"/>
                <w:bCs w:val="false"/>
                <w:i w:val="false"/>
                <w:iCs w:val="false"/>
              </w:rPr>
              <w:t xml:space="preserve">Without this, the schema cannot be finalized and development cannot proceed confidently.</w:t>
            </w:r>
          </w:p>
        </w:tc>
        <w:tc>
          <w:tcPr>
            <w:tcW w:type="dxa" w:w="2246"/>
            <w:tcMar>
              <w:top w:type="dxa" w:w="80"/>
              <w:left w:type="dxa" w:w="100"/>
              <w:bottom w:type="dxa" w:w="80"/>
              <w:right w:type="dxa" w:w="100"/>
            </w:tcMar>
            <w:vAlign w:val="top"/>
          </w:tcPr>
          <w:p>
            <w:r>
              <w:rPr>
                <w:b w:val="false"/>
                <w:bCs w:val="false"/>
                <w:i w:val="false"/>
                <w:iCs w:val="false"/>
              </w:rPr>
              <w:t xml:space="preserve">Linda Dodson</w:t>
            </w:r>
          </w:p>
        </w:tc>
      </w:tr>
      <w:tr>
        <w:tc>
          <w:tcPr>
            <w:tcW w:type="dxa" w:w="3370"/>
            <w:tcMar>
              <w:top w:type="dxa" w:w="80"/>
              <w:left w:type="dxa" w:w="100"/>
              <w:bottom w:type="dxa" w:w="80"/>
              <w:right w:type="dxa" w:w="100"/>
            </w:tcMar>
            <w:vAlign w:val="top"/>
          </w:tcPr>
          <w:p>
            <w:r>
              <w:rPr>
                <w:b w:val="false"/>
                <w:bCs w:val="false"/>
                <w:i w:val="false"/>
                <w:iCs w:val="false"/>
              </w:rPr>
              <w:t xml:space="preserve">Data owner assignments per domain</w:t>
            </w:r>
          </w:p>
        </w:tc>
        <w:tc>
          <w:tcPr>
            <w:tcW w:type="dxa" w:w="3744"/>
            <w:tcMar>
              <w:top w:type="dxa" w:w="80"/>
              <w:left w:type="dxa" w:w="100"/>
              <w:bottom w:type="dxa" w:w="80"/>
              <w:right w:type="dxa" w:w="100"/>
            </w:tcMar>
            <w:vAlign w:val="top"/>
          </w:tcPr>
          <w:p>
            <w:r>
              <w:rPr>
                <w:b w:val="false"/>
                <w:bCs w:val="false"/>
                <w:i w:val="false"/>
                <w:iCs w:val="false"/>
              </w:rPr>
              <w:t xml:space="preserve">Critical for governance; without owners, data becomes stale and the dashboard loses value.</w:t>
            </w:r>
          </w:p>
        </w:tc>
        <w:tc>
          <w:tcPr>
            <w:tcW w:type="dxa" w:w="2246"/>
            <w:tcMar>
              <w:top w:type="dxa" w:w="80"/>
              <w:left w:type="dxa" w:w="100"/>
              <w:bottom w:type="dxa" w:w="80"/>
              <w:right w:type="dxa" w:w="100"/>
            </w:tcMar>
            <w:vAlign w:val="top"/>
          </w:tcPr>
          <w:p>
            <w:r>
              <w:rPr>
                <w:b w:val="false"/>
                <w:bCs w:val="false"/>
                <w:i w:val="false"/>
                <w:iCs w:val="false"/>
              </w:rPr>
              <w:t xml:space="preserve">Linda Dodson (to direct assignments)</w:t>
            </w:r>
          </w:p>
        </w:tc>
      </w:tr>
      <w:tr>
        <w:tc>
          <w:tcPr>
            <w:tcW w:type="dxa" w:w="3370"/>
            <w:tcMar>
              <w:top w:type="dxa" w:w="80"/>
              <w:left w:type="dxa" w:w="100"/>
              <w:bottom w:type="dxa" w:w="80"/>
              <w:right w:type="dxa" w:w="100"/>
            </w:tcMar>
            <w:vAlign w:val="top"/>
          </w:tcPr>
          <w:p>
            <w:r>
              <w:rPr>
                <w:b w:val="false"/>
                <w:bCs w:val="false"/>
                <w:i w:val="false"/>
                <w:iCs w:val="false"/>
              </w:rPr>
              <w:t xml:space="preserve">Whether the BFM will drop ERP extracts into a shared SPO folder</w:t>
            </w:r>
          </w:p>
        </w:tc>
        <w:tc>
          <w:tcPr>
            <w:tcW w:type="dxa" w:w="3744"/>
            <w:tcMar>
              <w:top w:type="dxa" w:w="80"/>
              <w:left w:type="dxa" w:w="100"/>
              <w:bottom w:type="dxa" w:w="80"/>
              <w:right w:type="dxa" w:w="100"/>
            </w:tcMar>
            <w:vAlign w:val="top"/>
          </w:tcPr>
          <w:p>
            <w:r>
              <w:rPr>
                <w:b w:val="false"/>
                <w:bCs w:val="false"/>
                <w:i w:val="false"/>
                <w:iCs w:val="false"/>
              </w:rPr>
              <w:t xml:space="preserve">Required for financial data ingestion; not confirmed by the BFM directly.</w:t>
            </w:r>
          </w:p>
        </w:tc>
        <w:tc>
          <w:tcPr>
            <w:tcW w:type="dxa" w:w="2246"/>
            <w:tcMar>
              <w:top w:type="dxa" w:w="80"/>
              <w:left w:type="dxa" w:w="100"/>
              <w:bottom w:type="dxa" w:w="80"/>
              <w:right w:type="dxa" w:w="100"/>
            </w:tcMar>
            <w:vAlign w:val="top"/>
          </w:tcPr>
          <w:p>
            <w:r>
              <w:rPr>
                <w:b w:val="false"/>
                <w:bCs w:val="false"/>
                <w:i w:val="false"/>
                <w:iCs w:val="false"/>
              </w:rPr>
              <w:t xml:space="preserve">Aimee Bloomberg</w:t>
            </w:r>
          </w:p>
        </w:tc>
      </w:tr>
      <w:tr>
        <w:tc>
          <w:tcPr>
            <w:tcW w:type="dxa" w:w="3370"/>
            <w:tcMar>
              <w:top w:type="dxa" w:w="80"/>
              <w:left w:type="dxa" w:w="100"/>
              <w:bottom w:type="dxa" w:w="80"/>
              <w:right w:type="dxa" w:w="100"/>
            </w:tcMar>
            <w:vAlign w:val="top"/>
          </w:tcPr>
          <w:p>
            <w:r>
              <w:rPr>
                <w:b w:val="false"/>
                <w:bCs w:val="false"/>
                <w:i w:val="false"/>
                <w:iCs w:val="false"/>
              </w:rPr>
              <w:t xml:space="preserve">Which SharePoint app catalog (tenant-wide vs. site collection) will host the Firepit .sppkg package for AEWTTR, and who approves that deployment</w:t>
            </w:r>
          </w:p>
        </w:tc>
        <w:tc>
          <w:tcPr>
            <w:tcW w:type="dxa" w:w="3744"/>
            <w:tcMar>
              <w:top w:type="dxa" w:w="80"/>
              <w:left w:type="dxa" w:w="100"/>
              <w:bottom w:type="dxa" w:w="80"/>
              <w:right w:type="dxa" w:w="100"/>
            </w:tcMar>
            <w:vAlign w:val="top"/>
          </w:tcPr>
          <w:p>
            <w:r>
              <w:rPr>
                <w:b w:val="false"/>
                <w:bCs w:val="false"/>
                <w:i w:val="false"/>
                <w:iCs w:val="false"/>
              </w:rPr>
              <w:t xml:space="preserve">Determines the realistic Phase 2 timeline for the recommended alternative.</w:t>
            </w:r>
          </w:p>
        </w:tc>
        <w:tc>
          <w:tcPr>
            <w:tcW w:type="dxa" w:w="2246"/>
            <w:tcMar>
              <w:top w:type="dxa" w:w="80"/>
              <w:left w:type="dxa" w:w="100"/>
              <w:bottom w:type="dxa" w:w="80"/>
              <w:right w:type="dxa" w:w="100"/>
            </w:tcMar>
            <w:vAlign w:val="top"/>
          </w:tcPr>
          <w:p>
            <w:r>
              <w:rPr>
                <w:b w:val="false"/>
                <w:bCs w:val="false"/>
                <w:i w:val="false"/>
                <w:iCs w:val="false"/>
              </w:rPr>
              <w:t xml:space="preserve">NMCI POC / SharePoint admin</w:t>
            </w:r>
          </w:p>
        </w:tc>
      </w:tr>
      <w:tr>
        <w:tc>
          <w:tcPr>
            <w:tcW w:type="dxa" w:w="3370"/>
            <w:tcMar>
              <w:top w:type="dxa" w:w="80"/>
              <w:left w:type="dxa" w:w="100"/>
              <w:bottom w:type="dxa" w:w="80"/>
              <w:right w:type="dxa" w:w="100"/>
            </w:tcMar>
            <w:vAlign w:val="top"/>
          </w:tcPr>
          <w:p>
            <w:r>
              <w:rPr>
                <w:b w:val="false"/>
                <w:bCs w:val="false"/>
                <w:i w:val="false"/>
                <w:iCs w:val="false"/>
              </w:rPr>
              <w:t xml:space="preserve">Whether the contracts SharePoint site can be accessed for the dashboard</w:t>
            </w:r>
          </w:p>
        </w:tc>
        <w:tc>
          <w:tcPr>
            <w:tcW w:type="dxa" w:w="3744"/>
            <w:tcMar>
              <w:top w:type="dxa" w:w="80"/>
              <w:left w:type="dxa" w:w="100"/>
              <w:bottom w:type="dxa" w:w="80"/>
              <w:right w:type="dxa" w:w="100"/>
            </w:tcMar>
            <w:vAlign w:val="top"/>
          </w:tcPr>
          <w:p>
            <w:r>
              <w:rPr>
                <w:b w:val="false"/>
                <w:bCs w:val="false"/>
                <w:i w:val="false"/>
                <w:iCs w:val="false"/>
              </w:rPr>
              <w:t xml:space="preserve">Contract data module depends on this access.</w:t>
            </w:r>
          </w:p>
        </w:tc>
        <w:tc>
          <w:tcPr>
            <w:tcW w:type="dxa" w:w="2246"/>
            <w:tcMar>
              <w:top w:type="dxa" w:w="80"/>
              <w:left w:type="dxa" w:w="100"/>
              <w:bottom w:type="dxa" w:w="80"/>
              <w:right w:type="dxa" w:w="100"/>
            </w:tcMar>
            <w:vAlign w:val="top"/>
          </w:tcPr>
          <w:p>
            <w:r>
              <w:rPr>
                <w:b w:val="false"/>
                <w:bCs w:val="false"/>
                <w:i w:val="false"/>
                <w:iCs w:val="false"/>
              </w:rPr>
              <w:t xml:space="preserve">Contracts team / Aimee Bloomberg</w:t>
            </w:r>
          </w:p>
        </w:tc>
      </w:tr>
      <w:tr>
        <w:tc>
          <w:tcPr>
            <w:tcW w:type="dxa" w:w="3370"/>
            <w:tcMar>
              <w:top w:type="dxa" w:w="80"/>
              <w:left w:type="dxa" w:w="100"/>
              <w:bottom w:type="dxa" w:w="80"/>
              <w:right w:type="dxa" w:w="100"/>
            </w:tcMar>
            <w:vAlign w:val="top"/>
          </w:tcPr>
          <w:p>
            <w:r>
              <w:rPr>
                <w:b w:val="false"/>
                <w:bCs w:val="false"/>
                <w:i w:val="false"/>
                <w:iCs w:val="false"/>
              </w:rPr>
              <w:t xml:space="preserve">Which Power Automate connectors and actions are enabled in the AEWTTR Flank Speed tenant</w:t>
            </w:r>
          </w:p>
        </w:tc>
        <w:tc>
          <w:tcPr>
            <w:tcW w:type="dxa" w:w="3744"/>
            <w:tcMar>
              <w:top w:type="dxa" w:w="80"/>
              <w:left w:type="dxa" w:w="100"/>
              <w:bottom w:type="dxa" w:w="80"/>
              <w:right w:type="dxa" w:w="100"/>
            </w:tcMar>
            <w:vAlign w:val="top"/>
          </w:tcPr>
          <w:p>
            <w:r>
              <w:rPr>
                <w:b w:val="false"/>
                <w:bCs w:val="false"/>
                <w:i w:val="false"/>
                <w:iCs w:val="false"/>
              </w:rPr>
              <w:t xml:space="preserve">Several features are confirmed blocked; the full list is needed before committing to any automation features, regardless of front-end platform.</w:t>
            </w:r>
          </w:p>
        </w:tc>
        <w:tc>
          <w:tcPr>
            <w:tcW w:type="dxa" w:w="2246"/>
            <w:tcMar>
              <w:top w:type="dxa" w:w="80"/>
              <w:left w:type="dxa" w:w="100"/>
              <w:bottom w:type="dxa" w:w="80"/>
              <w:right w:type="dxa" w:w="100"/>
            </w:tcMar>
            <w:vAlign w:val="top"/>
          </w:tcPr>
          <w:p>
            <w:r>
              <w:rPr>
                <w:b w:val="false"/>
                <w:bCs w:val="false"/>
                <w:i w:val="false"/>
                <w:iCs w:val="false"/>
              </w:rPr>
              <w:t xml:space="preserve">NMCI POC / IT support</w:t>
            </w:r>
          </w:p>
        </w:tc>
      </w:tr>
      <w:tr>
        <w:tc>
          <w:tcPr>
            <w:tcW w:type="dxa" w:w="3370"/>
            <w:tcMar>
              <w:top w:type="dxa" w:w="80"/>
              <w:left w:type="dxa" w:w="100"/>
              <w:bottom w:type="dxa" w:w="80"/>
              <w:right w:type="dxa" w:w="100"/>
            </w:tcMar>
            <w:vAlign w:val="top"/>
          </w:tcPr>
          <w:p>
            <w:r>
              <w:rPr>
                <w:b w:val="false"/>
                <w:bCs w:val="false"/>
                <w:i w:val="false"/>
                <w:iCs w:val="false"/>
              </w:rPr>
              <w:t xml:space="preserve">Who will own the dashboard and its data after the internship ends</w:t>
            </w:r>
          </w:p>
        </w:tc>
        <w:tc>
          <w:tcPr>
            <w:tcW w:type="dxa" w:w="3744"/>
            <w:tcMar>
              <w:top w:type="dxa" w:w="80"/>
              <w:left w:type="dxa" w:w="100"/>
              <w:bottom w:type="dxa" w:w="80"/>
              <w:right w:type="dxa" w:w="100"/>
            </w:tcMar>
            <w:vAlign w:val="top"/>
          </w:tcPr>
          <w:p>
            <w:r>
              <w:rPr>
                <w:b w:val="false"/>
                <w:bCs w:val="false"/>
                <w:i w:val="false"/>
                <w:iCs w:val="false"/>
              </w:rPr>
              <w:t xml:space="preserve">Ownership gaps break automation and orphan the application regardless of which platform is chosen.</w:t>
            </w:r>
          </w:p>
        </w:tc>
        <w:tc>
          <w:tcPr>
            <w:tcW w:type="dxa" w:w="2246"/>
            <w:tcMar>
              <w:top w:type="dxa" w:w="80"/>
              <w:left w:type="dxa" w:w="100"/>
              <w:bottom w:type="dxa" w:w="80"/>
              <w:right w:type="dxa" w:w="100"/>
            </w:tcMar>
            <w:vAlign w:val="top"/>
          </w:tcPr>
          <w:p>
            <w:r>
              <w:rPr>
                <w:b w:val="false"/>
                <w:bCs w:val="false"/>
                <w:i w:val="false"/>
                <w:iCs w:val="false"/>
              </w:rPr>
              <w:t xml:space="preserve">Linda Dodson or Aimee Bloomberg</w:t>
            </w:r>
          </w:p>
        </w:tc>
      </w:tr>
      <w:tr>
        <w:tc>
          <w:tcPr>
            <w:tcW w:type="dxa" w:w="3370"/>
            <w:tcMar>
              <w:top w:type="dxa" w:w="80"/>
              <w:left w:type="dxa" w:w="100"/>
              <w:bottom w:type="dxa" w:w="80"/>
              <w:right w:type="dxa" w:w="100"/>
            </w:tcMar>
            <w:vAlign w:val="top"/>
          </w:tcPr>
          <w:p>
            <w:r>
              <w:rPr>
                <w:b w:val="false"/>
                <w:bCs w:val="false"/>
                <w:i w:val="false"/>
                <w:iCs w:val="false"/>
              </w:rPr>
              <w:t xml:space="preserve">Whether a security review of the planned data combinations (system identity + range/site location) has occurred</w:t>
            </w:r>
          </w:p>
        </w:tc>
        <w:tc>
          <w:tcPr>
            <w:tcW w:type="dxa" w:w="3744"/>
            <w:tcMar>
              <w:top w:type="dxa" w:w="80"/>
              <w:left w:type="dxa" w:w="100"/>
              <w:bottom w:type="dxa" w:w="80"/>
              <w:right w:type="dxa" w:w="100"/>
            </w:tcMar>
            <w:vAlign w:val="top"/>
          </w:tcPr>
          <w:p>
            <w:r>
              <w:rPr>
                <w:b w:val="false"/>
                <w:bCs w:val="false"/>
                <w:i w:val="false"/>
                <w:iCs w:val="false"/>
              </w:rPr>
              <w:t xml:space="preserve">Risk of inadvertently creating an unnecessarily sensitive combined data product.</w:t>
            </w:r>
          </w:p>
        </w:tc>
        <w:tc>
          <w:tcPr>
            <w:tcW w:type="dxa" w:w="2246"/>
            <w:tcMar>
              <w:top w:type="dxa" w:w="80"/>
              <w:left w:type="dxa" w:w="100"/>
              <w:bottom w:type="dxa" w:w="80"/>
              <w:right w:type="dxa" w:w="100"/>
            </w:tcMar>
            <w:vAlign w:val="top"/>
          </w:tcPr>
          <w:p>
            <w:r>
              <w:rPr>
                <w:b w:val="false"/>
                <w:bCs w:val="false"/>
                <w:i w:val="false"/>
                <w:iCs w:val="false"/>
              </w:rPr>
              <w:t xml:space="preserve">AEWTTR security team; Aimee Bloomberg</w:t>
            </w:r>
          </w:p>
        </w:tc>
      </w:tr>
      <w:tr>
        <w:tc>
          <w:tcPr>
            <w:tcW w:type="dxa" w:w="3370"/>
            <w:tcMar>
              <w:top w:type="dxa" w:w="80"/>
              <w:left w:type="dxa" w:w="100"/>
              <w:bottom w:type="dxa" w:w="80"/>
              <w:right w:type="dxa" w:w="100"/>
            </w:tcMar>
            <w:vAlign w:val="top"/>
          </w:tcPr>
          <w:p>
            <w:r>
              <w:rPr>
                <w:b w:val="false"/>
                <w:bCs w:val="false"/>
                <w:i w:val="false"/>
                <w:iCs w:val="false"/>
              </w:rPr>
              <w:t xml:space="preserve">SHRAM — acronym, spelling, and meaning [Confirm]</w:t>
            </w:r>
          </w:p>
        </w:tc>
        <w:tc>
          <w:tcPr>
            <w:tcW w:type="dxa" w:w="3744"/>
            <w:tcMar>
              <w:top w:type="dxa" w:w="80"/>
              <w:left w:type="dxa" w:w="100"/>
              <w:bottom w:type="dxa" w:w="80"/>
              <w:right w:type="dxa" w:w="100"/>
            </w:tcMar>
            <w:vAlign w:val="top"/>
          </w:tcPr>
          <w:p>
            <w:r>
              <w:rPr>
                <w:b w:val="false"/>
                <w:bCs w:val="false"/>
                <w:i w:val="false"/>
                <w:iCs w:val="false"/>
              </w:rPr>
              <w:t xml:space="preserve">Used in engineering discussions; never spelled out.</w:t>
            </w:r>
          </w:p>
        </w:tc>
        <w:tc>
          <w:tcPr>
            <w:tcW w:type="dxa" w:w="2246"/>
            <w:tcMar>
              <w:top w:type="dxa" w:w="80"/>
              <w:left w:type="dxa" w:w="100"/>
              <w:bottom w:type="dxa" w:w="80"/>
              <w:right w:type="dxa" w:w="100"/>
            </w:tcMar>
            <w:vAlign w:val="top"/>
          </w:tcPr>
          <w:p>
            <w:r>
              <w:rPr>
                <w:b w:val="false"/>
                <w:bCs w:val="false"/>
                <w:i w:val="false"/>
                <w:iCs w:val="false"/>
              </w:rPr>
              <w:t xml:space="preserve">Engineering team / Patty</w:t>
            </w:r>
          </w:p>
        </w:tc>
      </w:tr>
    </w:tbl>
    <w:p>
      <w:pPr>
        <w:pStyle w:val="Heading1"/>
        <w:spacing w:after="160" w:before="360"/>
      </w:pPr>
      <w:r>
        <w:rPr>
          <w:b/>
          <w:bCs/>
        </w:rPr>
        <w:t xml:space="preserve">8.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6"/>
        <w:gridCol w:w="1956"/>
        <w:gridCol w:w="1956"/>
        <w:gridCol w:w="1397"/>
        <w:gridCol w:w="2235"/>
      </w:tblGrid>
      <w:tr>
        <w:trPr>
          <w:tblHeader/>
        </w:trPr>
        <w:tc>
          <w:tcPr>
            <w:tcW w:type="dxa" w:w="1816"/>
            <w:shd w:fill="D9D9D9" w:val="clear"/>
            <w:tcMar>
              <w:top w:type="dxa" w:w="80"/>
              <w:left w:type="dxa" w:w="100"/>
              <w:bottom w:type="dxa" w:w="80"/>
              <w:right w:type="dxa" w:w="100"/>
            </w:tcMar>
            <w:vAlign w:val="top"/>
          </w:tcPr>
          <w:p>
            <w:r>
              <w:rPr>
                <w:b/>
                <w:bCs/>
                <w:i w:val="false"/>
                <w:iCs w:val="false"/>
              </w:rPr>
              <w:t xml:space="preserve">Stakeholder / Role</w:t>
            </w:r>
          </w:p>
        </w:tc>
        <w:tc>
          <w:tcPr>
            <w:tcW w:type="dxa" w:w="1956"/>
            <w:shd w:fill="D9D9D9" w:val="clear"/>
            <w:tcMar>
              <w:top w:type="dxa" w:w="80"/>
              <w:left w:type="dxa" w:w="100"/>
              <w:bottom w:type="dxa" w:w="80"/>
              <w:right w:type="dxa" w:w="100"/>
            </w:tcMar>
            <w:vAlign w:val="top"/>
          </w:tcPr>
          <w:p>
            <w:r>
              <w:rPr>
                <w:b/>
                <w:bCs/>
                <w:i w:val="false"/>
                <w:iCs w:val="false"/>
              </w:rPr>
              <w:t xml:space="preserve">Expected Use</w:t>
            </w:r>
          </w:p>
        </w:tc>
        <w:tc>
          <w:tcPr>
            <w:tcW w:type="dxa" w:w="1956"/>
            <w:shd w:fill="D9D9D9" w:val="clear"/>
            <w:tcMar>
              <w:top w:type="dxa" w:w="80"/>
              <w:left w:type="dxa" w:w="100"/>
              <w:bottom w:type="dxa" w:w="80"/>
              <w:right w:type="dxa" w:w="100"/>
            </w:tcMar>
            <w:vAlign w:val="top"/>
          </w:tcPr>
          <w:p>
            <w:r>
              <w:rPr>
                <w:b/>
                <w:bCs/>
                <w:i w:val="false"/>
                <w:iCs w:val="false"/>
              </w:rPr>
              <w:t xml:space="preserve">Data Owned or Provided</w:t>
            </w:r>
          </w:p>
        </w:tc>
        <w:tc>
          <w:tcPr>
            <w:tcW w:type="dxa" w:w="1397"/>
            <w:shd w:fill="D9D9D9" w:val="clear"/>
            <w:tcMar>
              <w:top w:type="dxa" w:w="80"/>
              <w:left w:type="dxa" w:w="100"/>
              <w:bottom w:type="dxa" w:w="80"/>
              <w:right w:type="dxa" w:w="100"/>
            </w:tcMar>
            <w:vAlign w:val="top"/>
          </w:tcPr>
          <w:p>
            <w:r>
              <w:rPr>
                <w:b/>
                <w:bCs/>
                <w:i w:val="false"/>
                <w:iCs w:val="false"/>
              </w:rPr>
              <w:t xml:space="preserve">Access Level</w:t>
            </w:r>
          </w:p>
        </w:tc>
        <w:tc>
          <w:tcPr>
            <w:tcW w:type="dxa" w:w="2235"/>
            <w:shd w:fill="D9D9D9" w:val="clear"/>
            <w:tcMar>
              <w:top w:type="dxa" w:w="80"/>
              <w:left w:type="dxa" w:w="100"/>
              <w:bottom w:type="dxa" w:w="80"/>
              <w:right w:type="dxa" w:w="100"/>
            </w:tcMar>
            <w:vAlign w:val="top"/>
          </w:tcPr>
          <w:p>
            <w:r>
              <w:rPr>
                <w:b/>
                <w:bCs/>
                <w:i w:val="false"/>
                <w:iCs w:val="false"/>
              </w:rPr>
              <w:t xml:space="preserve">Notes</w:t>
            </w:r>
          </w:p>
        </w:tc>
      </w:tr>
      <w:tr>
        <w:tc>
          <w:tcPr>
            <w:tcW w:type="dxa" w:w="1816"/>
            <w:tcMar>
              <w:top w:type="dxa" w:w="80"/>
              <w:left w:type="dxa" w:w="100"/>
              <w:bottom w:type="dxa" w:w="80"/>
              <w:right w:type="dxa" w:w="100"/>
            </w:tcMar>
            <w:vAlign w:val="top"/>
          </w:tcPr>
          <w:p>
            <w:r>
              <w:rPr>
                <w:b w:val="false"/>
                <w:bCs w:val="false"/>
                <w:i w:val="false"/>
                <w:iCs w:val="false"/>
              </w:rPr>
              <w:t xml:space="preserve">IPT Lead (Linda Dodson)</w:t>
            </w:r>
          </w:p>
        </w:tc>
        <w:tc>
          <w:tcPr>
            <w:tcW w:type="dxa" w:w="1956"/>
            <w:tcMar>
              <w:top w:type="dxa" w:w="80"/>
              <w:left w:type="dxa" w:w="100"/>
              <w:bottom w:type="dxa" w:w="80"/>
              <w:right w:type="dxa" w:w="100"/>
            </w:tcMar>
            <w:vAlign w:val="top"/>
          </w:tcPr>
          <w:p>
            <w:r>
              <w:rPr>
                <w:b w:val="false"/>
                <w:bCs w:val="false"/>
                <w:i w:val="false"/>
                <w:iCs w:val="false"/>
              </w:rPr>
              <w:t xml:space="preserve">Portfolio views; drill-down per project; export for briefings and data calls.</w:t>
            </w:r>
          </w:p>
        </w:tc>
        <w:tc>
          <w:tcPr>
            <w:tcW w:type="dxa" w:w="1956"/>
            <w:tcMar>
              <w:top w:type="dxa" w:w="80"/>
              <w:left w:type="dxa" w:w="100"/>
              <w:bottom w:type="dxa" w:w="80"/>
              <w:right w:type="dxa" w:w="100"/>
            </w:tcMar>
            <w:vAlign w:val="top"/>
          </w:tcPr>
          <w:p>
            <w:r>
              <w:rPr>
                <w:b w:val="false"/>
                <w:bCs w:val="false"/>
                <w:i w:val="false"/>
                <w:iCs w:val="false"/>
              </w:rPr>
              <w:t xml:space="preserve">Read-only; no source data owned.</w:t>
            </w:r>
          </w:p>
        </w:tc>
        <w:tc>
          <w:tcPr>
            <w:tcW w:type="dxa" w:w="1397"/>
            <w:tcMar>
              <w:top w:type="dxa" w:w="80"/>
              <w:left w:type="dxa" w:w="100"/>
              <w:bottom w:type="dxa" w:w="80"/>
              <w:right w:type="dxa" w:w="100"/>
            </w:tcMar>
            <w:vAlign w:val="top"/>
          </w:tcPr>
          <w:p>
            <w:r>
              <w:rPr>
                <w:b w:val="false"/>
                <w:bCs w:val="false"/>
                <w:i w:val="false"/>
                <w:iCs w:val="false"/>
              </w:rPr>
              <w:t xml:space="preserve">Read-only; export.</w:t>
            </w:r>
          </w:p>
        </w:tc>
        <w:tc>
          <w:tcPr>
            <w:tcW w:type="dxa" w:w="2235"/>
            <w:tcMar>
              <w:top w:type="dxa" w:w="80"/>
              <w:left w:type="dxa" w:w="100"/>
              <w:bottom w:type="dxa" w:w="80"/>
              <w:right w:type="dxa" w:w="100"/>
            </w:tcMar>
            <w:vAlign w:val="top"/>
          </w:tcPr>
          <w:p>
            <w:r>
              <w:rPr>
                <w:b w:val="false"/>
                <w:bCs w:val="false"/>
                <w:i w:val="false"/>
                <w:iCs w:val="false"/>
              </w:rPr>
              <w:t xml:space="preserve">Must confirm priority metrics and required fields before development proceeds.</w:t>
            </w:r>
          </w:p>
        </w:tc>
      </w:tr>
      <w:tr>
        <w:tc>
          <w:tcPr>
            <w:tcW w:type="dxa" w:w="1816"/>
            <w:tcMar>
              <w:top w:type="dxa" w:w="80"/>
              <w:left w:type="dxa" w:w="100"/>
              <w:bottom w:type="dxa" w:w="80"/>
              <w:right w:type="dxa" w:w="100"/>
            </w:tcMar>
            <w:vAlign w:val="top"/>
          </w:tcPr>
          <w:p>
            <w:r>
              <w:rPr>
                <w:b w:val="false"/>
                <w:bCs w:val="false"/>
                <w:i w:val="false"/>
                <w:iCs w:val="false"/>
              </w:rPr>
              <w:t xml:space="preserve">Deputy IPT Lead (Patty)</w:t>
            </w:r>
          </w:p>
        </w:tc>
        <w:tc>
          <w:tcPr>
            <w:tcW w:type="dxa" w:w="1956"/>
            <w:tcMar>
              <w:top w:type="dxa" w:w="80"/>
              <w:left w:type="dxa" w:w="100"/>
              <w:bottom w:type="dxa" w:w="80"/>
              <w:right w:type="dxa" w:w="100"/>
            </w:tcMar>
            <w:vAlign w:val="top"/>
          </w:tcPr>
          <w:p>
            <w:r>
              <w:rPr>
                <w:b w:val="false"/>
                <w:bCs w:val="false"/>
                <w:i w:val="false"/>
                <w:iCs w:val="false"/>
              </w:rPr>
              <w:t xml:space="preserve">Same as IPT Lead; validates engineering requirements.</w:t>
            </w:r>
          </w:p>
        </w:tc>
        <w:tc>
          <w:tcPr>
            <w:tcW w:type="dxa" w:w="1956"/>
            <w:tcMar>
              <w:top w:type="dxa" w:w="80"/>
              <w:left w:type="dxa" w:w="100"/>
              <w:bottom w:type="dxa" w:w="80"/>
              <w:right w:type="dxa" w:w="100"/>
            </w:tcMar>
            <w:vAlign w:val="top"/>
          </w:tcPr>
          <w:p>
            <w:r>
              <w:rPr>
                <w:b w:val="false"/>
                <w:bCs w:val="false"/>
                <w:i w:val="false"/>
                <w:iCs w:val="false"/>
              </w:rPr>
              <w:t xml:space="preserve">Read-only.</w:t>
            </w:r>
          </w:p>
        </w:tc>
        <w:tc>
          <w:tcPr>
            <w:tcW w:type="dxa" w:w="1397"/>
            <w:tcMar>
              <w:top w:type="dxa" w:w="80"/>
              <w:left w:type="dxa" w:w="100"/>
              <w:bottom w:type="dxa" w:w="80"/>
              <w:right w:type="dxa" w:w="100"/>
            </w:tcMar>
            <w:vAlign w:val="top"/>
          </w:tcPr>
          <w:p>
            <w:r>
              <w:rPr>
                <w:b w:val="false"/>
                <w:bCs w:val="false"/>
                <w:i w:val="false"/>
                <w:iCs w:val="false"/>
              </w:rPr>
              <w:t xml:space="preserve">Read-only; export.</w:t>
            </w:r>
          </w:p>
        </w:tc>
        <w:tc>
          <w:tcPr>
            <w:tcW w:type="dxa" w:w="2235"/>
            <w:tcMar>
              <w:top w:type="dxa" w:w="80"/>
              <w:left w:type="dxa" w:w="100"/>
              <w:bottom w:type="dxa" w:w="80"/>
              <w:right w:type="dxa" w:w="100"/>
            </w:tcMar>
            <w:vAlign w:val="top"/>
          </w:tcPr>
          <w:p>
            <w:r>
              <w:rPr>
                <w:b w:val="false"/>
                <w:bCs w:val="false"/>
                <w:i w:val="false"/>
                <w:iCs w:val="false"/>
              </w:rPr>
              <w:t xml:space="preserve">Absent for significant portion of internship; engineering module depends on her input.</w:t>
            </w:r>
          </w:p>
        </w:tc>
      </w:tr>
      <w:tr>
        <w:tc>
          <w:tcPr>
            <w:tcW w:type="dxa" w:w="1816"/>
            <w:tcMar>
              <w:top w:type="dxa" w:w="80"/>
              <w:left w:type="dxa" w:w="100"/>
              <w:bottom w:type="dxa" w:w="80"/>
              <w:right w:type="dxa" w:w="100"/>
            </w:tcMar>
            <w:vAlign w:val="top"/>
          </w:tcPr>
          <w:p>
            <w:r>
              <w:rPr>
                <w:b w:val="false"/>
                <w:bCs w:val="false"/>
                <w:i w:val="false"/>
                <w:iCs w:val="false"/>
              </w:rPr>
              <w:t xml:space="preserve">Contracts Manager (Aimee Bloomberg)</w:t>
            </w:r>
          </w:p>
        </w:tc>
        <w:tc>
          <w:tcPr>
            <w:tcW w:type="dxa" w:w="1956"/>
            <w:tcMar>
              <w:top w:type="dxa" w:w="80"/>
              <w:left w:type="dxa" w:w="100"/>
              <w:bottom w:type="dxa" w:w="80"/>
              <w:right w:type="dxa" w:w="100"/>
            </w:tcMar>
            <w:vAlign w:val="top"/>
          </w:tcPr>
          <w:p>
            <w:r>
              <w:rPr>
                <w:b w:val="false"/>
                <w:bCs w:val="false"/>
                <w:i w:val="false"/>
                <w:iCs w:val="false"/>
              </w:rPr>
              <w:t xml:space="preserve">Administrative oversight; financial data import; technical steward.</w:t>
            </w:r>
          </w:p>
        </w:tc>
        <w:tc>
          <w:tcPr>
            <w:tcW w:type="dxa" w:w="1956"/>
            <w:tcMar>
              <w:top w:type="dxa" w:w="80"/>
              <w:left w:type="dxa" w:w="100"/>
              <w:bottom w:type="dxa" w:w="80"/>
              <w:right w:type="dxa" w:w="100"/>
            </w:tcMar>
            <w:vAlign w:val="top"/>
          </w:tcPr>
          <w:p>
            <w:r>
              <w:rPr>
                <w:b w:val="false"/>
                <w:bCs w:val="false"/>
                <w:i w:val="false"/>
                <w:iCs w:val="false"/>
              </w:rPr>
              <w:t xml:space="preserve">Financial data (partial Power BI); contract summary data.</w:t>
            </w:r>
          </w:p>
        </w:tc>
        <w:tc>
          <w:tcPr>
            <w:tcW w:type="dxa" w:w="1397"/>
            <w:tcMar>
              <w:top w:type="dxa" w:w="80"/>
              <w:left w:type="dxa" w:w="100"/>
              <w:bottom w:type="dxa" w:w="80"/>
              <w:right w:type="dxa" w:w="100"/>
            </w:tcMar>
            <w:vAlign w:val="top"/>
          </w:tcPr>
          <w:p>
            <w:r>
              <w:rPr>
                <w:b w:val="false"/>
                <w:bCs w:val="false"/>
                <w:i w:val="false"/>
                <w:iCs w:val="false"/>
              </w:rPr>
              <w:t xml:space="preserve">Full edit; administrator.</w:t>
            </w:r>
          </w:p>
        </w:tc>
        <w:tc>
          <w:tcPr>
            <w:tcW w:type="dxa" w:w="2235"/>
            <w:tcMar>
              <w:top w:type="dxa" w:w="80"/>
              <w:left w:type="dxa" w:w="100"/>
              <w:bottom w:type="dxa" w:w="80"/>
              <w:right w:type="dxa" w:w="100"/>
            </w:tcMar>
            <w:vAlign w:val="top"/>
          </w:tcPr>
          <w:p>
            <w:r>
              <w:rPr>
                <w:b w:val="false"/>
                <w:bCs w:val="false"/>
                <w:i w:val="false"/>
                <w:iCs w:val="false"/>
              </w:rPr>
              <w:t xml:space="preserve">Recommended as primary application administrator after internship ends.</w:t>
            </w:r>
          </w:p>
        </w:tc>
      </w:tr>
      <w:tr>
        <w:tc>
          <w:tcPr>
            <w:tcW w:type="dxa" w:w="1816"/>
            <w:tcMar>
              <w:top w:type="dxa" w:w="80"/>
              <w:left w:type="dxa" w:w="100"/>
              <w:bottom w:type="dxa" w:w="80"/>
              <w:right w:type="dxa" w:w="100"/>
            </w:tcMar>
            <w:vAlign w:val="top"/>
          </w:tcPr>
          <w:p>
            <w:r>
              <w:rPr>
                <w:b w:val="false"/>
                <w:bCs w:val="false"/>
                <w:i w:val="false"/>
                <w:iCs w:val="false"/>
              </w:rPr>
              <w:t xml:space="preserve">Project Managers (Ashley and Haley)</w:t>
            </w:r>
          </w:p>
        </w:tc>
        <w:tc>
          <w:tcPr>
            <w:tcW w:type="dxa" w:w="1956"/>
            <w:tcMar>
              <w:top w:type="dxa" w:w="80"/>
              <w:left w:type="dxa" w:w="100"/>
              <w:bottom w:type="dxa" w:w="80"/>
              <w:right w:type="dxa" w:w="100"/>
            </w:tcMar>
            <w:vAlign w:val="top"/>
          </w:tcPr>
          <w:p>
            <w:r>
              <w:rPr>
                <w:b w:val="false"/>
                <w:bCs w:val="false"/>
                <w:i w:val="false"/>
                <w:iCs w:val="false"/>
              </w:rPr>
              <w:t xml:space="preserve">Status data entry; report generation; milestone updates.</w:t>
            </w:r>
          </w:p>
        </w:tc>
        <w:tc>
          <w:tcPr>
            <w:tcW w:type="dxa" w:w="1956"/>
            <w:tcMar>
              <w:top w:type="dxa" w:w="80"/>
              <w:left w:type="dxa" w:w="100"/>
              <w:bottom w:type="dxa" w:w="80"/>
              <w:right w:type="dxa" w:w="100"/>
            </w:tcMar>
            <w:vAlign w:val="top"/>
          </w:tcPr>
          <w:p>
            <w:r>
              <w:rPr>
                <w:b w:val="false"/>
                <w:bCs w:val="false"/>
                <w:i w:val="false"/>
                <w:iCs w:val="false"/>
              </w:rPr>
              <w:t xml:space="preserve">Project status, narrative, milestone dates, contractor report summaries.</w:t>
            </w:r>
          </w:p>
        </w:tc>
        <w:tc>
          <w:tcPr>
            <w:tcW w:type="dxa" w:w="1397"/>
            <w:tcMar>
              <w:top w:type="dxa" w:w="80"/>
              <w:left w:type="dxa" w:w="100"/>
              <w:bottom w:type="dxa" w:w="80"/>
              <w:right w:type="dxa" w:w="100"/>
            </w:tcMar>
            <w:vAlign w:val="top"/>
          </w:tcPr>
          <w:p>
            <w:r>
              <w:rPr>
                <w:b w:val="false"/>
                <w:bCs w:val="false"/>
                <w:i w:val="false"/>
                <w:iCs w:val="false"/>
              </w:rPr>
              <w:t xml:space="preserve">Edit for assigned projects; read portfolio.</w:t>
            </w:r>
          </w:p>
        </w:tc>
        <w:tc>
          <w:tcPr>
            <w:tcW w:type="dxa" w:w="2235"/>
            <w:tcMar>
              <w:top w:type="dxa" w:w="80"/>
              <w:left w:type="dxa" w:w="100"/>
              <w:bottom w:type="dxa" w:w="80"/>
              <w:right w:type="dxa" w:w="100"/>
            </w:tcMar>
            <w:vAlign w:val="top"/>
          </w:tcPr>
          <w:p>
            <w:r>
              <w:rPr>
                <w:b w:val="false"/>
                <w:bCs w:val="false"/>
                <w:i w:val="false"/>
                <w:iCs w:val="false"/>
              </w:rPr>
              <w:t xml:space="preserve">Haley identified as primary beneficiary of report automation; approximately one full day per month currently spent on manual reporting.</w:t>
            </w:r>
          </w:p>
        </w:tc>
      </w:tr>
      <w:tr>
        <w:tc>
          <w:tcPr>
            <w:tcW w:type="dxa" w:w="1816"/>
            <w:tcMar>
              <w:top w:type="dxa" w:w="80"/>
              <w:left w:type="dxa" w:w="100"/>
              <w:bottom w:type="dxa" w:w="80"/>
              <w:right w:type="dxa" w:w="100"/>
            </w:tcMar>
            <w:vAlign w:val="top"/>
          </w:tcPr>
          <w:p>
            <w:r>
              <w:rPr>
                <w:b w:val="false"/>
                <w:bCs w:val="false"/>
                <w:i w:val="false"/>
                <w:iCs w:val="false"/>
              </w:rPr>
              <w:t xml:space="preserve">BFM (Michelle)</w:t>
            </w:r>
          </w:p>
        </w:tc>
        <w:tc>
          <w:tcPr>
            <w:tcW w:type="dxa" w:w="1956"/>
            <w:tcMar>
              <w:top w:type="dxa" w:w="80"/>
              <w:left w:type="dxa" w:w="100"/>
              <w:bottom w:type="dxa" w:w="80"/>
              <w:right w:type="dxa" w:w="100"/>
            </w:tcMar>
            <w:vAlign w:val="top"/>
          </w:tcPr>
          <w:p>
            <w:r>
              <w:rPr>
                <w:b w:val="false"/>
                <w:bCs w:val="false"/>
                <w:i w:val="false"/>
                <w:iCs w:val="false"/>
              </w:rPr>
              <w:t xml:space="preserve">Provides ERP extract as data input.</w:t>
            </w:r>
          </w:p>
        </w:tc>
        <w:tc>
          <w:tcPr>
            <w:tcW w:type="dxa" w:w="1956"/>
            <w:tcMar>
              <w:top w:type="dxa" w:w="80"/>
              <w:left w:type="dxa" w:w="100"/>
              <w:bottom w:type="dxa" w:w="80"/>
              <w:right w:type="dxa" w:w="100"/>
            </w:tcMar>
            <w:vAlign w:val="top"/>
          </w:tcPr>
          <w:p>
            <w:r>
              <w:rPr>
                <w:b w:val="false"/>
                <w:bCs w:val="false"/>
                <w:i w:val="false"/>
                <w:iCs w:val="false"/>
              </w:rPr>
              <w:t xml:space="preserve">Navy ERP weekly extracts.</w:t>
            </w:r>
          </w:p>
        </w:tc>
        <w:tc>
          <w:tcPr>
            <w:tcW w:type="dxa" w:w="1397"/>
            <w:tcMar>
              <w:top w:type="dxa" w:w="80"/>
              <w:left w:type="dxa" w:w="100"/>
              <w:bottom w:type="dxa" w:w="80"/>
              <w:right w:type="dxa" w:w="100"/>
            </w:tcMar>
            <w:vAlign w:val="top"/>
          </w:tcPr>
          <w:p>
            <w:r>
              <w:rPr>
                <w:b w:val="false"/>
                <w:bCs w:val="false"/>
                <w:i w:val="false"/>
                <w:iCs w:val="false"/>
              </w:rPr>
              <w:t xml:space="preserve">File drop to shared location.</w:t>
            </w:r>
          </w:p>
        </w:tc>
        <w:tc>
          <w:tcPr>
            <w:tcW w:type="dxa" w:w="2235"/>
            <w:tcMar>
              <w:top w:type="dxa" w:w="80"/>
              <w:left w:type="dxa" w:w="100"/>
              <w:bottom w:type="dxa" w:w="80"/>
              <w:right w:type="dxa" w:w="100"/>
            </w:tcMar>
            <w:vAlign w:val="top"/>
          </w:tcPr>
          <w:p>
            <w:r>
              <w:rPr>
                <w:b w:val="false"/>
                <w:bCs w:val="false"/>
                <w:i w:val="false"/>
                <w:iCs w:val="false"/>
              </w:rPr>
              <w:t xml:space="preserve">Noted as resistant to new tools; leadership direction may be required.</w:t>
            </w:r>
          </w:p>
        </w:tc>
      </w:tr>
      <w:tr>
        <w:tc>
          <w:tcPr>
            <w:tcW w:type="dxa" w:w="1816"/>
            <w:tcMar>
              <w:top w:type="dxa" w:w="80"/>
              <w:left w:type="dxa" w:w="100"/>
              <w:bottom w:type="dxa" w:w="80"/>
              <w:right w:type="dxa" w:w="100"/>
            </w:tcMar>
            <w:vAlign w:val="top"/>
          </w:tcPr>
          <w:p>
            <w:r>
              <w:rPr>
                <w:b w:val="false"/>
                <w:bCs w:val="false"/>
                <w:i w:val="false"/>
                <w:iCs w:val="false"/>
              </w:rPr>
              <w:t xml:space="preserve">Project Scheduler (Trevor)</w:t>
            </w:r>
          </w:p>
        </w:tc>
        <w:tc>
          <w:tcPr>
            <w:tcW w:type="dxa" w:w="1956"/>
            <w:tcMar>
              <w:top w:type="dxa" w:w="80"/>
              <w:left w:type="dxa" w:w="100"/>
              <w:bottom w:type="dxa" w:w="80"/>
              <w:right w:type="dxa" w:w="100"/>
            </w:tcMar>
            <w:vAlign w:val="top"/>
          </w:tcPr>
          <w:p>
            <w:r>
              <w:rPr>
                <w:b w:val="false"/>
                <w:bCs w:val="false"/>
                <w:i w:val="false"/>
                <w:iCs w:val="false"/>
              </w:rPr>
              <w:t xml:space="preserve">Milestone and schedule data provider.</w:t>
            </w:r>
          </w:p>
        </w:tc>
        <w:tc>
          <w:tcPr>
            <w:tcW w:type="dxa" w:w="1956"/>
            <w:tcMar>
              <w:top w:type="dxa" w:w="80"/>
              <w:left w:type="dxa" w:w="100"/>
              <w:bottom w:type="dxa" w:w="80"/>
              <w:right w:type="dxa" w:w="100"/>
            </w:tcMar>
            <w:vAlign w:val="top"/>
          </w:tcPr>
          <w:p>
            <w:r>
              <w:rPr>
                <w:b w:val="false"/>
                <w:bCs w:val="false"/>
                <w:i w:val="false"/>
                <w:iCs w:val="false"/>
              </w:rPr>
              <w:t xml:space="preserve">Microsoft Project / IMS data.</w:t>
            </w:r>
          </w:p>
        </w:tc>
        <w:tc>
          <w:tcPr>
            <w:tcW w:type="dxa" w:w="1397"/>
            <w:tcMar>
              <w:top w:type="dxa" w:w="80"/>
              <w:left w:type="dxa" w:w="100"/>
              <w:bottom w:type="dxa" w:w="80"/>
              <w:right w:type="dxa" w:w="100"/>
            </w:tcMar>
            <w:vAlign w:val="top"/>
          </w:tcPr>
          <w:p>
            <w:r>
              <w:rPr>
                <w:b w:val="false"/>
                <w:bCs w:val="false"/>
                <w:i w:val="false"/>
                <w:iCs w:val="false"/>
              </w:rPr>
              <w:t xml:space="preserve">Limited edit for scheduling fields.</w:t>
            </w:r>
          </w:p>
        </w:tc>
        <w:tc>
          <w:tcPr>
            <w:tcW w:type="dxa" w:w="2235"/>
            <w:tcMar>
              <w:top w:type="dxa" w:w="80"/>
              <w:left w:type="dxa" w:w="100"/>
              <w:bottom w:type="dxa" w:w="80"/>
              <w:right w:type="dxa" w:w="100"/>
            </w:tcMar>
            <w:vAlign w:val="top"/>
          </w:tcPr>
          <w:p>
            <w:r>
              <w:rPr>
                <w:b w:val="false"/>
                <w:bCs w:val="false"/>
                <w:i w:val="false"/>
                <w:iCs w:val="false"/>
              </w:rPr>
              <w:t xml:space="preserve">Not a permanent AEWTTR employee; dotted-line relationship.</w:t>
            </w:r>
          </w:p>
        </w:tc>
      </w:tr>
      <w:tr>
        <w:tc>
          <w:tcPr>
            <w:tcW w:type="dxa" w:w="1816"/>
            <w:tcMar>
              <w:top w:type="dxa" w:w="80"/>
              <w:left w:type="dxa" w:w="100"/>
              <w:bottom w:type="dxa" w:w="80"/>
              <w:right w:type="dxa" w:w="100"/>
            </w:tcMar>
            <w:vAlign w:val="top"/>
          </w:tcPr>
          <w:p>
            <w:r>
              <w:rPr>
                <w:b w:val="false"/>
                <w:bCs w:val="false"/>
                <w:i w:val="false"/>
                <w:iCs w:val="false"/>
              </w:rPr>
              <w:t xml:space="preserve">Contracts Team (Rebecca and others)</w:t>
            </w:r>
          </w:p>
        </w:tc>
        <w:tc>
          <w:tcPr>
            <w:tcW w:type="dxa" w:w="1956"/>
            <w:tcMar>
              <w:top w:type="dxa" w:w="80"/>
              <w:left w:type="dxa" w:w="100"/>
              <w:bottom w:type="dxa" w:w="80"/>
              <w:right w:type="dxa" w:w="100"/>
            </w:tcMar>
            <w:vAlign w:val="top"/>
          </w:tcPr>
          <w:p>
            <w:r>
              <w:rPr>
                <w:b w:val="false"/>
                <w:bCs w:val="false"/>
                <w:i w:val="false"/>
                <w:iCs w:val="false"/>
              </w:rPr>
              <w:t xml:space="preserve">Contract and task order data entry.</w:t>
            </w:r>
          </w:p>
        </w:tc>
        <w:tc>
          <w:tcPr>
            <w:tcW w:type="dxa" w:w="1956"/>
            <w:tcMar>
              <w:top w:type="dxa" w:w="80"/>
              <w:left w:type="dxa" w:w="100"/>
              <w:bottom w:type="dxa" w:w="80"/>
              <w:right w:type="dxa" w:w="100"/>
            </w:tcMar>
            <w:vAlign w:val="top"/>
          </w:tcPr>
          <w:p>
            <w:r>
              <w:rPr>
                <w:b w:val="false"/>
                <w:bCs w:val="false"/>
                <w:i w:val="false"/>
                <w:iCs w:val="false"/>
              </w:rPr>
              <w:t xml:space="preserve">Contract and task order data on separate SPO.</w:t>
            </w:r>
          </w:p>
        </w:tc>
        <w:tc>
          <w:tcPr>
            <w:tcW w:type="dxa" w:w="1397"/>
            <w:tcMar>
              <w:top w:type="dxa" w:w="80"/>
              <w:left w:type="dxa" w:w="100"/>
              <w:bottom w:type="dxa" w:w="80"/>
              <w:right w:type="dxa" w:w="100"/>
            </w:tcMar>
            <w:vAlign w:val="top"/>
          </w:tcPr>
          <w:p>
            <w:r>
              <w:rPr>
                <w:b w:val="false"/>
                <w:bCs w:val="false"/>
                <w:i w:val="false"/>
                <w:iCs w:val="false"/>
              </w:rPr>
              <w:t xml:space="preserve">Limited edit for contract fields.</w:t>
            </w:r>
          </w:p>
        </w:tc>
        <w:tc>
          <w:tcPr>
            <w:tcW w:type="dxa" w:w="2235"/>
            <w:tcMar>
              <w:top w:type="dxa" w:w="80"/>
              <w:left w:type="dxa" w:w="100"/>
              <w:bottom w:type="dxa" w:w="80"/>
              <w:right w:type="dxa" w:w="100"/>
            </w:tcMar>
            <w:vAlign w:val="top"/>
          </w:tcPr>
          <w:p>
            <w:r>
              <w:rPr>
                <w:b w:val="false"/>
                <w:bCs w:val="false"/>
                <w:i w:val="false"/>
                <w:iCs w:val="false"/>
              </w:rPr>
              <w:t xml:space="preserve">Separate contracts SPO access should be resolved before the contract module can be populated.</w:t>
            </w:r>
          </w:p>
        </w:tc>
      </w:tr>
      <w:tr>
        <w:tc>
          <w:tcPr>
            <w:tcW w:type="dxa" w:w="1816"/>
            <w:tcMar>
              <w:top w:type="dxa" w:w="80"/>
              <w:left w:type="dxa" w:w="100"/>
              <w:bottom w:type="dxa" w:w="80"/>
              <w:right w:type="dxa" w:w="100"/>
            </w:tcMar>
            <w:vAlign w:val="top"/>
          </w:tcPr>
          <w:p>
            <w:r>
              <w:rPr>
                <w:b w:val="false"/>
                <w:bCs w:val="false"/>
                <w:i w:val="false"/>
                <w:iCs w:val="false"/>
              </w:rPr>
              <w:t xml:space="preserve">Cyber Team Lead (Sam)</w:t>
            </w:r>
          </w:p>
        </w:tc>
        <w:tc>
          <w:tcPr>
            <w:tcW w:type="dxa" w:w="1956"/>
            <w:tcMar>
              <w:top w:type="dxa" w:w="80"/>
              <w:left w:type="dxa" w:w="100"/>
              <w:bottom w:type="dxa" w:w="80"/>
              <w:right w:type="dxa" w:w="100"/>
            </w:tcMar>
            <w:vAlign w:val="top"/>
          </w:tcPr>
          <w:p>
            <w:r>
              <w:rPr>
                <w:b w:val="false"/>
                <w:bCs w:val="false"/>
                <w:i w:val="false"/>
                <w:iCs w:val="false"/>
              </w:rPr>
              <w:t xml:space="preserve">Cyber compliance step data entry.</w:t>
            </w:r>
          </w:p>
        </w:tc>
        <w:tc>
          <w:tcPr>
            <w:tcW w:type="dxa" w:w="1956"/>
            <w:tcMar>
              <w:top w:type="dxa" w:w="80"/>
              <w:left w:type="dxa" w:w="100"/>
              <w:bottom w:type="dxa" w:w="80"/>
              <w:right w:type="dxa" w:w="100"/>
            </w:tcMar>
            <w:vAlign w:val="top"/>
          </w:tcPr>
          <w:p>
            <w:r>
              <w:rPr>
                <w:b w:val="false"/>
                <w:bCs w:val="false"/>
                <w:i w:val="false"/>
                <w:iCs w:val="false"/>
              </w:rPr>
              <w:t xml:space="preserve">eMASS data (manual export only).</w:t>
            </w:r>
          </w:p>
        </w:tc>
        <w:tc>
          <w:tcPr>
            <w:tcW w:type="dxa" w:w="1397"/>
            <w:tcMar>
              <w:top w:type="dxa" w:w="80"/>
              <w:left w:type="dxa" w:w="100"/>
              <w:bottom w:type="dxa" w:w="80"/>
              <w:right w:type="dxa" w:w="100"/>
            </w:tcMar>
            <w:vAlign w:val="top"/>
          </w:tcPr>
          <w:p>
            <w:r>
              <w:rPr>
                <w:b w:val="false"/>
                <w:bCs w:val="false"/>
                <w:i w:val="false"/>
                <w:iCs w:val="false"/>
              </w:rPr>
              <w:t xml:space="preserve">Limited edit for cyber compliance fields only.</w:t>
            </w:r>
          </w:p>
        </w:tc>
        <w:tc>
          <w:tcPr>
            <w:tcW w:type="dxa" w:w="2235"/>
            <w:tcMar>
              <w:top w:type="dxa" w:w="80"/>
              <w:left w:type="dxa" w:w="100"/>
              <w:bottom w:type="dxa" w:w="80"/>
              <w:right w:type="dxa" w:w="100"/>
            </w:tcMar>
            <w:vAlign w:val="top"/>
          </w:tcPr>
          <w:p>
            <w:r>
              <w:rPr>
                <w:b w:val="false"/>
                <w:bCs w:val="false"/>
                <w:i w:val="false"/>
                <w:iCs w:val="false"/>
              </w:rPr>
              <w:t xml:space="preserve">Must own manual cyber compliance step updates; eMASS on restricted network.</w:t>
            </w:r>
          </w:p>
        </w:tc>
      </w:tr>
      <w:tr>
        <w:tc>
          <w:tcPr>
            <w:tcW w:type="dxa" w:w="1816"/>
            <w:tcMar>
              <w:top w:type="dxa" w:w="80"/>
              <w:left w:type="dxa" w:w="100"/>
              <w:bottom w:type="dxa" w:w="80"/>
              <w:right w:type="dxa" w:w="100"/>
            </w:tcMar>
            <w:vAlign w:val="top"/>
          </w:tcPr>
          <w:p>
            <w:r>
              <w:rPr>
                <w:b w:val="false"/>
                <w:bCs w:val="false"/>
                <w:i w:val="false"/>
                <w:iCs w:val="false"/>
              </w:rPr>
              <w:t xml:space="preserve">Engineering Team (Roberto, Cole, and others)</w:t>
            </w:r>
          </w:p>
        </w:tc>
        <w:tc>
          <w:tcPr>
            <w:tcW w:type="dxa" w:w="1956"/>
            <w:tcMar>
              <w:top w:type="dxa" w:w="80"/>
              <w:left w:type="dxa" w:w="100"/>
              <w:bottom w:type="dxa" w:w="80"/>
              <w:right w:type="dxa" w:w="100"/>
            </w:tcMar>
            <w:vAlign w:val="top"/>
          </w:tcPr>
          <w:p>
            <w:r>
              <w:rPr>
                <w:b w:val="false"/>
                <w:bCs w:val="false"/>
                <w:i w:val="false"/>
                <w:iCs w:val="false"/>
              </w:rPr>
              <w:t xml:space="preserve">Engineering checklist updates.</w:t>
            </w:r>
          </w:p>
        </w:tc>
        <w:tc>
          <w:tcPr>
            <w:tcW w:type="dxa" w:w="1956"/>
            <w:tcMar>
              <w:top w:type="dxa" w:w="80"/>
              <w:left w:type="dxa" w:w="100"/>
              <w:bottom w:type="dxa" w:w="80"/>
              <w:right w:type="dxa" w:w="100"/>
            </w:tcMar>
            <w:vAlign w:val="top"/>
          </w:tcPr>
          <w:p>
            <w:r>
              <w:rPr>
                <w:b w:val="false"/>
                <w:bCs w:val="false"/>
                <w:i w:val="false"/>
                <w:iCs w:val="false"/>
              </w:rPr>
              <w:t xml:space="preserve">Engineering project status; checklist data.</w:t>
            </w:r>
          </w:p>
        </w:tc>
        <w:tc>
          <w:tcPr>
            <w:tcW w:type="dxa" w:w="1397"/>
            <w:tcMar>
              <w:top w:type="dxa" w:w="80"/>
              <w:left w:type="dxa" w:w="100"/>
              <w:bottom w:type="dxa" w:w="80"/>
              <w:right w:type="dxa" w:w="100"/>
            </w:tcMar>
            <w:vAlign w:val="top"/>
          </w:tcPr>
          <w:p>
            <w:r>
              <w:rPr>
                <w:b w:val="false"/>
                <w:bCs w:val="false"/>
                <w:i w:val="false"/>
                <w:iCs w:val="false"/>
              </w:rPr>
              <w:t xml:space="preserve">Limited edit for engineering fields.</w:t>
            </w:r>
          </w:p>
        </w:tc>
        <w:tc>
          <w:tcPr>
            <w:tcW w:type="dxa" w:w="2235"/>
            <w:tcMar>
              <w:top w:type="dxa" w:w="80"/>
              <w:left w:type="dxa" w:w="100"/>
              <w:bottom w:type="dxa" w:w="80"/>
              <w:right w:type="dxa" w:w="100"/>
            </w:tcMar>
            <w:vAlign w:val="top"/>
          </w:tcPr>
          <w:p>
            <w:r>
              <w:rPr>
                <w:b w:val="false"/>
                <w:bCs w:val="false"/>
                <w:i w:val="false"/>
                <w:iCs w:val="false"/>
              </w:rPr>
              <w:t xml:space="preserve">Checklist content from Cole required before module can be designed.</w:t>
            </w:r>
          </w:p>
        </w:tc>
      </w:tr>
      <w:tr>
        <w:tc>
          <w:tcPr>
            <w:tcW w:type="dxa" w:w="1816"/>
            <w:tcMar>
              <w:top w:type="dxa" w:w="80"/>
              <w:left w:type="dxa" w:w="100"/>
              <w:bottom w:type="dxa" w:w="80"/>
              <w:right w:type="dxa" w:w="100"/>
            </w:tcMar>
            <w:vAlign w:val="top"/>
          </w:tcPr>
          <w:p>
            <w:r>
              <w:rPr>
                <w:b w:val="false"/>
                <w:bCs w:val="false"/>
                <w:i w:val="false"/>
                <w:iCs w:val="false"/>
              </w:rPr>
              <w:t xml:space="preserve">Future Developer / ESDP</w:t>
            </w:r>
          </w:p>
        </w:tc>
        <w:tc>
          <w:tcPr>
            <w:tcW w:type="dxa" w:w="1956"/>
            <w:tcMar>
              <w:top w:type="dxa" w:w="80"/>
              <w:left w:type="dxa" w:w="100"/>
              <w:bottom w:type="dxa" w:w="80"/>
              <w:right w:type="dxa" w:w="100"/>
            </w:tcMar>
            <w:vAlign w:val="top"/>
          </w:tcPr>
          <w:p>
            <w:r>
              <w:rPr>
                <w:b w:val="false"/>
                <w:bCs w:val="false"/>
                <w:i w:val="false"/>
                <w:iCs w:val="false"/>
              </w:rPr>
              <w:t xml:space="preserve">Inherit, maintain, and extend the application.</w:t>
            </w:r>
          </w:p>
        </w:tc>
        <w:tc>
          <w:tcPr>
            <w:tcW w:type="dxa" w:w="1956"/>
            <w:tcMar>
              <w:top w:type="dxa" w:w="80"/>
              <w:left w:type="dxa" w:w="100"/>
              <w:bottom w:type="dxa" w:w="80"/>
              <w:right w:type="dxa" w:w="100"/>
            </w:tcMar>
            <w:vAlign w:val="top"/>
          </w:tcPr>
          <w:p>
            <w:r>
              <w:rPr>
                <w:b w:val="false"/>
                <w:bCs w:val="false"/>
                <w:i w:val="false"/>
                <w:iCs w:val="false"/>
              </w:rPr>
              <w:t xml:space="preserve">All data domains.</w:t>
            </w:r>
          </w:p>
        </w:tc>
        <w:tc>
          <w:tcPr>
            <w:tcW w:type="dxa" w:w="1397"/>
            <w:tcMar>
              <w:top w:type="dxa" w:w="80"/>
              <w:left w:type="dxa" w:w="100"/>
              <w:bottom w:type="dxa" w:w="80"/>
              <w:right w:type="dxa" w:w="100"/>
            </w:tcMar>
            <w:vAlign w:val="top"/>
          </w:tcPr>
          <w:p>
            <w:r>
              <w:rPr>
                <w:b w:val="false"/>
                <w:bCs w:val="false"/>
                <w:i w:val="false"/>
                <w:iCs w:val="false"/>
              </w:rPr>
              <w:t xml:space="preserve">Full administrative access.</w:t>
            </w:r>
          </w:p>
        </w:tc>
        <w:tc>
          <w:tcPr>
            <w:tcW w:type="dxa" w:w="2235"/>
            <w:tcMar>
              <w:top w:type="dxa" w:w="80"/>
              <w:left w:type="dxa" w:w="100"/>
              <w:bottom w:type="dxa" w:w="80"/>
              <w:right w:type="dxa" w:w="100"/>
            </w:tcMar>
            <w:vAlign w:val="top"/>
          </w:tcPr>
          <w:p>
            <w:r>
              <w:rPr>
                <w:b w:val="false"/>
                <w:bCs w:val="false"/>
                <w:i w:val="false"/>
                <w:iCs w:val="false"/>
              </w:rPr>
              <w:t xml:space="preserve">Documentation and rebuild guides are the primary handoff mechanism. Firepit's decompiler (Section 11) materially reduces this risk versus a typical compiled artifact.</w:t>
            </w:r>
          </w:p>
        </w:tc>
      </w:tr>
    </w:tbl>
    <w:p>
      <w:pPr>
        <w:pStyle w:val="Heading1"/>
        <w:spacing w:after="160" w:before="360"/>
      </w:pPr>
      <w:r>
        <w:rPr>
          <w:b/>
          <w:bCs/>
        </w:rPr>
        <w:t xml:space="preserve">9. Evaluation Methodology and Evaluation Criteria</w:t>
      </w:r>
    </w:p>
    <w:p>
      <w:pPr>
        <w:pStyle w:val="Heading2"/>
        <w:spacing w:after="120" w:before="260"/>
      </w:pPr>
      <w:r>
        <w:rPr>
          <w:b/>
          <w:bCs/>
        </w:rPr>
        <w:t xml:space="preserve">Methodology</w:t>
      </w:r>
    </w:p>
    <w:p>
      <w:pPr>
        <w:spacing w:after="160"/>
      </w:pPr>
      <w:r>
        <w:t xml:space="preserve">Alternatives were evaluated using a weighted scoring matrix. Scores are on a 1–5 scale per criterion, multiplied by the criterion weight. Weights reflect the team's stated priorities, specifically the emphasis on working within the existing NMCI / Flank Speed environment, producing useful output quickly, and ensuring the result can be maintained after the internship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SCORING NOTE: Scores in the evaluation matrix (Section 12) are planning estimates. They represent informed judgment based on team knowledge and the Firepit/Forge technical review, supplemented by current public research on the external platform landscape. They are intended to support a decision conversation, not substitute for one. No score should be interpreted as mathematically precise.</w:t>
            </w:r>
          </w:p>
        </w:tc>
      </w:tr>
    </w:tbl>
    <w:p>
      <w:pPr>
        <w:spacing w:after="120"/>
      </w:pPr>
    </w:p>
    <w:p>
      <w:pPr>
        <w:pStyle w:val="Heading2"/>
        <w:spacing w:after="120" w:before="260"/>
      </w:pPr>
      <w:r>
        <w:rPr>
          <w:b/>
          <w:bCs/>
        </w:rPr>
        <w:t xml:space="preserve">Evaluation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1003"/>
        <w:gridCol w:w="5014"/>
      </w:tblGrid>
      <w:tr>
        <w:trPr>
          <w:tblHeader/>
        </w:trPr>
        <w:tc>
          <w:tcPr>
            <w:tcW w:type="dxa" w:w="3343"/>
            <w:shd w:fill="D9D9D9" w:val="clear"/>
            <w:tcMar>
              <w:top w:type="dxa" w:w="80"/>
              <w:left w:type="dxa" w:w="100"/>
              <w:bottom w:type="dxa" w:w="80"/>
              <w:right w:type="dxa" w:w="100"/>
            </w:tcMar>
            <w:vAlign w:val="top"/>
          </w:tcPr>
          <w:p>
            <w:r>
              <w:rPr>
                <w:b/>
                <w:bCs/>
                <w:i w:val="false"/>
                <w:iCs w:val="false"/>
              </w:rPr>
              <w:t xml:space="preserve">Criterion</w:t>
            </w:r>
          </w:p>
        </w:tc>
        <w:tc>
          <w:tcPr>
            <w:tcW w:type="dxa" w:w="1003"/>
            <w:shd w:fill="D9D9D9" w:val="clear"/>
            <w:tcMar>
              <w:top w:type="dxa" w:w="80"/>
              <w:left w:type="dxa" w:w="100"/>
              <w:bottom w:type="dxa" w:w="80"/>
              <w:right w:type="dxa" w:w="100"/>
            </w:tcMar>
            <w:vAlign w:val="top"/>
          </w:tcPr>
          <w:p>
            <w:r>
              <w:rPr>
                <w:b/>
                <w:bCs/>
                <w:i w:val="false"/>
                <w:iCs w:val="false"/>
              </w:rPr>
              <w:t xml:space="preserve">Weight</w:t>
            </w:r>
          </w:p>
        </w:tc>
        <w:tc>
          <w:tcPr>
            <w:tcW w:type="dxa" w:w="5014"/>
            <w:shd w:fill="D9D9D9" w:val="clear"/>
            <w:tcMar>
              <w:top w:type="dxa" w:w="80"/>
              <w:left w:type="dxa" w:w="100"/>
              <w:bottom w:type="dxa" w:w="80"/>
              <w:right w:type="dxa" w:w="100"/>
            </w:tcMar>
            <w:vAlign w:val="top"/>
          </w:tcPr>
          <w:p>
            <w:r>
              <w:rPr>
                <w:b/>
                <w:bCs/>
                <w:i w:val="false"/>
                <w:iCs w:val="false"/>
              </w:rPr>
              <w:t xml:space="preserve">Rationale</w:t>
            </w:r>
          </w:p>
        </w:tc>
      </w:tr>
      <w:tr>
        <w:tc>
          <w:tcPr>
            <w:tcW w:type="dxa" w:w="3343"/>
            <w:tcMar>
              <w:top w:type="dxa" w:w="80"/>
              <w:left w:type="dxa" w:w="100"/>
              <w:bottom w:type="dxa" w:w="80"/>
              <w:right w:type="dxa" w:w="100"/>
            </w:tcMar>
            <w:vAlign w:val="top"/>
          </w:tcPr>
          <w:p>
            <w:r>
              <w:rPr>
                <w:b w:val="false"/>
                <w:bCs w:val="false"/>
                <w:i w:val="false"/>
                <w:iCs w:val="false"/>
              </w:rPr>
              <w:t xml:space="preserve">Meets dashboard requirements</w:t>
            </w:r>
          </w:p>
        </w:tc>
        <w:tc>
          <w:tcPr>
            <w:tcW w:type="dxa" w:w="1003"/>
            <w:tcMar>
              <w:top w:type="dxa" w:w="80"/>
              <w:left w:type="dxa" w:w="100"/>
              <w:bottom w:type="dxa" w:w="80"/>
              <w:right w:type="dxa" w:w="100"/>
            </w:tcMar>
            <w:vAlign w:val="top"/>
          </w:tcPr>
          <w:p>
            <w:r>
              <w:rPr>
                <w:b w:val="false"/>
                <w:bCs w:val="false"/>
                <w:i w:val="false"/>
                <w:iCs w:val="false"/>
              </w:rPr>
              <w:t xml:space="preserve">20</w:t>
            </w:r>
          </w:p>
        </w:tc>
        <w:tc>
          <w:tcPr>
            <w:tcW w:type="dxa" w:w="5014"/>
            <w:tcMar>
              <w:top w:type="dxa" w:w="80"/>
              <w:left w:type="dxa" w:w="100"/>
              <w:bottom w:type="dxa" w:w="80"/>
              <w:right w:type="dxa" w:w="100"/>
            </w:tcMar>
            <w:vAlign w:val="top"/>
          </w:tcPr>
          <w:p>
            <w:r>
              <w:rPr>
                <w:b w:val="false"/>
                <w:bCs w:val="false"/>
                <w:i w:val="false"/>
                <w:iCs w:val="false"/>
              </w:rPr>
              <w:t xml:space="preserve">Core functional question — does the alternative solve the problem?</w:t>
            </w:r>
          </w:p>
        </w:tc>
      </w:tr>
      <w:tr>
        <w:tc>
          <w:tcPr>
            <w:tcW w:type="dxa" w:w="3343"/>
            <w:tcMar>
              <w:top w:type="dxa" w:w="80"/>
              <w:left w:type="dxa" w:w="100"/>
              <w:bottom w:type="dxa" w:w="80"/>
              <w:right w:type="dxa" w:w="100"/>
            </w:tcMar>
            <w:vAlign w:val="top"/>
          </w:tcPr>
          <w:p>
            <w:r>
              <w:rPr>
                <w:b w:val="false"/>
                <w:bCs w:val="false"/>
                <w:i w:val="false"/>
                <w:iCs w:val="false"/>
              </w:rPr>
              <w:t xml:space="preserve">Ease and speed of implementation</w:t>
            </w:r>
          </w:p>
        </w:tc>
        <w:tc>
          <w:tcPr>
            <w:tcW w:type="dxa" w:w="1003"/>
            <w:tcMar>
              <w:top w:type="dxa" w:w="80"/>
              <w:left w:type="dxa" w:w="100"/>
              <w:bottom w:type="dxa" w:w="80"/>
              <w:right w:type="dxa" w:w="100"/>
            </w:tcMar>
            <w:vAlign w:val="top"/>
          </w:tcPr>
          <w:p>
            <w:r>
              <w:rPr>
                <w:b w:val="false"/>
                <w:bCs w:val="false"/>
                <w:i w:val="false"/>
                <w:iCs w:val="false"/>
              </w:rPr>
              <w:t xml:space="preserve">15</w:t>
            </w:r>
          </w:p>
        </w:tc>
        <w:tc>
          <w:tcPr>
            <w:tcW w:type="dxa" w:w="5014"/>
            <w:tcMar>
              <w:top w:type="dxa" w:w="80"/>
              <w:left w:type="dxa" w:w="100"/>
              <w:bottom w:type="dxa" w:w="80"/>
              <w:right w:type="dxa" w:w="100"/>
            </w:tcMar>
            <w:vAlign w:val="top"/>
          </w:tcPr>
          <w:p>
            <w:r>
              <w:rPr>
                <w:b w:val="false"/>
                <w:bCs w:val="false"/>
                <w:i w:val="false"/>
                <w:iCs w:val="false"/>
              </w:rPr>
              <w:t xml:space="preserve">The internship is approximately eight weeks; a viable prototype should be achievable within that window.</w:t>
            </w:r>
          </w:p>
        </w:tc>
      </w:tr>
      <w:tr>
        <w:tc>
          <w:tcPr>
            <w:tcW w:type="dxa" w:w="3343"/>
            <w:tcMar>
              <w:top w:type="dxa" w:w="80"/>
              <w:left w:type="dxa" w:w="100"/>
              <w:bottom w:type="dxa" w:w="80"/>
              <w:right w:type="dxa" w:w="100"/>
            </w:tcMar>
            <w:vAlign w:val="top"/>
          </w:tcPr>
          <w:p>
            <w:r>
              <w:rPr>
                <w:b w:val="false"/>
                <w:bCs w:val="false"/>
                <w:i w:val="false"/>
                <w:iCs w:val="false"/>
              </w:rPr>
              <w:t xml:space="preserve">Integration with the team's existing environment</w:t>
            </w:r>
          </w:p>
        </w:tc>
        <w:tc>
          <w:tcPr>
            <w:tcW w:type="dxa" w:w="1003"/>
            <w:tcMar>
              <w:top w:type="dxa" w:w="80"/>
              <w:left w:type="dxa" w:w="100"/>
              <w:bottom w:type="dxa" w:w="80"/>
              <w:right w:type="dxa" w:w="100"/>
            </w:tcMar>
            <w:vAlign w:val="top"/>
          </w:tcPr>
          <w:p>
            <w:r>
              <w:rPr>
                <w:b w:val="false"/>
                <w:bCs w:val="false"/>
                <w:i w:val="false"/>
                <w:iCs w:val="false"/>
              </w:rPr>
              <w:t xml:space="preserve">15</w:t>
            </w:r>
          </w:p>
        </w:tc>
        <w:tc>
          <w:tcPr>
            <w:tcW w:type="dxa" w:w="5014"/>
            <w:tcMar>
              <w:top w:type="dxa" w:w="80"/>
              <w:left w:type="dxa" w:w="100"/>
              <w:bottom w:type="dxa" w:w="80"/>
              <w:right w:type="dxa" w:w="100"/>
            </w:tcMar>
            <w:vAlign w:val="top"/>
          </w:tcPr>
          <w:p>
            <w:r>
              <w:rPr>
                <w:b w:val="false"/>
                <w:bCs w:val="false"/>
                <w:i w:val="false"/>
                <w:iCs w:val="false"/>
              </w:rPr>
              <w:t xml:space="preserve">The team already operates inside Flank Speed; tools outside that environment create new hosting, access, and approval overhead (Section 5).</w:t>
            </w:r>
          </w:p>
        </w:tc>
      </w:tr>
      <w:tr>
        <w:tc>
          <w:tcPr>
            <w:tcW w:type="dxa" w:w="3343"/>
            <w:tcMar>
              <w:top w:type="dxa" w:w="80"/>
              <w:left w:type="dxa" w:w="100"/>
              <w:bottom w:type="dxa" w:w="80"/>
              <w:right w:type="dxa" w:w="100"/>
            </w:tcMar>
            <w:vAlign w:val="top"/>
          </w:tcPr>
          <w:p>
            <w:r>
              <w:rPr>
                <w:b w:val="false"/>
                <w:bCs w:val="false"/>
                <w:i w:val="false"/>
                <w:iCs w:val="false"/>
              </w:rPr>
              <w:t xml:space="preserve">Security and access control</w:t>
            </w:r>
          </w:p>
        </w:tc>
        <w:tc>
          <w:tcPr>
            <w:tcW w:type="dxa" w:w="1003"/>
            <w:tcMar>
              <w:top w:type="dxa" w:w="80"/>
              <w:left w:type="dxa" w:w="100"/>
              <w:bottom w:type="dxa" w:w="80"/>
              <w:right w:type="dxa" w:w="100"/>
            </w:tcMar>
            <w:vAlign w:val="top"/>
          </w:tcPr>
          <w:p>
            <w:r>
              <w:rPr>
                <w:b w:val="false"/>
                <w:bCs w:val="false"/>
                <w:i w:val="false"/>
                <w:iCs w:val="false"/>
              </w:rPr>
              <w:t xml:space="preserve">15</w:t>
            </w:r>
          </w:p>
        </w:tc>
        <w:tc>
          <w:tcPr>
            <w:tcW w:type="dxa" w:w="5014"/>
            <w:tcMar>
              <w:top w:type="dxa" w:w="80"/>
              <w:left w:type="dxa" w:w="100"/>
              <w:bottom w:type="dxa" w:w="80"/>
              <w:right w:type="dxa" w:w="100"/>
            </w:tcMar>
            <w:vAlign w:val="top"/>
          </w:tcPr>
          <w:p>
            <w:r>
              <w:rPr>
                <w:b w:val="false"/>
                <w:bCs w:val="false"/>
                <w:i w:val="false"/>
                <w:iCs w:val="false"/>
              </w:rPr>
              <w:t xml:space="preserve">CAC/PIV authentication and role-based access are non-negotiable for a shared team system handling sensitive program data.</w:t>
            </w:r>
          </w:p>
        </w:tc>
      </w:tr>
      <w:tr>
        <w:tc>
          <w:tcPr>
            <w:tcW w:type="dxa" w:w="3343"/>
            <w:tcMar>
              <w:top w:type="dxa" w:w="80"/>
              <w:left w:type="dxa" w:w="100"/>
              <w:bottom w:type="dxa" w:w="80"/>
              <w:right w:type="dxa" w:w="100"/>
            </w:tcMar>
            <w:vAlign w:val="top"/>
          </w:tcPr>
          <w:p>
            <w:r>
              <w:rPr>
                <w:b w:val="false"/>
                <w:bCs w:val="false"/>
                <w:i w:val="false"/>
                <w:iCs w:val="false"/>
              </w:rPr>
              <w:t xml:space="preserve">Maintainability and sustainment</w:t>
            </w:r>
          </w:p>
        </w:tc>
        <w:tc>
          <w:tcPr>
            <w:tcW w:type="dxa" w:w="1003"/>
            <w:tcMar>
              <w:top w:type="dxa" w:w="80"/>
              <w:left w:type="dxa" w:w="100"/>
              <w:bottom w:type="dxa" w:w="80"/>
              <w:right w:type="dxa" w:w="100"/>
            </w:tcMar>
            <w:vAlign w:val="top"/>
          </w:tcPr>
          <w:p>
            <w:r>
              <w:rPr>
                <w:b w:val="false"/>
                <w:bCs w:val="false"/>
                <w:i w:val="false"/>
                <w:iCs w:val="false"/>
              </w:rPr>
              <w:t xml:space="preserve">15</w:t>
            </w:r>
          </w:p>
        </w:tc>
        <w:tc>
          <w:tcPr>
            <w:tcW w:type="dxa" w:w="5014"/>
            <w:tcMar>
              <w:top w:type="dxa" w:w="80"/>
              <w:left w:type="dxa" w:w="100"/>
              <w:bottom w:type="dxa" w:w="80"/>
              <w:right w:type="dxa" w:w="100"/>
            </w:tcMar>
            <w:vAlign w:val="top"/>
          </w:tcPr>
          <w:p>
            <w:r>
              <w:rPr>
                <w:b w:val="false"/>
                <w:bCs w:val="false"/>
                <w:i w:val="false"/>
                <w:iCs w:val="false"/>
              </w:rPr>
              <w:t xml:space="preserve">The intern leaves; the tool should be maintainable by whoever remains.</w:t>
            </w:r>
          </w:p>
        </w:tc>
      </w:tr>
      <w:tr>
        <w:tc>
          <w:tcPr>
            <w:tcW w:type="dxa" w:w="3343"/>
            <w:tcMar>
              <w:top w:type="dxa" w:w="80"/>
              <w:left w:type="dxa" w:w="100"/>
              <w:bottom w:type="dxa" w:w="80"/>
              <w:right w:type="dxa" w:w="100"/>
            </w:tcMar>
            <w:vAlign w:val="top"/>
          </w:tcPr>
          <w:p>
            <w:r>
              <w:rPr>
                <w:b w:val="false"/>
                <w:bCs w:val="false"/>
                <w:i w:val="false"/>
                <w:iCs w:val="false"/>
              </w:rPr>
              <w:t xml:space="preserve">Reporting and visualization quality</w:t>
            </w:r>
          </w:p>
        </w:tc>
        <w:tc>
          <w:tcPr>
            <w:tcW w:type="dxa" w:w="1003"/>
            <w:tcMar>
              <w:top w:type="dxa" w:w="80"/>
              <w:left w:type="dxa" w:w="100"/>
              <w:bottom w:type="dxa" w:w="80"/>
              <w:right w:type="dxa" w:w="100"/>
            </w:tcMar>
            <w:vAlign w:val="top"/>
          </w:tcPr>
          <w:p>
            <w:r>
              <w:rPr>
                <w:b w:val="false"/>
                <w:bCs w:val="false"/>
                <w:i w:val="false"/>
                <w:iCs w:val="false"/>
              </w:rPr>
              <w:t xml:space="preserve">10</w:t>
            </w:r>
          </w:p>
        </w:tc>
        <w:tc>
          <w:tcPr>
            <w:tcW w:type="dxa" w:w="5014"/>
            <w:tcMar>
              <w:top w:type="dxa" w:w="80"/>
              <w:left w:type="dxa" w:w="100"/>
              <w:bottom w:type="dxa" w:w="80"/>
              <w:right w:type="dxa" w:w="100"/>
            </w:tcMar>
            <w:vAlign w:val="top"/>
          </w:tcPr>
          <w:p>
            <w:r>
              <w:rPr>
                <w:b w:val="false"/>
                <w:bCs w:val="false"/>
                <w:i w:val="false"/>
                <w:iCs w:val="false"/>
              </w:rPr>
              <w:t xml:space="preserve">The IPT Lead needs a view that communicates clearly, not just a data table.</w:t>
            </w:r>
          </w:p>
        </w:tc>
      </w:tr>
      <w:tr>
        <w:tc>
          <w:tcPr>
            <w:tcW w:type="dxa" w:w="3343"/>
            <w:tcMar>
              <w:top w:type="dxa" w:w="80"/>
              <w:left w:type="dxa" w:w="100"/>
              <w:bottom w:type="dxa" w:w="80"/>
              <w:right w:type="dxa" w:w="100"/>
            </w:tcMar>
            <w:vAlign w:val="top"/>
          </w:tcPr>
          <w:p>
            <w:r>
              <w:rPr>
                <w:b w:val="false"/>
                <w:bCs w:val="false"/>
                <w:i w:val="false"/>
                <w:iCs w:val="false"/>
              </w:rPr>
              <w:t xml:space="preserve">Scalability and future growth</w:t>
            </w:r>
          </w:p>
        </w:tc>
        <w:tc>
          <w:tcPr>
            <w:tcW w:type="dxa" w:w="1003"/>
            <w:tcMar>
              <w:top w:type="dxa" w:w="80"/>
              <w:left w:type="dxa" w:w="100"/>
              <w:bottom w:type="dxa" w:w="80"/>
              <w:right w:type="dxa" w:w="100"/>
            </w:tcMar>
            <w:vAlign w:val="top"/>
          </w:tcPr>
          <w:p>
            <w:r>
              <w:rPr>
                <w:b w:val="false"/>
                <w:bCs w:val="false"/>
                <w:i w:val="false"/>
                <w:iCs w:val="false"/>
              </w:rPr>
              <w:t xml:space="preserve">5</w:t>
            </w:r>
          </w:p>
        </w:tc>
        <w:tc>
          <w:tcPr>
            <w:tcW w:type="dxa" w:w="5014"/>
            <w:tcMar>
              <w:top w:type="dxa" w:w="80"/>
              <w:left w:type="dxa" w:w="100"/>
              <w:bottom w:type="dxa" w:w="80"/>
              <w:right w:type="dxa" w:w="100"/>
            </w:tcMar>
            <w:vAlign w:val="top"/>
          </w:tcPr>
          <w:p>
            <w:r>
              <w:rPr>
                <w:b w:val="false"/>
                <w:bCs w:val="false"/>
                <w:i w:val="false"/>
                <w:iCs w:val="false"/>
              </w:rPr>
              <w:t xml:space="preserve">Architecture should not be a dead end, but scalability is secondary to getting something working.</w:t>
            </w:r>
          </w:p>
        </w:tc>
      </w:tr>
      <w:tr>
        <w:tc>
          <w:tcPr>
            <w:tcW w:type="dxa" w:w="3343"/>
            <w:tcMar>
              <w:top w:type="dxa" w:w="80"/>
              <w:left w:type="dxa" w:w="100"/>
              <w:bottom w:type="dxa" w:w="80"/>
              <w:right w:type="dxa" w:w="100"/>
            </w:tcMar>
            <w:vAlign w:val="top"/>
          </w:tcPr>
          <w:p>
            <w:r>
              <w:rPr>
                <w:b w:val="false"/>
                <w:bCs w:val="false"/>
                <w:i w:val="false"/>
                <w:iCs w:val="false"/>
              </w:rPr>
              <w:t xml:space="preserve">Cost and licensing burden</w:t>
            </w:r>
          </w:p>
        </w:tc>
        <w:tc>
          <w:tcPr>
            <w:tcW w:type="dxa" w:w="1003"/>
            <w:tcMar>
              <w:top w:type="dxa" w:w="80"/>
              <w:left w:type="dxa" w:w="100"/>
              <w:bottom w:type="dxa" w:w="80"/>
              <w:right w:type="dxa" w:w="100"/>
            </w:tcMar>
            <w:vAlign w:val="top"/>
          </w:tcPr>
          <w:p>
            <w:r>
              <w:rPr>
                <w:b w:val="false"/>
                <w:bCs w:val="false"/>
                <w:i w:val="false"/>
                <w:iCs w:val="false"/>
              </w:rPr>
              <w:t xml:space="preserve">5</w:t>
            </w:r>
          </w:p>
        </w:tc>
        <w:tc>
          <w:tcPr>
            <w:tcW w:type="dxa" w:w="5014"/>
            <w:tcMar>
              <w:top w:type="dxa" w:w="80"/>
              <w:left w:type="dxa" w:w="100"/>
              <w:bottom w:type="dxa" w:w="80"/>
              <w:right w:type="dxa" w:w="100"/>
            </w:tcMar>
            <w:vAlign w:val="top"/>
          </w:tcPr>
          <w:p>
            <w:r>
              <w:rPr>
                <w:b w:val="false"/>
                <w:bCs w:val="false"/>
                <w:i w:val="false"/>
                <w:iCs w:val="false"/>
              </w:rPr>
              <w:t xml:space="preserve">Licensing is a real constraint but unlikely to be the deciding factor given existing Flank Speed access.</w:t>
            </w:r>
          </w:p>
        </w:tc>
      </w:tr>
      <w:tr>
        <w:tc>
          <w:tcPr>
            <w:tcW w:type="dxa" w:w="3343"/>
            <w:tcMar>
              <w:top w:type="dxa" w:w="80"/>
              <w:left w:type="dxa" w:w="100"/>
              <w:bottom w:type="dxa" w:w="80"/>
              <w:right w:type="dxa" w:w="100"/>
            </w:tcMar>
            <w:vAlign w:val="top"/>
          </w:tcPr>
          <w:p>
            <w:r>
              <w:rPr>
                <w:b w:val="false"/>
                <w:bCs w:val="false"/>
                <w:i w:val="false"/>
                <w:iCs w:val="false"/>
              </w:rPr>
              <w:t xml:space="preserve">TOTAL</w:t>
            </w:r>
          </w:p>
        </w:tc>
        <w:tc>
          <w:tcPr>
            <w:tcW w:type="dxa" w:w="1003"/>
            <w:tcMar>
              <w:top w:type="dxa" w:w="80"/>
              <w:left w:type="dxa" w:w="100"/>
              <w:bottom w:type="dxa" w:w="80"/>
              <w:right w:type="dxa" w:w="100"/>
            </w:tcMar>
            <w:vAlign w:val="top"/>
          </w:tcPr>
          <w:p>
            <w:r>
              <w:rPr>
                <w:b w:val="false"/>
                <w:bCs w:val="false"/>
                <w:i w:val="false"/>
                <w:iCs w:val="false"/>
              </w:rPr>
              <w:t xml:space="preserve">100</w:t>
            </w:r>
          </w:p>
        </w:tc>
        <w:tc>
          <w:tcPr>
            <w:tcW w:type="dxa" w:w="5014"/>
            <w:tcMar>
              <w:top w:type="dxa" w:w="80"/>
              <w:left w:type="dxa" w:w="100"/>
              <w:bottom w:type="dxa" w:w="80"/>
              <w:right w:type="dxa" w:w="100"/>
            </w:tcMar>
            <w:vAlign w:val="top"/>
          </w:tcPr>
          <w:p>
            <w:r>
              <w:rPr>
                <w:b w:val="false"/>
                <w:bCs w:val="false"/>
                <w:i w:val="false"/>
                <w:iCs w:val="false"/>
              </w:rPr>
              <w:t xml:space="preserve"/>
            </w:r>
          </w:p>
        </w:tc>
      </w:tr>
    </w:tbl>
    <w:p>
      <w:pPr>
        <w:pStyle w:val="Heading1"/>
        <w:spacing w:after="160" w:before="360"/>
      </w:pPr>
      <w:r>
        <w:rPr>
          <w:b/>
          <w:bCs/>
        </w:rPr>
        <w:t xml:space="preserve">10. Alternative Screening</w:t>
      </w:r>
    </w:p>
    <w:p>
      <w:pPr>
        <w:spacing w:after="160"/>
      </w:pPr>
      <w:r>
        <w:t xml:space="preserve">Before detailed scoring, alternatives were evaluated against two minimum viability thresholds: (1) an alternative must be implementable within the NMCI / Flank Speed environment, or offer a capability/cost advantage clearly large enough to justify standing up and securing a new environment, and (2) it must be implementable within the internship timeline. Alternatives that fail either threshold are retained for comparison only if they represent a strategically important reference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872"/>
        <w:gridCol w:w="5304"/>
      </w:tblGrid>
      <w:tr>
        <w:trPr>
          <w:tblHeader/>
        </w:trPr>
        <w:tc>
          <w:tcPr>
            <w:tcW w:type="dxa" w:w="2184"/>
            <w:shd w:fill="D9D9D9" w:val="clear"/>
            <w:tcMar>
              <w:top w:type="dxa" w:w="80"/>
              <w:left w:type="dxa" w:w="100"/>
              <w:bottom w:type="dxa" w:w="80"/>
              <w:right w:type="dxa" w:w="100"/>
            </w:tcMar>
            <w:vAlign w:val="top"/>
          </w:tcPr>
          <w:p>
            <w:r>
              <w:rPr>
                <w:b/>
                <w:bCs/>
                <w:i w:val="false"/>
                <w:iCs w:val="false"/>
              </w:rPr>
              <w:t xml:space="preserve">Alternative</w:t>
            </w:r>
          </w:p>
        </w:tc>
        <w:tc>
          <w:tcPr>
            <w:tcW w:type="dxa" w:w="1872"/>
            <w:shd w:fill="D9D9D9" w:val="clear"/>
            <w:tcMar>
              <w:top w:type="dxa" w:w="80"/>
              <w:left w:type="dxa" w:w="100"/>
              <w:bottom w:type="dxa" w:w="80"/>
              <w:right w:type="dxa" w:w="100"/>
            </w:tcMar>
            <w:vAlign w:val="top"/>
          </w:tcPr>
          <w:p>
            <w:r>
              <w:rPr>
                <w:b/>
                <w:bCs/>
                <w:i w:val="false"/>
                <w:iCs w:val="false"/>
              </w:rPr>
              <w:t xml:space="preserve">Disposition</w:t>
            </w:r>
          </w:p>
        </w:tc>
        <w:tc>
          <w:tcPr>
            <w:tcW w:type="dxa" w:w="5304"/>
            <w:shd w:fill="D9D9D9" w:val="clear"/>
            <w:tcMar>
              <w:top w:type="dxa" w:w="80"/>
              <w:left w:type="dxa" w:w="100"/>
              <w:bottom w:type="dxa" w:w="80"/>
              <w:right w:type="dxa" w:w="100"/>
            </w:tcMar>
            <w:vAlign w:val="top"/>
          </w:tcPr>
          <w:p>
            <w:r>
              <w:rPr>
                <w:b/>
                <w:bCs/>
                <w:i w:val="false"/>
                <w:iCs w:val="false"/>
              </w:rPr>
              <w:t xml:space="preserve">Rationale</w:t>
            </w:r>
          </w:p>
        </w:tc>
      </w:tr>
      <w:tr>
        <w:tc>
          <w:tcPr>
            <w:tcW w:type="dxa" w:w="2184"/>
            <w:tcMar>
              <w:top w:type="dxa" w:w="80"/>
              <w:left w:type="dxa" w:w="100"/>
              <w:bottom w:type="dxa" w:w="80"/>
              <w:right w:type="dxa" w:w="100"/>
            </w:tcMar>
            <w:vAlign w:val="top"/>
          </w:tcPr>
          <w:p>
            <w:r>
              <w:rPr>
                <w:b w:val="false"/>
                <w:bCs w:val="false"/>
                <w:i w:val="false"/>
                <w:iCs w:val="false"/>
              </w:rPr>
              <w:t xml:space="preserve">1 — Status Quo</w:t>
            </w:r>
          </w:p>
        </w:tc>
        <w:tc>
          <w:tcPr>
            <w:tcW w:type="dxa" w:w="1872"/>
            <w:tcMar>
              <w:top w:type="dxa" w:w="80"/>
              <w:left w:type="dxa" w:w="100"/>
              <w:bottom w:type="dxa" w:w="80"/>
              <w:right w:type="dxa" w:w="100"/>
            </w:tcMar>
            <w:vAlign w:val="top"/>
          </w:tcPr>
          <w:p>
            <w:r>
              <w:rPr>
                <w:b w:val="false"/>
                <w:bCs w:val="false"/>
                <w:i w:val="false"/>
                <w:iCs w:val="false"/>
              </w:rPr>
              <w:t xml:space="preserve">Retained for Comparison</w:t>
            </w:r>
          </w:p>
        </w:tc>
        <w:tc>
          <w:tcPr>
            <w:tcW w:type="dxa" w:w="5304"/>
            <w:tcMar>
              <w:top w:type="dxa" w:w="80"/>
              <w:left w:type="dxa" w:w="100"/>
              <w:bottom w:type="dxa" w:w="80"/>
              <w:right w:type="dxa" w:w="100"/>
            </w:tcMar>
            <w:vAlign w:val="top"/>
          </w:tcPr>
          <w:p>
            <w:r>
              <w:rPr>
                <w:b w:val="false"/>
                <w:bCs w:val="false"/>
                <w:i w:val="false"/>
                <w:iCs w:val="false"/>
              </w:rPr>
              <w:t xml:space="preserve">Establishes the baseline against which all alternatives are measured. Not a viable path forward but included for completeness.</w:t>
            </w:r>
          </w:p>
        </w:tc>
      </w:tr>
      <w:tr>
        <w:tc>
          <w:tcPr>
            <w:tcW w:type="dxa" w:w="2184"/>
            <w:tcMar>
              <w:top w:type="dxa" w:w="80"/>
              <w:left w:type="dxa" w:w="100"/>
              <w:bottom w:type="dxa" w:w="80"/>
              <w:right w:type="dxa" w:w="100"/>
            </w:tcMar>
            <w:vAlign w:val="top"/>
          </w:tcPr>
          <w:p>
            <w:r>
              <w:rPr>
                <w:b w:val="false"/>
                <w:bCs w:val="false"/>
                <w:i w:val="false"/>
                <w:iCs w:val="false"/>
              </w:rPr>
              <w:t xml:space="preserve">2 — Power Apps / Power Platform</w:t>
            </w:r>
          </w:p>
        </w:tc>
        <w:tc>
          <w:tcPr>
            <w:tcW w:type="dxa" w:w="1872"/>
            <w:tcMar>
              <w:top w:type="dxa" w:w="80"/>
              <w:left w:type="dxa" w:w="100"/>
              <w:bottom w:type="dxa" w:w="80"/>
              <w:right w:type="dxa" w:w="100"/>
            </w:tcMar>
            <w:vAlign w:val="top"/>
          </w:tcPr>
          <w:p>
            <w:r>
              <w:rPr>
                <w:b w:val="false"/>
                <w:bCs w:val="false"/>
                <w:i w:val="false"/>
                <w:iCs w:val="false"/>
              </w:rPr>
              <w:t xml:space="preserve">Retained — Strong Candidate</w:t>
            </w:r>
          </w:p>
        </w:tc>
        <w:tc>
          <w:tcPr>
            <w:tcW w:type="dxa" w:w="5304"/>
            <w:tcMar>
              <w:top w:type="dxa" w:w="80"/>
              <w:left w:type="dxa" w:w="100"/>
              <w:bottom w:type="dxa" w:w="80"/>
              <w:right w:type="dxa" w:w="100"/>
            </w:tcMar>
            <w:vAlign w:val="top"/>
          </w:tcPr>
          <w:p>
            <w:r>
              <w:rPr>
                <w:b w:val="false"/>
                <w:bCs w:val="false"/>
                <w:i w:val="false"/>
                <w:iCs w:val="false"/>
              </w:rPr>
              <w:t xml:space="preserve">Fully native to Flank Speed; runs inside the team's existing environment at zero additional cost. Confirmed viable by the GPETE [Confirm] demonstration. Second-highest weighted score in Section 12 (405); see Section 15 for the full comparison against Alternative 3.</w:t>
            </w:r>
          </w:p>
        </w:tc>
      </w:tr>
      <w:tr>
        <w:tc>
          <w:tcPr>
            <w:tcW w:type="dxa" w:w="2184"/>
            <w:tcMar>
              <w:top w:type="dxa" w:w="80"/>
              <w:left w:type="dxa" w:w="100"/>
              <w:bottom w:type="dxa" w:w="80"/>
              <w:right w:type="dxa" w:w="100"/>
            </w:tcMar>
            <w:vAlign w:val="top"/>
          </w:tcPr>
          <w:p>
            <w:r>
              <w:rPr>
                <w:b w:val="false"/>
                <w:bCs w:val="false"/>
                <w:i w:val="false"/>
                <w:iCs w:val="false"/>
              </w:rPr>
              <w:t xml:space="preserve">3 — Firepit/Forge</w:t>
            </w:r>
          </w:p>
        </w:tc>
        <w:tc>
          <w:tcPr>
            <w:tcW w:type="dxa" w:w="1872"/>
            <w:tcMar>
              <w:top w:type="dxa" w:w="80"/>
              <w:left w:type="dxa" w:w="100"/>
              <w:bottom w:type="dxa" w:w="80"/>
              <w:right w:type="dxa" w:w="100"/>
            </w:tcMar>
            <w:vAlign w:val="top"/>
          </w:tcPr>
          <w:p>
            <w:r>
              <w:rPr>
                <w:b w:val="false"/>
                <w:bCs w:val="false"/>
                <w:i w:val="false"/>
                <w:iCs w:val="false"/>
              </w:rPr>
              <w:t xml:space="preserve">Retained — Recommended</w:t>
            </w:r>
          </w:p>
        </w:tc>
        <w:tc>
          <w:tcPr>
            <w:tcW w:type="dxa" w:w="5304"/>
            <w:tcMar>
              <w:top w:type="dxa" w:w="80"/>
              <w:left w:type="dxa" w:w="100"/>
              <w:bottom w:type="dxa" w:w="80"/>
              <w:right w:type="dxa" w:w="100"/>
            </w:tcMar>
            <w:vAlign w:val="top"/>
          </w:tcPr>
          <w:p>
            <w:r>
              <w:rPr>
                <w:b w:val="false"/>
                <w:bCs w:val="false"/>
                <w:i w:val="false"/>
                <w:iCs w:val="false"/>
              </w:rPr>
              <w:t xml:space="preserve">Also fully native to Flank Speed (SPFx web part hosted in SharePoint); runs inside the team's existing environment at zero additional cost. Already a functioning, deployed Navy tool, not a hypothetical option, used entirely within the team's own SharePoint site. Highest weighted score in Section 12 (455) following the v2.3 re-score of ease of implementation, maintainability, and scalability.</w:t>
            </w:r>
          </w:p>
        </w:tc>
      </w:tr>
      <w:tr>
        <w:tc>
          <w:tcPr>
            <w:tcW w:type="dxa" w:w="2184"/>
            <w:tcMar>
              <w:top w:type="dxa" w:w="80"/>
              <w:left w:type="dxa" w:w="100"/>
              <w:bottom w:type="dxa" w:w="80"/>
              <w:right w:type="dxa" w:w="100"/>
            </w:tcMar>
            <w:vAlign w:val="top"/>
          </w:tcPr>
          <w:p>
            <w:r>
              <w:rPr>
                <w:b w:val="false"/>
                <w:bCs w:val="false"/>
                <w:i w:val="false"/>
                <w:iCs w:val="false"/>
              </w:rPr>
              <w:t xml:space="preserve">4 — Confluence/Jira (Atlassian Gov Cloud)</w:t>
            </w:r>
          </w:p>
        </w:tc>
        <w:tc>
          <w:tcPr>
            <w:tcW w:type="dxa" w:w="1872"/>
            <w:tcMar>
              <w:top w:type="dxa" w:w="80"/>
              <w:left w:type="dxa" w:w="100"/>
              <w:bottom w:type="dxa" w:w="80"/>
              <w:right w:type="dxa" w:w="100"/>
            </w:tcMar>
            <w:vAlign w:val="top"/>
          </w:tcPr>
          <w:p>
            <w:r>
              <w:rPr>
                <w:b w:val="false"/>
                <w:bCs w:val="false"/>
                <w:i w:val="false"/>
                <w:iCs w:val="false"/>
              </w:rPr>
              <w:t xml:space="preserve">Screened Out</w:t>
            </w:r>
          </w:p>
        </w:tc>
        <w:tc>
          <w:tcPr>
            <w:tcW w:type="dxa" w:w="5304"/>
            <w:tcMar>
              <w:top w:type="dxa" w:w="80"/>
              <w:left w:type="dxa" w:w="100"/>
              <w:bottom w:type="dxa" w:w="80"/>
              <w:right w:type="dxa" w:w="100"/>
            </w:tcMar>
            <w:vAlign w:val="top"/>
          </w:tcPr>
          <w:p>
            <w:r>
              <w:rPr>
                <w:b w:val="false"/>
                <w:bCs w:val="false"/>
                <w:i w:val="false"/>
                <w:iCs w:val="false"/>
              </w:rPr>
              <w:t xml:space="preserve">Sits entirely outside Flank Speed as a separately hosted, separately licensed environment (Section 5); a self-hosted variant was also considered and is addressed in Appendix A. Retained in this document only as a researched reference point, since it was explicitly requested.</w:t>
            </w:r>
          </w:p>
        </w:tc>
      </w:tr>
      <w:tr>
        <w:tc>
          <w:tcPr>
            <w:tcW w:type="dxa" w:w="2184"/>
            <w:tcMar>
              <w:top w:type="dxa" w:w="80"/>
              <w:left w:type="dxa" w:w="100"/>
              <w:bottom w:type="dxa" w:w="80"/>
              <w:right w:type="dxa" w:w="100"/>
            </w:tcMar>
            <w:vAlign w:val="top"/>
          </w:tcPr>
          <w:p>
            <w:r>
              <w:rPr>
                <w:b w:val="false"/>
                <w:bCs w:val="false"/>
                <w:i w:val="false"/>
                <w:iCs w:val="false"/>
              </w:rPr>
              <w:t xml:space="preserve">5 — Custom Web Application</w:t>
            </w:r>
          </w:p>
        </w:tc>
        <w:tc>
          <w:tcPr>
            <w:tcW w:type="dxa" w:w="1872"/>
            <w:tcMar>
              <w:top w:type="dxa" w:w="80"/>
              <w:left w:type="dxa" w:w="100"/>
              <w:bottom w:type="dxa" w:w="80"/>
              <w:right w:type="dxa" w:w="100"/>
            </w:tcMar>
            <w:vAlign w:val="top"/>
          </w:tcPr>
          <w:p>
            <w:r>
              <w:rPr>
                <w:b w:val="false"/>
                <w:bCs w:val="false"/>
                <w:i w:val="false"/>
                <w:iCs w:val="false"/>
              </w:rPr>
              <w:t xml:space="preserve">Screened Out</w:t>
            </w:r>
          </w:p>
        </w:tc>
        <w:tc>
          <w:tcPr>
            <w:tcW w:type="dxa" w:w="5304"/>
            <w:tcMar>
              <w:top w:type="dxa" w:w="80"/>
              <w:left w:type="dxa" w:w="100"/>
              <w:bottom w:type="dxa" w:w="80"/>
              <w:right w:type="dxa" w:w="100"/>
            </w:tcMar>
            <w:vAlign w:val="top"/>
          </w:tcPr>
          <w:p>
            <w:r>
              <w:rPr>
                <w:b w:val="false"/>
                <w:bCs w:val="false"/>
                <w:i w:val="false"/>
                <w:iCs w:val="false"/>
              </w:rPr>
              <w:t xml:space="preserve">Requires standing up and independently securing a new hosting environment, plus a dedicated developer with appropriate access the team does not have. Redundant with capability Flank Speed already provides.</w:t>
            </w:r>
          </w:p>
        </w:tc>
      </w:tr>
      <w:tr>
        <w:tc>
          <w:tcPr>
            <w:tcW w:type="dxa" w:w="2184"/>
            <w:tcMar>
              <w:top w:type="dxa" w:w="80"/>
              <w:left w:type="dxa" w:w="100"/>
              <w:bottom w:type="dxa" w:w="80"/>
              <w:right w:type="dxa" w:w="100"/>
            </w:tcMar>
            <w:vAlign w:val="top"/>
          </w:tcPr>
          <w:p>
            <w:r>
              <w:rPr>
                <w:b w:val="false"/>
                <w:bCs w:val="false"/>
                <w:i w:val="false"/>
                <w:iCs w:val="false"/>
              </w:rPr>
              <w:t xml:space="preserve">6 — ServiceNow National Security Cloud</w:t>
            </w:r>
          </w:p>
        </w:tc>
        <w:tc>
          <w:tcPr>
            <w:tcW w:type="dxa" w:w="1872"/>
            <w:tcMar>
              <w:top w:type="dxa" w:w="80"/>
              <w:left w:type="dxa" w:w="100"/>
              <w:bottom w:type="dxa" w:w="80"/>
              <w:right w:type="dxa" w:w="100"/>
            </w:tcMar>
            <w:vAlign w:val="top"/>
          </w:tcPr>
          <w:p>
            <w:r>
              <w:rPr>
                <w:b w:val="false"/>
                <w:bCs w:val="false"/>
                <w:i w:val="false"/>
                <w:iCs w:val="false"/>
              </w:rPr>
              <w:t xml:space="preserve">Screened Out</w:t>
            </w:r>
          </w:p>
        </w:tc>
        <w:tc>
          <w:tcPr>
            <w:tcW w:type="dxa" w:w="5304"/>
            <w:tcMar>
              <w:top w:type="dxa" w:w="80"/>
              <w:left w:type="dxa" w:w="100"/>
              <w:bottom w:type="dxa" w:w="80"/>
              <w:right w:type="dxa" w:w="100"/>
            </w:tcMar>
            <w:vAlign w:val="top"/>
          </w:tcPr>
          <w:p>
            <w:r>
              <w:rPr>
                <w:b w:val="false"/>
                <w:bCs w:val="false"/>
                <w:i w:val="false"/>
                <w:iCs w:val="false"/>
              </w:rPr>
              <w:t xml:space="preserve">A capable external platform, but fails on cost and procurement proportionality for a team this size: quote-based enterprise licensing, a government procurement cycle, and a second, separately-administered environment outside Flank Speed, all to obtain capability the team can build inside Flank Speed at zero marginal platform cost. Retained as a researched reference and as evidence the external-SaaS category was evaluated on its strongest available representative.</w:t>
            </w:r>
          </w:p>
        </w:tc>
      </w:tr>
      <w:tr>
        <w:tc>
          <w:tcPr>
            <w:tcW w:type="dxa" w:w="2184"/>
            <w:tcMar>
              <w:top w:type="dxa" w:w="80"/>
              <w:left w:type="dxa" w:w="100"/>
              <w:bottom w:type="dxa" w:w="80"/>
              <w:right w:type="dxa" w:w="100"/>
            </w:tcMar>
            <w:vAlign w:val="top"/>
          </w:tcPr>
          <w:p>
            <w:r>
              <w:rPr>
                <w:b w:val="false"/>
                <w:bCs w:val="false"/>
                <w:i w:val="false"/>
                <w:iCs w:val="false"/>
              </w:rPr>
              <w:t xml:space="preserve">7 — Salesforce Government Cloud Plus</w:t>
            </w:r>
          </w:p>
        </w:tc>
        <w:tc>
          <w:tcPr>
            <w:tcW w:type="dxa" w:w="1872"/>
            <w:tcMar>
              <w:top w:type="dxa" w:w="80"/>
              <w:left w:type="dxa" w:w="100"/>
              <w:bottom w:type="dxa" w:w="80"/>
              <w:right w:type="dxa" w:w="100"/>
            </w:tcMar>
            <w:vAlign w:val="top"/>
          </w:tcPr>
          <w:p>
            <w:r>
              <w:rPr>
                <w:b w:val="false"/>
                <w:bCs w:val="false"/>
                <w:i w:val="false"/>
                <w:iCs w:val="false"/>
              </w:rPr>
              <w:t xml:space="preserve">Screened Out</w:t>
            </w:r>
          </w:p>
        </w:tc>
        <w:tc>
          <w:tcPr>
            <w:tcW w:type="dxa" w:w="5304"/>
            <w:tcMar>
              <w:top w:type="dxa" w:w="80"/>
              <w:left w:type="dxa" w:w="100"/>
              <w:bottom w:type="dxa" w:w="80"/>
              <w:right w:type="dxa" w:w="100"/>
            </w:tcMar>
            <w:vAlign w:val="top"/>
          </w:tcPr>
          <w:p>
            <w:r>
              <w:rPr>
                <w:b w:val="false"/>
                <w:bCs w:val="false"/>
                <w:i w:val="false"/>
                <w:iCs w:val="false"/>
              </w:rPr>
              <w:t xml:space="preserve">Fails on functional fit and cost proportionality: it is a CRM platform, not a project or portfolio management tool, and would require heavy customization to serve as a project dashboard, plus premium licensing beyond the platform base cost. Retained as a second researched non-Microsoft reference point, broadening the external-SaaS comparison set beyond Alternative 6.</w:t>
            </w:r>
          </w:p>
        </w:tc>
      </w:tr>
    </w:tbl>
    <w:p>
      <w:pPr>
        <w:pStyle w:val="Heading1"/>
        <w:spacing w:after="160" w:before="360"/>
      </w:pPr>
      <w:r>
        <w:rPr>
          <w:b/>
          <w:bCs/>
        </w:rPr>
        <w:t xml:space="preserve">11. Alternatives Considered — Summary</w:t>
      </w:r>
    </w:p>
    <w:p>
      <w:pPr>
        <w:spacing w:after="160"/>
      </w:pPr>
      <w:r>
        <w:t xml:space="preserve">Full alternative descriptions are in Appendix A. Summary assessments are provided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5"/>
        <w:gridCol w:w="3477"/>
        <w:gridCol w:w="2674"/>
        <w:gridCol w:w="2674"/>
      </w:tblGrid>
      <w:tr>
        <w:trPr>
          <w:tblHeader/>
        </w:trPr>
        <w:tc>
          <w:tcPr>
            <w:tcW w:type="dxa" w:w="535"/>
            <w:shd w:fill="D9D9D9" w:val="clear"/>
            <w:tcMar>
              <w:top w:type="dxa" w:w="80"/>
              <w:left w:type="dxa" w:w="100"/>
              <w:bottom w:type="dxa" w:w="80"/>
              <w:right w:type="dxa" w:w="100"/>
            </w:tcMar>
            <w:vAlign w:val="top"/>
          </w:tcPr>
          <w:p>
            <w:r>
              <w:rPr>
                <w:b/>
                <w:bCs/>
                <w:i w:val="false"/>
                <w:iCs w:val="false"/>
              </w:rPr>
              <w:t xml:space="preserve">Alt.</w:t>
            </w:r>
          </w:p>
        </w:tc>
        <w:tc>
          <w:tcPr>
            <w:tcW w:type="dxa" w:w="3477"/>
            <w:shd w:fill="D9D9D9" w:val="clear"/>
            <w:tcMar>
              <w:top w:type="dxa" w:w="80"/>
              <w:left w:type="dxa" w:w="100"/>
              <w:bottom w:type="dxa" w:w="80"/>
              <w:right w:type="dxa" w:w="100"/>
            </w:tcMar>
            <w:vAlign w:val="top"/>
          </w:tcPr>
          <w:p>
            <w:r>
              <w:rPr>
                <w:b/>
                <w:bCs/>
                <w:i w:val="false"/>
                <w:iCs w:val="false"/>
              </w:rPr>
              <w:t xml:space="preserve">Description</w:t>
            </w:r>
          </w:p>
        </w:tc>
        <w:tc>
          <w:tcPr>
            <w:tcW w:type="dxa" w:w="2674"/>
            <w:shd w:fill="D9D9D9" w:val="clear"/>
            <w:tcMar>
              <w:top w:type="dxa" w:w="80"/>
              <w:left w:type="dxa" w:w="100"/>
              <w:bottom w:type="dxa" w:w="80"/>
              <w:right w:type="dxa" w:w="100"/>
            </w:tcMar>
            <w:vAlign w:val="top"/>
          </w:tcPr>
          <w:p>
            <w:r>
              <w:rPr>
                <w:b/>
                <w:bCs/>
                <w:i w:val="false"/>
                <w:iCs w:val="false"/>
              </w:rPr>
              <w:t xml:space="preserve">Key Strength</w:t>
            </w:r>
          </w:p>
        </w:tc>
        <w:tc>
          <w:tcPr>
            <w:tcW w:type="dxa" w:w="2674"/>
            <w:shd w:fill="D9D9D9" w:val="clear"/>
            <w:tcMar>
              <w:top w:type="dxa" w:w="80"/>
              <w:left w:type="dxa" w:w="100"/>
              <w:bottom w:type="dxa" w:w="80"/>
              <w:right w:type="dxa" w:w="100"/>
            </w:tcMar>
            <w:vAlign w:val="top"/>
          </w:tcPr>
          <w:p>
            <w:r>
              <w:rPr>
                <w:b/>
                <w:bCs/>
                <w:i w:val="false"/>
                <w:iCs w:val="false"/>
              </w:rPr>
              <w:t xml:space="preserve">Key Weakness</w:t>
            </w:r>
          </w:p>
        </w:tc>
      </w:tr>
      <w:tr>
        <w:tc>
          <w:tcPr>
            <w:tcW w:type="dxa" w:w="535"/>
            <w:tcMar>
              <w:top w:type="dxa" w:w="80"/>
              <w:left w:type="dxa" w:w="100"/>
              <w:bottom w:type="dxa" w:w="80"/>
              <w:right w:type="dxa" w:w="100"/>
            </w:tcMar>
            <w:vAlign w:val="top"/>
          </w:tcPr>
          <w:p>
            <w:r>
              <w:rPr>
                <w:b w:val="false"/>
                <w:bCs w:val="false"/>
                <w:i w:val="false"/>
                <w:iCs w:val="false"/>
              </w:rPr>
              <w:t xml:space="preserve">1</w:t>
            </w:r>
          </w:p>
        </w:tc>
        <w:tc>
          <w:tcPr>
            <w:tcW w:type="dxa" w:w="3477"/>
            <w:tcMar>
              <w:top w:type="dxa" w:w="80"/>
              <w:left w:type="dxa" w:w="100"/>
              <w:bottom w:type="dxa" w:w="80"/>
              <w:right w:type="dxa" w:w="100"/>
            </w:tcMar>
            <w:vAlign w:val="top"/>
          </w:tcPr>
          <w:p>
            <w:r>
              <w:rPr>
                <w:b w:val="false"/>
                <w:bCs w:val="false"/>
                <w:i w:val="false"/>
                <w:iCs w:val="false"/>
              </w:rPr>
              <w:t xml:space="preserve">Status Quo — no change; continue manual collection.</w:t>
            </w:r>
          </w:p>
        </w:tc>
        <w:tc>
          <w:tcPr>
            <w:tcW w:type="dxa" w:w="2674"/>
            <w:tcMar>
              <w:top w:type="dxa" w:w="80"/>
              <w:left w:type="dxa" w:w="100"/>
              <w:bottom w:type="dxa" w:w="80"/>
              <w:right w:type="dxa" w:w="100"/>
            </w:tcMar>
            <w:vAlign w:val="top"/>
          </w:tcPr>
          <w:p>
            <w:r>
              <w:rPr>
                <w:b w:val="false"/>
                <w:bCs w:val="false"/>
                <w:i w:val="false"/>
                <w:iCs w:val="false"/>
              </w:rPr>
              <w:t xml:space="preserve">No implementation effort.</w:t>
            </w:r>
          </w:p>
        </w:tc>
        <w:tc>
          <w:tcPr>
            <w:tcW w:type="dxa" w:w="2674"/>
            <w:tcMar>
              <w:top w:type="dxa" w:w="80"/>
              <w:left w:type="dxa" w:w="100"/>
              <w:bottom w:type="dxa" w:w="80"/>
              <w:right w:type="dxa" w:w="100"/>
            </w:tcMar>
            <w:vAlign w:val="top"/>
          </w:tcPr>
          <w:p>
            <w:r>
              <w:rPr>
                <w:b w:val="false"/>
                <w:bCs w:val="false"/>
                <w:i w:val="false"/>
                <w:iCs w:val="false"/>
              </w:rPr>
              <w:t xml:space="preserve">Does not address the problem.</w:t>
            </w:r>
          </w:p>
        </w:tc>
      </w:tr>
      <w:tr>
        <w:tc>
          <w:tcPr>
            <w:tcW w:type="dxa" w:w="535"/>
            <w:tcMar>
              <w:top w:type="dxa" w:w="80"/>
              <w:left w:type="dxa" w:w="100"/>
              <w:bottom w:type="dxa" w:w="80"/>
              <w:right w:type="dxa" w:w="100"/>
            </w:tcMar>
            <w:vAlign w:val="top"/>
          </w:tcPr>
          <w:p>
            <w:r>
              <w:rPr>
                <w:b w:val="false"/>
                <w:bCs w:val="false"/>
                <w:i w:val="false"/>
                <w:iCs w:val="false"/>
              </w:rPr>
              <w:t xml:space="preserve">2</w:t>
            </w:r>
          </w:p>
        </w:tc>
        <w:tc>
          <w:tcPr>
            <w:tcW w:type="dxa" w:w="3477"/>
            <w:tcMar>
              <w:top w:type="dxa" w:w="80"/>
              <w:left w:type="dxa" w:w="100"/>
              <w:bottom w:type="dxa" w:w="80"/>
              <w:right w:type="dxa" w:w="100"/>
            </w:tcMar>
            <w:vAlign w:val="top"/>
          </w:tcPr>
          <w:p>
            <w:r>
              <w:rPr>
                <w:b w:val="false"/>
                <w:bCs w:val="false"/>
                <w:i w:val="false"/>
                <w:iCs w:val="false"/>
              </w:rPr>
              <w:t xml:space="preserve">Power Apps / Power Platform — SharePoint Online as the data backbone, Power Apps for data entry, Power BI for visualization, Power Automate for notifications; the consolidated native-Microsoft build path.</w:t>
            </w:r>
          </w:p>
        </w:tc>
        <w:tc>
          <w:tcPr>
            <w:tcW w:type="dxa" w:w="2674"/>
            <w:tcMar>
              <w:top w:type="dxa" w:w="80"/>
              <w:left w:type="dxa" w:w="100"/>
              <w:bottom w:type="dxa" w:w="80"/>
              <w:right w:type="dxa" w:w="100"/>
            </w:tcMar>
            <w:vAlign w:val="top"/>
          </w:tcPr>
          <w:p>
            <w:r>
              <w:rPr>
                <w:b w:val="false"/>
                <w:bCs w:val="false"/>
                <w:i w:val="false"/>
                <w:iCs w:val="false"/>
              </w:rPr>
              <w:t xml:space="preserve">Fully native to Flank Speed; strong built-in reporting via Power BI; proven by the GPETE [Confirm] peer-team demonstration; maintainable by non-developers for the SharePoint portions.</w:t>
            </w:r>
          </w:p>
        </w:tc>
        <w:tc>
          <w:tcPr>
            <w:tcW w:type="dxa" w:w="2674"/>
            <w:tcMar>
              <w:top w:type="dxa" w:w="80"/>
              <w:left w:type="dxa" w:w="100"/>
              <w:bottom w:type="dxa" w:w="80"/>
              <w:right w:type="dxa" w:w="100"/>
            </w:tcMar>
            <w:vAlign w:val="top"/>
          </w:tcPr>
          <w:p>
            <w:r>
              <w:rPr>
                <w:b w:val="false"/>
                <w:bCs w:val="false"/>
                <w:i w:val="false"/>
                <w:iCs w:val="false"/>
              </w:rPr>
              <w:t xml:space="preserve">Assembling three separate tools (SharePoint + Power Apps + Power BI) into one coherent experience is real integration work, and each layer has its own NMCI feature gaps to discover mid-build.</w:t>
            </w:r>
          </w:p>
        </w:tc>
      </w:tr>
      <w:tr>
        <w:tc>
          <w:tcPr>
            <w:tcW w:type="dxa" w:w="535"/>
            <w:tcMar>
              <w:top w:type="dxa" w:w="80"/>
              <w:left w:type="dxa" w:w="100"/>
              <w:bottom w:type="dxa" w:w="80"/>
              <w:right w:type="dxa" w:w="100"/>
            </w:tcMar>
            <w:vAlign w:val="top"/>
          </w:tcPr>
          <w:p>
            <w:r>
              <w:rPr>
                <w:b w:val="false"/>
                <w:bCs w:val="false"/>
                <w:i w:val="false"/>
                <w:iCs w:val="false"/>
              </w:rPr>
              <w:t xml:space="preserve">3</w:t>
            </w:r>
          </w:p>
        </w:tc>
        <w:tc>
          <w:tcPr>
            <w:tcW w:type="dxa" w:w="3477"/>
            <w:tcMar>
              <w:top w:type="dxa" w:w="80"/>
              <w:left w:type="dxa" w:w="100"/>
              <w:bottom w:type="dxa" w:w="80"/>
              <w:right w:type="dxa" w:w="100"/>
            </w:tcMar>
            <w:vAlign w:val="top"/>
          </w:tcPr>
          <w:p>
            <w:r>
              <w:rPr>
                <w:b w:val="false"/>
                <w:bCs w:val="false"/>
                <w:i w:val="false"/>
                <w:iCs w:val="false"/>
              </w:rPr>
              <w:t xml:space="preserve">Firepit/Forge — a Navy NAVWAR PEO Digital-built SPFx web part (Firepit) that hosts a single-file HTML/JS application inside a sandboxed frame on a SharePoint page, authored offline in a companion IDE (Forge) with an AI coding agent and built-in security review tooling.</w:t>
            </w:r>
          </w:p>
        </w:tc>
        <w:tc>
          <w:tcPr>
            <w:tcW w:type="dxa" w:w="2674"/>
            <w:tcMar>
              <w:top w:type="dxa" w:w="80"/>
              <w:left w:type="dxa" w:w="100"/>
              <w:bottom w:type="dxa" w:w="80"/>
              <w:right w:type="dxa" w:w="100"/>
            </w:tcMar>
            <w:vAlign w:val="top"/>
          </w:tcPr>
          <w:p>
            <w:r>
              <w:rPr>
                <w:b w:val="false"/>
                <w:bCs w:val="false"/>
                <w:i w:val="false"/>
                <w:iCs w:val="false"/>
              </w:rPr>
              <w:t xml:space="preserve">One unified application shell instead of three separate tools; purpose-built security architecture (network allow-listing, CSP, exfiltration guards) generates detailed security documentation as part of normal use; fully native to Flank Speed.</w:t>
            </w:r>
          </w:p>
        </w:tc>
        <w:tc>
          <w:tcPr>
            <w:tcW w:type="dxa" w:w="2674"/>
            <w:tcMar>
              <w:top w:type="dxa" w:w="80"/>
              <w:left w:type="dxa" w:w="100"/>
              <w:bottom w:type="dxa" w:w="80"/>
              <w:right w:type="dxa" w:w="100"/>
            </w:tcMar>
            <w:vAlign w:val="top"/>
          </w:tcPr>
          <w:p>
            <w:r>
              <w:rPr>
                <w:b w:val="false"/>
                <w:bCs w:val="false"/>
                <w:i w:val="false"/>
                <w:iCs w:val="false"/>
              </w:rPr>
              <w:t xml:space="preserve">A niche, internally-built tool without a public support contract; sustainment depends on continued availability of Forge/Firepit from its originating organization.</w:t>
            </w:r>
          </w:p>
        </w:tc>
      </w:tr>
      <w:tr>
        <w:tc>
          <w:tcPr>
            <w:tcW w:type="dxa" w:w="535"/>
            <w:tcMar>
              <w:top w:type="dxa" w:w="80"/>
              <w:left w:type="dxa" w:w="100"/>
              <w:bottom w:type="dxa" w:w="80"/>
              <w:right w:type="dxa" w:w="100"/>
            </w:tcMar>
            <w:vAlign w:val="top"/>
          </w:tcPr>
          <w:p>
            <w:r>
              <w:rPr>
                <w:b w:val="false"/>
                <w:bCs w:val="false"/>
                <w:i w:val="false"/>
                <w:iCs w:val="false"/>
              </w:rPr>
              <w:t xml:space="preserve">4</w:t>
            </w:r>
          </w:p>
        </w:tc>
        <w:tc>
          <w:tcPr>
            <w:tcW w:type="dxa" w:w="3477"/>
            <w:tcMar>
              <w:top w:type="dxa" w:w="80"/>
              <w:left w:type="dxa" w:w="100"/>
              <w:bottom w:type="dxa" w:w="80"/>
              <w:right w:type="dxa" w:w="100"/>
            </w:tcMar>
            <w:vAlign w:val="top"/>
          </w:tcPr>
          <w:p>
            <w:r>
              <w:rPr>
                <w:b w:val="false"/>
                <w:bCs w:val="false"/>
                <w:i w:val="false"/>
                <w:iCs w:val="false"/>
              </w:rPr>
              <w:t xml:space="preserve">Confluence/Jira (Atlassian Government Cloud) — external SaaS project/knowledge management suite. The team's contractors already use a Jira instance for support ticketing, which gives this option existing user familiarity.</w:t>
            </w:r>
          </w:p>
        </w:tc>
        <w:tc>
          <w:tcPr>
            <w:tcW w:type="dxa" w:w="2674"/>
            <w:tcMar>
              <w:top w:type="dxa" w:w="80"/>
              <w:left w:type="dxa" w:w="100"/>
              <w:bottom w:type="dxa" w:w="80"/>
              <w:right w:type="dxa" w:w="100"/>
            </w:tcMar>
            <w:vAlign w:val="top"/>
          </w:tcPr>
          <w:p>
            <w:r>
              <w:rPr>
                <w:b w:val="false"/>
                <w:bCs w:val="false"/>
                <w:i w:val="false"/>
                <w:iCs w:val="false"/>
              </w:rPr>
              <w:t xml:space="preserve">Mature, purpose-built PM and reporting tool with strong commercial support if it were adoptable; contractor workforce already familiar with Jira ticketing.</w:t>
            </w:r>
          </w:p>
        </w:tc>
        <w:tc>
          <w:tcPr>
            <w:tcW w:type="dxa" w:w="2674"/>
            <w:tcMar>
              <w:top w:type="dxa" w:w="80"/>
              <w:left w:type="dxa" w:w="100"/>
              <w:bottom w:type="dxa" w:w="80"/>
              <w:right w:type="dxa" w:w="100"/>
            </w:tcMar>
            <w:vAlign w:val="top"/>
          </w:tcPr>
          <w:p>
            <w:r>
              <w:rPr>
                <w:b w:val="false"/>
                <w:bCs w:val="false"/>
                <w:i w:val="false"/>
                <w:iCs w:val="false"/>
              </w:rPr>
              <w:t xml:space="preserve">Sits entirely outside Flank Speed; would require standing up and separately administering a new SaaS environment.</w:t>
            </w:r>
          </w:p>
        </w:tc>
      </w:tr>
      <w:tr>
        <w:tc>
          <w:tcPr>
            <w:tcW w:type="dxa" w:w="535"/>
            <w:tcMar>
              <w:top w:type="dxa" w:w="80"/>
              <w:left w:type="dxa" w:w="100"/>
              <w:bottom w:type="dxa" w:w="80"/>
              <w:right w:type="dxa" w:w="100"/>
            </w:tcMar>
            <w:vAlign w:val="top"/>
          </w:tcPr>
          <w:p>
            <w:r>
              <w:rPr>
                <w:b w:val="false"/>
                <w:bCs w:val="false"/>
                <w:i w:val="false"/>
                <w:iCs w:val="false"/>
              </w:rPr>
              <w:t xml:space="preserve">5</w:t>
            </w:r>
          </w:p>
        </w:tc>
        <w:tc>
          <w:tcPr>
            <w:tcW w:type="dxa" w:w="3477"/>
            <w:tcMar>
              <w:top w:type="dxa" w:w="80"/>
              <w:left w:type="dxa" w:w="100"/>
              <w:bottom w:type="dxa" w:w="80"/>
              <w:right w:type="dxa" w:w="100"/>
            </w:tcMar>
            <w:vAlign w:val="top"/>
          </w:tcPr>
          <w:p>
            <w:r>
              <w:rPr>
                <w:b w:val="false"/>
                <w:bCs w:val="false"/>
                <w:i w:val="false"/>
                <w:iCs w:val="false"/>
              </w:rPr>
              <w:t xml:space="preserve">Custom Web Application — a bespoke application built and hosted outside Flank Speed, e.g., on Azure Government or AWS GovCloud.</w:t>
            </w:r>
          </w:p>
        </w:tc>
        <w:tc>
          <w:tcPr>
            <w:tcW w:type="dxa" w:w="2674"/>
            <w:tcMar>
              <w:top w:type="dxa" w:w="80"/>
              <w:left w:type="dxa" w:w="100"/>
              <w:bottom w:type="dxa" w:w="80"/>
              <w:right w:type="dxa" w:w="100"/>
            </w:tcMar>
            <w:vAlign w:val="top"/>
          </w:tcPr>
          <w:p>
            <w:r>
              <w:rPr>
                <w:b w:val="false"/>
                <w:bCs w:val="false"/>
                <w:i w:val="false"/>
                <w:iCs w:val="false"/>
              </w:rPr>
              <w:t xml:space="preserve">Maximum technical flexibility; no dependency on Microsoft 365 feature availability.</w:t>
            </w:r>
          </w:p>
        </w:tc>
        <w:tc>
          <w:tcPr>
            <w:tcW w:type="dxa" w:w="2674"/>
            <w:tcMar>
              <w:top w:type="dxa" w:w="80"/>
              <w:left w:type="dxa" w:w="100"/>
              <w:bottom w:type="dxa" w:w="80"/>
              <w:right w:type="dxa" w:w="100"/>
            </w:tcMar>
            <w:vAlign w:val="top"/>
          </w:tcPr>
          <w:p>
            <w:r>
              <w:rPr>
                <w:b w:val="false"/>
                <w:bCs w:val="false"/>
                <w:i w:val="false"/>
                <w:iCs w:val="false"/>
              </w:rPr>
              <w:t xml:space="preserve">Requires a new, independently secured hosting environment, a dedicated developer, and ongoing hosting costs even though Flank Speed already provides an equivalent environment for free.</w:t>
            </w:r>
          </w:p>
        </w:tc>
      </w:tr>
      <w:tr>
        <w:tc>
          <w:tcPr>
            <w:tcW w:type="dxa" w:w="535"/>
            <w:tcMar>
              <w:top w:type="dxa" w:w="80"/>
              <w:left w:type="dxa" w:w="100"/>
              <w:bottom w:type="dxa" w:w="80"/>
              <w:right w:type="dxa" w:w="100"/>
            </w:tcMar>
            <w:vAlign w:val="top"/>
          </w:tcPr>
          <w:p>
            <w:r>
              <w:rPr>
                <w:b w:val="false"/>
                <w:bCs w:val="false"/>
                <w:i w:val="false"/>
                <w:iCs w:val="false"/>
              </w:rPr>
              <w:t xml:space="preserve">6</w:t>
            </w:r>
          </w:p>
        </w:tc>
        <w:tc>
          <w:tcPr>
            <w:tcW w:type="dxa" w:w="3477"/>
            <w:tcMar>
              <w:top w:type="dxa" w:w="80"/>
              <w:left w:type="dxa" w:w="100"/>
              <w:bottom w:type="dxa" w:w="80"/>
              <w:right w:type="dxa" w:w="100"/>
            </w:tcMar>
            <w:vAlign w:val="top"/>
          </w:tcPr>
          <w:p>
            <w:r>
              <w:rPr>
                <w:b w:val="false"/>
                <w:bCs w:val="false"/>
                <w:i w:val="false"/>
                <w:iCs w:val="false"/>
              </w:rPr>
              <w:t xml:space="preserve">ServiceNow National Security Cloud (NSC) — an external SaaS/PaaS platform hosted on Microsoft Azure Government; its Strategic Portfolio Management capability directly covers portfolio tracking, per-project views, workflows, and reporting.</w:t>
            </w:r>
          </w:p>
        </w:tc>
        <w:tc>
          <w:tcPr>
            <w:tcW w:type="dxa" w:w="2674"/>
            <w:tcMar>
              <w:top w:type="dxa" w:w="80"/>
              <w:left w:type="dxa" w:w="100"/>
              <w:bottom w:type="dxa" w:w="80"/>
              <w:right w:type="dxa" w:w="100"/>
            </w:tcMar>
            <w:vAlign w:val="top"/>
          </w:tcPr>
          <w:p>
            <w:r>
              <w:rPr>
                <w:b w:val="false"/>
                <w:bCs w:val="false"/>
                <w:i w:val="false"/>
                <w:iCs w:val="false"/>
              </w:rPr>
              <w:t xml:space="preserve">The strongest external competitor: commercially supported, purpose-built for portfolio management, with a built-in ticketing/ITSM capability that could absorb the contractor Jira workflow.</w:t>
            </w:r>
          </w:p>
        </w:tc>
        <w:tc>
          <w:tcPr>
            <w:tcW w:type="dxa" w:w="2674"/>
            <w:tcMar>
              <w:top w:type="dxa" w:w="80"/>
              <w:left w:type="dxa" w:w="100"/>
              <w:bottom w:type="dxa" w:w="80"/>
              <w:right w:type="dxa" w:w="100"/>
            </w:tcMar>
            <w:vAlign w:val="top"/>
          </w:tcPr>
          <w:p>
            <w:r>
              <w:rPr>
                <w:b w:val="false"/>
                <w:bCs w:val="false"/>
                <w:i w:val="false"/>
                <w:iCs w:val="false"/>
              </w:rPr>
              <w:t xml:space="preserve">Quote-based enterprise licensing with no identified AEWTTR budget line; procurement cycle plus sponsorship required; introduces a second, separately-administered environment outside Flank Speed; disproportionate overhead for a team of this size.</w:t>
            </w:r>
          </w:p>
        </w:tc>
      </w:tr>
      <w:tr>
        <w:tc>
          <w:tcPr>
            <w:tcW w:type="dxa" w:w="535"/>
            <w:tcMar>
              <w:top w:type="dxa" w:w="80"/>
              <w:left w:type="dxa" w:w="100"/>
              <w:bottom w:type="dxa" w:w="80"/>
              <w:right w:type="dxa" w:w="100"/>
            </w:tcMar>
            <w:vAlign w:val="top"/>
          </w:tcPr>
          <w:p>
            <w:r>
              <w:rPr>
                <w:b w:val="false"/>
                <w:bCs w:val="false"/>
                <w:i w:val="false"/>
                <w:iCs w:val="false"/>
              </w:rPr>
              <w:t xml:space="preserve">7</w:t>
            </w:r>
          </w:p>
        </w:tc>
        <w:tc>
          <w:tcPr>
            <w:tcW w:type="dxa" w:w="3477"/>
            <w:tcMar>
              <w:top w:type="dxa" w:w="80"/>
              <w:left w:type="dxa" w:w="100"/>
              <w:bottom w:type="dxa" w:w="80"/>
              <w:right w:type="dxa" w:w="100"/>
            </w:tcMar>
            <w:vAlign w:val="top"/>
          </w:tcPr>
          <w:p>
            <w:r>
              <w:rPr>
                <w:b w:val="false"/>
                <w:bCs w:val="false"/>
                <w:i w:val="false"/>
                <w:iCs w:val="false"/>
              </w:rPr>
              <w:t xml:space="preserve">Salesforce Government Cloud Plus — an external CRM platform, evaluated as a second non-Microsoft reference point beyond ServiceNow NSC.</w:t>
            </w:r>
          </w:p>
        </w:tc>
        <w:tc>
          <w:tcPr>
            <w:tcW w:type="dxa" w:w="2674"/>
            <w:tcMar>
              <w:top w:type="dxa" w:w="80"/>
              <w:left w:type="dxa" w:w="100"/>
              <w:bottom w:type="dxa" w:w="80"/>
              <w:right w:type="dxa" w:w="100"/>
            </w:tcMar>
            <w:vAlign w:val="top"/>
          </w:tcPr>
          <w:p>
            <w:r>
              <w:rPr>
                <w:b w:val="false"/>
                <w:bCs w:val="false"/>
                <w:i w:val="false"/>
                <w:iCs w:val="false"/>
              </w:rPr>
              <w:t xml:space="preserve">Mature enterprise security and role-based access control out of the box; strong reporting/dashboard capability (Salesforce Analytics).</w:t>
            </w:r>
          </w:p>
        </w:tc>
        <w:tc>
          <w:tcPr>
            <w:tcW w:type="dxa" w:w="2674"/>
            <w:tcMar>
              <w:top w:type="dxa" w:w="80"/>
              <w:left w:type="dxa" w:w="100"/>
              <w:bottom w:type="dxa" w:w="80"/>
              <w:right w:type="dxa" w:w="100"/>
            </w:tcMar>
            <w:vAlign w:val="top"/>
          </w:tcPr>
          <w:p>
            <w:r>
              <w:rPr>
                <w:b w:val="false"/>
                <w:bCs w:val="false"/>
                <w:i w:val="false"/>
                <w:iCs w:val="false"/>
              </w:rPr>
              <w:t xml:space="preserve">A CRM platform, not a purpose-built project or portfolio management tool — would require heavy customization to fit this need, plus premium licensing beyond base platform cost.</w:t>
            </w:r>
          </w:p>
        </w:tc>
      </w:tr>
    </w:tbl>
    <w:p>
      <w:pPr>
        <w:pStyle w:val="Heading1"/>
        <w:spacing w:after="160" w:before="360"/>
      </w:pPr>
      <w:r>
        <w:rPr>
          <w:b/>
          <w:bCs/>
        </w:rPr>
        <w:t xml:space="preserve">12. Evaluation Matrix</w:t>
      </w:r>
    </w:p>
    <w:p>
      <w:pPr>
        <w:spacing w:after="160"/>
      </w:pPr>
      <w:r>
        <w:t xml:space="preserve">Scores are on a 1–5 scale per criterion, multiplied by the criterion weight. Weighted scores are shown in parentheses. Higher scores are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3"/>
        <w:gridCol w:w="846"/>
        <w:gridCol w:w="846"/>
        <w:gridCol w:w="846"/>
        <w:gridCol w:w="846"/>
        <w:gridCol w:w="846"/>
        <w:gridCol w:w="846"/>
        <w:gridCol w:w="747"/>
        <w:gridCol w:w="747"/>
        <w:gridCol w:w="1097"/>
      </w:tblGrid>
      <w:tr>
        <w:trPr>
          <w:tblHeader/>
        </w:trPr>
        <w:tc>
          <w:tcPr>
            <w:tcW w:type="dxa" w:w="1693"/>
            <w:shd w:fill="D9D9D9" w:val="clear"/>
            <w:tcMar>
              <w:top w:type="dxa" w:w="80"/>
              <w:left w:type="dxa" w:w="100"/>
              <w:bottom w:type="dxa" w:w="80"/>
              <w:right w:type="dxa" w:w="100"/>
            </w:tcMar>
            <w:vAlign w:val="top"/>
          </w:tcPr>
          <w:p>
            <w:r>
              <w:rPr>
                <w:b/>
                <w:bCs/>
                <w:i w:val="false"/>
                <w:iCs w:val="false"/>
              </w:rPr>
              <w:t xml:space="preserve">Alternative</w:t>
            </w:r>
          </w:p>
        </w:tc>
        <w:tc>
          <w:tcPr>
            <w:tcW w:type="dxa" w:w="846"/>
            <w:shd w:fill="D9D9D9" w:val="clear"/>
            <w:tcMar>
              <w:top w:type="dxa" w:w="80"/>
              <w:left w:type="dxa" w:w="100"/>
              <w:bottom w:type="dxa" w:w="80"/>
              <w:right w:type="dxa" w:w="100"/>
            </w:tcMar>
            <w:vAlign w:val="top"/>
          </w:tcPr>
          <w:p>
            <w:r>
              <w:rPr>
                <w:b/>
                <w:bCs/>
                <w:i w:val="false"/>
                <w:iCs w:val="false"/>
              </w:rPr>
              <w:t xml:space="preserve">Req. (20)</w:t>
            </w:r>
          </w:p>
        </w:tc>
        <w:tc>
          <w:tcPr>
            <w:tcW w:type="dxa" w:w="846"/>
            <w:shd w:fill="D9D9D9" w:val="clear"/>
            <w:tcMar>
              <w:top w:type="dxa" w:w="80"/>
              <w:left w:type="dxa" w:w="100"/>
              <w:bottom w:type="dxa" w:w="80"/>
              <w:right w:type="dxa" w:w="100"/>
            </w:tcMar>
            <w:vAlign w:val="top"/>
          </w:tcPr>
          <w:p>
            <w:r>
              <w:rPr>
                <w:b/>
                <w:bCs/>
                <w:i w:val="false"/>
                <w:iCs w:val="false"/>
              </w:rPr>
              <w:t xml:space="preserve">Ease (15)</w:t>
            </w:r>
          </w:p>
        </w:tc>
        <w:tc>
          <w:tcPr>
            <w:tcW w:type="dxa" w:w="846"/>
            <w:shd w:fill="D9D9D9" w:val="clear"/>
            <w:tcMar>
              <w:top w:type="dxa" w:w="80"/>
              <w:left w:type="dxa" w:w="100"/>
              <w:bottom w:type="dxa" w:w="80"/>
              <w:right w:type="dxa" w:w="100"/>
            </w:tcMar>
            <w:vAlign w:val="top"/>
          </w:tcPr>
          <w:p>
            <w:r>
              <w:rPr>
                <w:b/>
                <w:bCs/>
                <w:i w:val="false"/>
                <w:iCs w:val="false"/>
              </w:rPr>
              <w:t xml:space="preserve">Env. Fit (15)</w:t>
            </w:r>
          </w:p>
        </w:tc>
        <w:tc>
          <w:tcPr>
            <w:tcW w:type="dxa" w:w="846"/>
            <w:shd w:fill="D9D9D9" w:val="clear"/>
            <w:tcMar>
              <w:top w:type="dxa" w:w="80"/>
              <w:left w:type="dxa" w:w="100"/>
              <w:bottom w:type="dxa" w:w="80"/>
              <w:right w:type="dxa" w:w="100"/>
            </w:tcMar>
            <w:vAlign w:val="top"/>
          </w:tcPr>
          <w:p>
            <w:r>
              <w:rPr>
                <w:b/>
                <w:bCs/>
                <w:i w:val="false"/>
                <w:iCs w:val="false"/>
              </w:rPr>
              <w:t xml:space="preserve">Sec. (15)</w:t>
            </w:r>
          </w:p>
        </w:tc>
        <w:tc>
          <w:tcPr>
            <w:tcW w:type="dxa" w:w="846"/>
            <w:shd w:fill="D9D9D9" w:val="clear"/>
            <w:tcMar>
              <w:top w:type="dxa" w:w="80"/>
              <w:left w:type="dxa" w:w="100"/>
              <w:bottom w:type="dxa" w:w="80"/>
              <w:right w:type="dxa" w:w="100"/>
            </w:tcMar>
            <w:vAlign w:val="top"/>
          </w:tcPr>
          <w:p>
            <w:r>
              <w:rPr>
                <w:b/>
                <w:bCs/>
                <w:i w:val="false"/>
                <w:iCs w:val="false"/>
              </w:rPr>
              <w:t xml:space="preserve">Maint. (15)</w:t>
            </w:r>
          </w:p>
        </w:tc>
        <w:tc>
          <w:tcPr>
            <w:tcW w:type="dxa" w:w="846"/>
            <w:shd w:fill="D9D9D9" w:val="clear"/>
            <w:tcMar>
              <w:top w:type="dxa" w:w="80"/>
              <w:left w:type="dxa" w:w="100"/>
              <w:bottom w:type="dxa" w:w="80"/>
              <w:right w:type="dxa" w:w="100"/>
            </w:tcMar>
            <w:vAlign w:val="top"/>
          </w:tcPr>
          <w:p>
            <w:r>
              <w:rPr>
                <w:b/>
                <w:bCs/>
                <w:i w:val="false"/>
                <w:iCs w:val="false"/>
              </w:rPr>
              <w:t xml:space="preserve">Rptg. (10)</w:t>
            </w:r>
          </w:p>
        </w:tc>
        <w:tc>
          <w:tcPr>
            <w:tcW w:type="dxa" w:w="747"/>
            <w:shd w:fill="D9D9D9" w:val="clear"/>
            <w:tcMar>
              <w:top w:type="dxa" w:w="80"/>
              <w:left w:type="dxa" w:w="100"/>
              <w:bottom w:type="dxa" w:w="80"/>
              <w:right w:type="dxa" w:w="100"/>
            </w:tcMar>
            <w:vAlign w:val="top"/>
          </w:tcPr>
          <w:p>
            <w:r>
              <w:rPr>
                <w:b/>
                <w:bCs/>
                <w:i w:val="false"/>
                <w:iCs w:val="false"/>
              </w:rPr>
              <w:t xml:space="preserve">Scale (5)</w:t>
            </w:r>
          </w:p>
        </w:tc>
        <w:tc>
          <w:tcPr>
            <w:tcW w:type="dxa" w:w="747"/>
            <w:shd w:fill="D9D9D9" w:val="clear"/>
            <w:tcMar>
              <w:top w:type="dxa" w:w="80"/>
              <w:left w:type="dxa" w:w="100"/>
              <w:bottom w:type="dxa" w:w="80"/>
              <w:right w:type="dxa" w:w="100"/>
            </w:tcMar>
            <w:vAlign w:val="top"/>
          </w:tcPr>
          <w:p>
            <w:r>
              <w:rPr>
                <w:b/>
                <w:bCs/>
                <w:i w:val="false"/>
                <w:iCs w:val="false"/>
              </w:rPr>
              <w:t xml:space="preserve">Cost (5)</w:t>
            </w:r>
          </w:p>
        </w:tc>
        <w:tc>
          <w:tcPr>
            <w:tcW w:type="dxa" w:w="1097"/>
            <w:shd w:fill="D9D9D9" w:val="clear"/>
            <w:tcMar>
              <w:top w:type="dxa" w:w="80"/>
              <w:left w:type="dxa" w:w="100"/>
              <w:bottom w:type="dxa" w:w="80"/>
              <w:right w:type="dxa" w:w="100"/>
            </w:tcMar>
            <w:vAlign w:val="top"/>
          </w:tcPr>
          <w:p>
            <w:r>
              <w:rPr>
                <w:b/>
                <w:bCs/>
                <w:i w:val="false"/>
                <w:iCs w:val="false"/>
              </w:rPr>
              <w:t xml:space="preserve">TOTAL</w:t>
            </w:r>
          </w:p>
        </w:tc>
      </w:tr>
      <w:tr>
        <w:tc>
          <w:tcPr>
            <w:tcW w:type="dxa" w:w="1693"/>
            <w:tcMar>
              <w:top w:type="dxa" w:w="80"/>
              <w:left w:type="dxa" w:w="100"/>
              <w:bottom w:type="dxa" w:w="80"/>
              <w:right w:type="dxa" w:w="100"/>
            </w:tcMar>
            <w:vAlign w:val="top"/>
          </w:tcPr>
          <w:p>
            <w:r>
              <w:rPr>
                <w:b w:val="false"/>
                <w:bCs w:val="false"/>
                <w:i w:val="false"/>
                <w:iCs w:val="false"/>
              </w:rPr>
              <w:t xml:space="preserve">1 — Status Quo</w:t>
            </w:r>
          </w:p>
        </w:tc>
        <w:tc>
          <w:tcPr>
            <w:tcW w:type="dxa" w:w="846"/>
            <w:tcMar>
              <w:top w:type="dxa" w:w="80"/>
              <w:left w:type="dxa" w:w="100"/>
              <w:bottom w:type="dxa" w:w="80"/>
              <w:right w:type="dxa" w:w="100"/>
            </w:tcMar>
            <w:vAlign w:val="top"/>
          </w:tcPr>
          <w:p>
            <w:r>
              <w:rPr>
                <w:b w:val="false"/>
                <w:bCs w:val="false"/>
                <w:i w:val="false"/>
                <w:iCs w:val="false"/>
              </w:rPr>
              <w:t xml:space="preserve">1 (20)</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1 (10)</w:t>
            </w:r>
          </w:p>
        </w:tc>
        <w:tc>
          <w:tcPr>
            <w:tcW w:type="dxa" w:w="747"/>
            <w:tcMar>
              <w:top w:type="dxa" w:w="80"/>
              <w:left w:type="dxa" w:w="100"/>
              <w:bottom w:type="dxa" w:w="80"/>
              <w:right w:type="dxa" w:w="100"/>
            </w:tcMar>
            <w:vAlign w:val="top"/>
          </w:tcPr>
          <w:p>
            <w:r>
              <w:rPr>
                <w:b w:val="false"/>
                <w:bCs w:val="false"/>
                <w:i w:val="false"/>
                <w:iCs w:val="false"/>
              </w:rPr>
              <w:t xml:space="preserve">1 (5)</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1097"/>
            <w:tcMar>
              <w:top w:type="dxa" w:w="80"/>
              <w:left w:type="dxa" w:w="100"/>
              <w:bottom w:type="dxa" w:w="80"/>
              <w:right w:type="dxa" w:w="100"/>
            </w:tcMar>
            <w:vAlign w:val="top"/>
          </w:tcPr>
          <w:p>
            <w:r>
              <w:rPr>
                <w:b w:val="false"/>
                <w:bCs w:val="false"/>
                <w:i w:val="false"/>
                <w:iCs w:val="false"/>
              </w:rPr>
              <w:t xml:space="preserve">300</w:t>
            </w:r>
          </w:p>
        </w:tc>
      </w:tr>
      <w:tr>
        <w:tc>
          <w:tcPr>
            <w:tcW w:type="dxa" w:w="1693"/>
            <w:tcMar>
              <w:top w:type="dxa" w:w="80"/>
              <w:left w:type="dxa" w:w="100"/>
              <w:bottom w:type="dxa" w:w="80"/>
              <w:right w:type="dxa" w:w="100"/>
            </w:tcMar>
            <w:vAlign w:val="top"/>
          </w:tcPr>
          <w:p>
            <w:r>
              <w:rPr>
                <w:b w:val="false"/>
                <w:bCs w:val="false"/>
                <w:i w:val="false"/>
                <w:iCs w:val="false"/>
              </w:rPr>
              <w:t xml:space="preserve">2 — Power Apps / Power Platform</w:t>
            </w:r>
          </w:p>
        </w:tc>
        <w:tc>
          <w:tcPr>
            <w:tcW w:type="dxa" w:w="846"/>
            <w:tcMar>
              <w:top w:type="dxa" w:w="80"/>
              <w:left w:type="dxa" w:w="100"/>
              <w:bottom w:type="dxa" w:w="80"/>
              <w:right w:type="dxa" w:w="100"/>
            </w:tcMar>
            <w:vAlign w:val="top"/>
          </w:tcPr>
          <w:p>
            <w:r>
              <w:rPr>
                <w:b w:val="false"/>
                <w:bCs w:val="false"/>
                <w:i w:val="false"/>
                <w:iCs w:val="false"/>
              </w:rPr>
              <w:t xml:space="preserve">4 (80)</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4 (40)</w:t>
            </w:r>
          </w:p>
        </w:tc>
        <w:tc>
          <w:tcPr>
            <w:tcW w:type="dxa" w:w="747"/>
            <w:tcMar>
              <w:top w:type="dxa" w:w="80"/>
              <w:left w:type="dxa" w:w="100"/>
              <w:bottom w:type="dxa" w:w="80"/>
              <w:right w:type="dxa" w:w="100"/>
            </w:tcMar>
            <w:vAlign w:val="top"/>
          </w:tcPr>
          <w:p>
            <w:r>
              <w:rPr>
                <w:b w:val="false"/>
                <w:bCs w:val="false"/>
                <w:i w:val="false"/>
                <w:iCs w:val="false"/>
              </w:rPr>
              <w:t xml:space="preserve">4 (20)</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1097"/>
            <w:tcMar>
              <w:top w:type="dxa" w:w="80"/>
              <w:left w:type="dxa" w:w="100"/>
              <w:bottom w:type="dxa" w:w="80"/>
              <w:right w:type="dxa" w:w="100"/>
            </w:tcMar>
            <w:vAlign w:val="top"/>
          </w:tcPr>
          <w:p>
            <w:r>
              <w:rPr>
                <w:b w:val="false"/>
                <w:bCs w:val="false"/>
                <w:i w:val="false"/>
                <w:iCs w:val="false"/>
              </w:rPr>
              <w:t xml:space="preserve">405</w:t>
            </w:r>
          </w:p>
        </w:tc>
      </w:tr>
      <w:tr>
        <w:tc>
          <w:tcPr>
            <w:tcW w:type="dxa" w:w="1693"/>
            <w:tcMar>
              <w:top w:type="dxa" w:w="80"/>
              <w:left w:type="dxa" w:w="100"/>
              <w:bottom w:type="dxa" w:w="80"/>
              <w:right w:type="dxa" w:w="100"/>
            </w:tcMar>
            <w:vAlign w:val="top"/>
          </w:tcPr>
          <w:p>
            <w:r>
              <w:rPr>
                <w:b w:val="false"/>
                <w:bCs w:val="false"/>
                <w:i w:val="false"/>
                <w:iCs w:val="false"/>
              </w:rPr>
              <w:t xml:space="preserve">3 — Firepit/Forge</w:t>
            </w:r>
          </w:p>
        </w:tc>
        <w:tc>
          <w:tcPr>
            <w:tcW w:type="dxa" w:w="846"/>
            <w:tcMar>
              <w:top w:type="dxa" w:w="80"/>
              <w:left w:type="dxa" w:w="100"/>
              <w:bottom w:type="dxa" w:w="80"/>
              <w:right w:type="dxa" w:w="100"/>
            </w:tcMar>
            <w:vAlign w:val="top"/>
          </w:tcPr>
          <w:p>
            <w:r>
              <w:rPr>
                <w:b w:val="false"/>
                <w:bCs w:val="false"/>
                <w:i w:val="false"/>
                <w:iCs w:val="false"/>
              </w:rPr>
              <w:t xml:space="preserve">4 (80)</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5 (75)</w:t>
            </w:r>
          </w:p>
        </w:tc>
        <w:tc>
          <w:tcPr>
            <w:tcW w:type="dxa" w:w="846"/>
            <w:tcMar>
              <w:top w:type="dxa" w:w="80"/>
              <w:left w:type="dxa" w:w="100"/>
              <w:bottom w:type="dxa" w:w="80"/>
              <w:right w:type="dxa" w:w="100"/>
            </w:tcMar>
            <w:vAlign w:val="top"/>
          </w:tcPr>
          <w:p>
            <w:r>
              <w:rPr>
                <w:b w:val="false"/>
                <w:bCs w:val="false"/>
                <w:i w:val="false"/>
                <w:iCs w:val="false"/>
              </w:rPr>
              <w:t xml:space="preserve">4 (40)</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1097"/>
            <w:tcMar>
              <w:top w:type="dxa" w:w="80"/>
              <w:left w:type="dxa" w:w="100"/>
              <w:bottom w:type="dxa" w:w="80"/>
              <w:right w:type="dxa" w:w="100"/>
            </w:tcMar>
            <w:vAlign w:val="top"/>
          </w:tcPr>
          <w:p>
            <w:r>
              <w:rPr>
                <w:b w:val="false"/>
                <w:bCs w:val="false"/>
                <w:i w:val="false"/>
                <w:iCs w:val="false"/>
              </w:rPr>
              <w:t xml:space="preserve">455</w:t>
            </w:r>
          </w:p>
        </w:tc>
      </w:tr>
      <w:tr>
        <w:tc>
          <w:tcPr>
            <w:tcW w:type="dxa" w:w="1693"/>
            <w:tcMar>
              <w:top w:type="dxa" w:w="80"/>
              <w:left w:type="dxa" w:w="100"/>
              <w:bottom w:type="dxa" w:w="80"/>
              <w:right w:type="dxa" w:w="100"/>
            </w:tcMar>
            <w:vAlign w:val="top"/>
          </w:tcPr>
          <w:p>
            <w:r>
              <w:rPr>
                <w:b w:val="false"/>
                <w:bCs w:val="false"/>
                <w:i w:val="false"/>
                <w:iCs w:val="false"/>
              </w:rPr>
              <w:t xml:space="preserve">4 — Confluence/Jira</w:t>
            </w:r>
          </w:p>
        </w:tc>
        <w:tc>
          <w:tcPr>
            <w:tcW w:type="dxa" w:w="846"/>
            <w:tcMar>
              <w:top w:type="dxa" w:w="80"/>
              <w:left w:type="dxa" w:w="100"/>
              <w:bottom w:type="dxa" w:w="80"/>
              <w:right w:type="dxa" w:w="100"/>
            </w:tcMar>
            <w:vAlign w:val="top"/>
          </w:tcPr>
          <w:p>
            <w:r>
              <w:rPr>
                <w:b w:val="false"/>
                <w:bCs w:val="false"/>
                <w:i w:val="false"/>
                <w:iCs w:val="false"/>
              </w:rPr>
              <w:t xml:space="preserve">4 (80)</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1 (15)</w:t>
            </w:r>
          </w:p>
        </w:tc>
        <w:tc>
          <w:tcPr>
            <w:tcW w:type="dxa" w:w="846"/>
            <w:tcMar>
              <w:top w:type="dxa" w:w="80"/>
              <w:left w:type="dxa" w:w="100"/>
              <w:bottom w:type="dxa" w:w="80"/>
              <w:right w:type="dxa" w:w="100"/>
            </w:tcMar>
            <w:vAlign w:val="top"/>
          </w:tcPr>
          <w:p>
            <w:r>
              <w:rPr>
                <w:b w:val="false"/>
                <w:bCs w:val="false"/>
                <w:i w:val="false"/>
                <w:iCs w:val="false"/>
              </w:rPr>
              <w:t xml:space="preserve">2 (30)</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4 (40)</w:t>
            </w:r>
          </w:p>
        </w:tc>
        <w:tc>
          <w:tcPr>
            <w:tcW w:type="dxa" w:w="747"/>
            <w:tcMar>
              <w:top w:type="dxa" w:w="80"/>
              <w:left w:type="dxa" w:w="100"/>
              <w:bottom w:type="dxa" w:w="80"/>
              <w:right w:type="dxa" w:w="100"/>
            </w:tcMar>
            <w:vAlign w:val="top"/>
          </w:tcPr>
          <w:p>
            <w:r>
              <w:rPr>
                <w:b w:val="false"/>
                <w:bCs w:val="false"/>
                <w:i w:val="false"/>
                <w:iCs w:val="false"/>
              </w:rPr>
              <w:t xml:space="preserve">4 (20)</w:t>
            </w:r>
          </w:p>
        </w:tc>
        <w:tc>
          <w:tcPr>
            <w:tcW w:type="dxa" w:w="747"/>
            <w:tcMar>
              <w:top w:type="dxa" w:w="80"/>
              <w:left w:type="dxa" w:w="100"/>
              <w:bottom w:type="dxa" w:w="80"/>
              <w:right w:type="dxa" w:w="100"/>
            </w:tcMar>
            <w:vAlign w:val="top"/>
          </w:tcPr>
          <w:p>
            <w:r>
              <w:rPr>
                <w:b w:val="false"/>
                <w:bCs w:val="false"/>
                <w:i w:val="false"/>
                <w:iCs w:val="false"/>
              </w:rPr>
              <w:t xml:space="preserve">2 (10)</w:t>
            </w:r>
          </w:p>
        </w:tc>
        <w:tc>
          <w:tcPr>
            <w:tcW w:type="dxa" w:w="1097"/>
            <w:tcMar>
              <w:top w:type="dxa" w:w="80"/>
              <w:left w:type="dxa" w:w="100"/>
              <w:bottom w:type="dxa" w:w="80"/>
              <w:right w:type="dxa" w:w="100"/>
            </w:tcMar>
            <w:vAlign w:val="top"/>
          </w:tcPr>
          <w:p>
            <w:r>
              <w:rPr>
                <w:b w:val="false"/>
                <w:bCs w:val="false"/>
                <w:i w:val="false"/>
                <w:iCs w:val="false"/>
              </w:rPr>
              <w:t xml:space="preserve">300</w:t>
            </w:r>
          </w:p>
        </w:tc>
      </w:tr>
      <w:tr>
        <w:tc>
          <w:tcPr>
            <w:tcW w:type="dxa" w:w="1693"/>
            <w:tcMar>
              <w:top w:type="dxa" w:w="80"/>
              <w:left w:type="dxa" w:w="100"/>
              <w:bottom w:type="dxa" w:w="80"/>
              <w:right w:type="dxa" w:w="100"/>
            </w:tcMar>
            <w:vAlign w:val="top"/>
          </w:tcPr>
          <w:p>
            <w:r>
              <w:rPr>
                <w:b w:val="false"/>
                <w:bCs w:val="false"/>
                <w:i w:val="false"/>
                <w:iCs w:val="false"/>
              </w:rPr>
              <w:t xml:space="preserve">5 — Custom Web App</w:t>
            </w:r>
          </w:p>
        </w:tc>
        <w:tc>
          <w:tcPr>
            <w:tcW w:type="dxa" w:w="846"/>
            <w:tcMar>
              <w:top w:type="dxa" w:w="80"/>
              <w:left w:type="dxa" w:w="100"/>
              <w:bottom w:type="dxa" w:w="80"/>
              <w:right w:type="dxa" w:w="100"/>
            </w:tcMar>
            <w:vAlign w:val="top"/>
          </w:tcPr>
          <w:p>
            <w:r>
              <w:rPr>
                <w:b w:val="false"/>
                <w:bCs w:val="false"/>
                <w:i w:val="false"/>
                <w:iCs w:val="false"/>
              </w:rPr>
              <w:t xml:space="preserve">4 (80)</w:t>
            </w:r>
          </w:p>
        </w:tc>
        <w:tc>
          <w:tcPr>
            <w:tcW w:type="dxa" w:w="846"/>
            <w:tcMar>
              <w:top w:type="dxa" w:w="80"/>
              <w:left w:type="dxa" w:w="100"/>
              <w:bottom w:type="dxa" w:w="80"/>
              <w:right w:type="dxa" w:w="100"/>
            </w:tcMar>
            <w:vAlign w:val="top"/>
          </w:tcPr>
          <w:p>
            <w:r>
              <w:rPr>
                <w:b w:val="false"/>
                <w:bCs w:val="false"/>
                <w:i w:val="false"/>
                <w:iCs w:val="false"/>
              </w:rPr>
              <w:t xml:space="preserve">1 (15)</w:t>
            </w:r>
          </w:p>
        </w:tc>
        <w:tc>
          <w:tcPr>
            <w:tcW w:type="dxa" w:w="846"/>
            <w:tcMar>
              <w:top w:type="dxa" w:w="80"/>
              <w:left w:type="dxa" w:w="100"/>
              <w:bottom w:type="dxa" w:w="80"/>
              <w:right w:type="dxa" w:w="100"/>
            </w:tcMar>
            <w:vAlign w:val="top"/>
          </w:tcPr>
          <w:p>
            <w:r>
              <w:rPr>
                <w:b w:val="false"/>
                <w:bCs w:val="false"/>
                <w:i w:val="false"/>
                <w:iCs w:val="false"/>
              </w:rPr>
              <w:t xml:space="preserve">1 (15)</w:t>
            </w:r>
          </w:p>
        </w:tc>
        <w:tc>
          <w:tcPr>
            <w:tcW w:type="dxa" w:w="846"/>
            <w:tcMar>
              <w:top w:type="dxa" w:w="80"/>
              <w:left w:type="dxa" w:w="100"/>
              <w:bottom w:type="dxa" w:w="80"/>
              <w:right w:type="dxa" w:w="100"/>
            </w:tcMar>
            <w:vAlign w:val="top"/>
          </w:tcPr>
          <w:p>
            <w:r>
              <w:rPr>
                <w:b w:val="false"/>
                <w:bCs w:val="false"/>
                <w:i w:val="false"/>
                <w:iCs w:val="false"/>
              </w:rPr>
              <w:t xml:space="preserve">2 (30)</w:t>
            </w:r>
          </w:p>
        </w:tc>
        <w:tc>
          <w:tcPr>
            <w:tcW w:type="dxa" w:w="846"/>
            <w:tcMar>
              <w:top w:type="dxa" w:w="80"/>
              <w:left w:type="dxa" w:w="100"/>
              <w:bottom w:type="dxa" w:w="80"/>
              <w:right w:type="dxa" w:w="100"/>
            </w:tcMar>
            <w:vAlign w:val="top"/>
          </w:tcPr>
          <w:p>
            <w:r>
              <w:rPr>
                <w:b w:val="false"/>
                <w:bCs w:val="false"/>
                <w:i w:val="false"/>
                <w:iCs w:val="false"/>
              </w:rPr>
              <w:t xml:space="preserve">2 (30)</w:t>
            </w:r>
          </w:p>
        </w:tc>
        <w:tc>
          <w:tcPr>
            <w:tcW w:type="dxa" w:w="846"/>
            <w:tcMar>
              <w:top w:type="dxa" w:w="80"/>
              <w:left w:type="dxa" w:w="100"/>
              <w:bottom w:type="dxa" w:w="80"/>
              <w:right w:type="dxa" w:w="100"/>
            </w:tcMar>
            <w:vAlign w:val="top"/>
          </w:tcPr>
          <w:p>
            <w:r>
              <w:rPr>
                <w:b w:val="false"/>
                <w:bCs w:val="false"/>
                <w:i w:val="false"/>
                <w:iCs w:val="false"/>
              </w:rPr>
              <w:t xml:space="preserve">4 (40)</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747"/>
            <w:tcMar>
              <w:top w:type="dxa" w:w="80"/>
              <w:left w:type="dxa" w:w="100"/>
              <w:bottom w:type="dxa" w:w="80"/>
              <w:right w:type="dxa" w:w="100"/>
            </w:tcMar>
            <w:vAlign w:val="top"/>
          </w:tcPr>
          <w:p>
            <w:r>
              <w:rPr>
                <w:b w:val="false"/>
                <w:bCs w:val="false"/>
                <w:i w:val="false"/>
                <w:iCs w:val="false"/>
              </w:rPr>
              <w:t xml:space="preserve">1 (5)</w:t>
            </w:r>
          </w:p>
        </w:tc>
        <w:tc>
          <w:tcPr>
            <w:tcW w:type="dxa" w:w="1097"/>
            <w:tcMar>
              <w:top w:type="dxa" w:w="80"/>
              <w:left w:type="dxa" w:w="100"/>
              <w:bottom w:type="dxa" w:w="80"/>
              <w:right w:type="dxa" w:w="100"/>
            </w:tcMar>
            <w:vAlign w:val="top"/>
          </w:tcPr>
          <w:p>
            <w:r>
              <w:rPr>
                <w:b w:val="false"/>
                <w:bCs w:val="false"/>
                <w:i w:val="false"/>
                <w:iCs w:val="false"/>
              </w:rPr>
              <w:t xml:space="preserve">240</w:t>
            </w:r>
          </w:p>
        </w:tc>
      </w:tr>
      <w:tr>
        <w:tc>
          <w:tcPr>
            <w:tcW w:type="dxa" w:w="1693"/>
            <w:tcMar>
              <w:top w:type="dxa" w:w="80"/>
              <w:left w:type="dxa" w:w="100"/>
              <w:bottom w:type="dxa" w:w="80"/>
              <w:right w:type="dxa" w:w="100"/>
            </w:tcMar>
            <w:vAlign w:val="top"/>
          </w:tcPr>
          <w:p>
            <w:r>
              <w:rPr>
                <w:b w:val="false"/>
                <w:bCs w:val="false"/>
                <w:i w:val="false"/>
                <w:iCs w:val="false"/>
              </w:rPr>
              <w:t xml:space="preserve">6 — ServiceNow NSC</w:t>
            </w:r>
          </w:p>
        </w:tc>
        <w:tc>
          <w:tcPr>
            <w:tcW w:type="dxa" w:w="846"/>
            <w:tcMar>
              <w:top w:type="dxa" w:w="80"/>
              <w:left w:type="dxa" w:w="100"/>
              <w:bottom w:type="dxa" w:w="80"/>
              <w:right w:type="dxa" w:w="100"/>
            </w:tcMar>
            <w:vAlign w:val="top"/>
          </w:tcPr>
          <w:p>
            <w:r>
              <w:rPr>
                <w:b w:val="false"/>
                <w:bCs w:val="false"/>
                <w:i w:val="false"/>
                <w:iCs w:val="false"/>
              </w:rPr>
              <w:t xml:space="preserve">5 (100)</w:t>
            </w:r>
          </w:p>
        </w:tc>
        <w:tc>
          <w:tcPr>
            <w:tcW w:type="dxa" w:w="846"/>
            <w:tcMar>
              <w:top w:type="dxa" w:w="80"/>
              <w:left w:type="dxa" w:w="100"/>
              <w:bottom w:type="dxa" w:w="80"/>
              <w:right w:type="dxa" w:w="100"/>
            </w:tcMar>
            <w:vAlign w:val="top"/>
          </w:tcPr>
          <w:p>
            <w:r>
              <w:rPr>
                <w:b w:val="false"/>
                <w:bCs w:val="false"/>
                <w:i w:val="false"/>
                <w:iCs w:val="false"/>
              </w:rPr>
              <w:t xml:space="preserve">2 (30)</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5 (50)</w:t>
            </w:r>
          </w:p>
        </w:tc>
        <w:tc>
          <w:tcPr>
            <w:tcW w:type="dxa" w:w="747"/>
            <w:tcMar>
              <w:top w:type="dxa" w:w="80"/>
              <w:left w:type="dxa" w:w="100"/>
              <w:bottom w:type="dxa" w:w="80"/>
              <w:right w:type="dxa" w:w="100"/>
            </w:tcMar>
            <w:vAlign w:val="top"/>
          </w:tcPr>
          <w:p>
            <w:r>
              <w:rPr>
                <w:b w:val="false"/>
                <w:bCs w:val="false"/>
                <w:i w:val="false"/>
                <w:iCs w:val="false"/>
              </w:rPr>
              <w:t xml:space="preserve">5 (25)</w:t>
            </w:r>
          </w:p>
        </w:tc>
        <w:tc>
          <w:tcPr>
            <w:tcW w:type="dxa" w:w="747"/>
            <w:tcMar>
              <w:top w:type="dxa" w:w="80"/>
              <w:left w:type="dxa" w:w="100"/>
              <w:bottom w:type="dxa" w:w="80"/>
              <w:right w:type="dxa" w:w="100"/>
            </w:tcMar>
            <w:vAlign w:val="top"/>
          </w:tcPr>
          <w:p>
            <w:r>
              <w:rPr>
                <w:b w:val="false"/>
                <w:bCs w:val="false"/>
                <w:i w:val="false"/>
                <w:iCs w:val="false"/>
              </w:rPr>
              <w:t xml:space="preserve">1 (5)</w:t>
            </w:r>
          </w:p>
        </w:tc>
        <w:tc>
          <w:tcPr>
            <w:tcW w:type="dxa" w:w="1097"/>
            <w:tcMar>
              <w:top w:type="dxa" w:w="80"/>
              <w:left w:type="dxa" w:w="100"/>
              <w:bottom w:type="dxa" w:w="80"/>
              <w:right w:type="dxa" w:w="100"/>
            </w:tcMar>
            <w:vAlign w:val="top"/>
          </w:tcPr>
          <w:p>
            <w:r>
              <w:rPr>
                <w:b w:val="false"/>
                <w:bCs w:val="false"/>
                <w:i w:val="false"/>
                <w:iCs w:val="false"/>
              </w:rPr>
              <w:t xml:space="preserve">375</w:t>
            </w:r>
          </w:p>
        </w:tc>
      </w:tr>
      <w:tr>
        <w:tc>
          <w:tcPr>
            <w:tcW w:type="dxa" w:w="1693"/>
            <w:tcMar>
              <w:top w:type="dxa" w:w="80"/>
              <w:left w:type="dxa" w:w="100"/>
              <w:bottom w:type="dxa" w:w="80"/>
              <w:right w:type="dxa" w:w="100"/>
            </w:tcMar>
            <w:vAlign w:val="top"/>
          </w:tcPr>
          <w:p>
            <w:r>
              <w:rPr>
                <w:b w:val="false"/>
                <w:bCs w:val="false"/>
                <w:i w:val="false"/>
                <w:iCs w:val="false"/>
              </w:rPr>
              <w:t xml:space="preserve">7 — Salesforce Gov Cloud+</w:t>
            </w:r>
          </w:p>
        </w:tc>
        <w:tc>
          <w:tcPr>
            <w:tcW w:type="dxa" w:w="846"/>
            <w:tcMar>
              <w:top w:type="dxa" w:w="80"/>
              <w:left w:type="dxa" w:w="100"/>
              <w:bottom w:type="dxa" w:w="80"/>
              <w:right w:type="dxa" w:w="100"/>
            </w:tcMar>
            <w:vAlign w:val="top"/>
          </w:tcPr>
          <w:p>
            <w:r>
              <w:rPr>
                <w:b w:val="false"/>
                <w:bCs w:val="false"/>
                <w:i w:val="false"/>
                <w:iCs w:val="false"/>
              </w:rPr>
              <w:t xml:space="preserve">2 (40)</w:t>
            </w:r>
          </w:p>
        </w:tc>
        <w:tc>
          <w:tcPr>
            <w:tcW w:type="dxa" w:w="846"/>
            <w:tcMar>
              <w:top w:type="dxa" w:w="80"/>
              <w:left w:type="dxa" w:w="100"/>
              <w:bottom w:type="dxa" w:w="80"/>
              <w:right w:type="dxa" w:w="100"/>
            </w:tcMar>
            <w:vAlign w:val="top"/>
          </w:tcPr>
          <w:p>
            <w:r>
              <w:rPr>
                <w:b w:val="false"/>
                <w:bCs w:val="false"/>
                <w:i w:val="false"/>
                <w:iCs w:val="false"/>
              </w:rPr>
              <w:t xml:space="preserve">2 (30)</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4 (60)</w:t>
            </w:r>
          </w:p>
        </w:tc>
        <w:tc>
          <w:tcPr>
            <w:tcW w:type="dxa" w:w="846"/>
            <w:tcMar>
              <w:top w:type="dxa" w:w="80"/>
              <w:left w:type="dxa" w:w="100"/>
              <w:bottom w:type="dxa" w:w="80"/>
              <w:right w:type="dxa" w:w="100"/>
            </w:tcMar>
            <w:vAlign w:val="top"/>
          </w:tcPr>
          <w:p>
            <w:r>
              <w:rPr>
                <w:b w:val="false"/>
                <w:bCs w:val="false"/>
                <w:i w:val="false"/>
                <w:iCs w:val="false"/>
              </w:rPr>
              <w:t xml:space="preserve">3 (45)</w:t>
            </w:r>
          </w:p>
        </w:tc>
        <w:tc>
          <w:tcPr>
            <w:tcW w:type="dxa" w:w="846"/>
            <w:tcMar>
              <w:top w:type="dxa" w:w="80"/>
              <w:left w:type="dxa" w:w="100"/>
              <w:bottom w:type="dxa" w:w="80"/>
              <w:right w:type="dxa" w:w="100"/>
            </w:tcMar>
            <w:vAlign w:val="top"/>
          </w:tcPr>
          <w:p>
            <w:r>
              <w:rPr>
                <w:b w:val="false"/>
                <w:bCs w:val="false"/>
                <w:i w:val="false"/>
                <w:iCs w:val="false"/>
              </w:rPr>
              <w:t xml:space="preserve">4 (40)</w:t>
            </w:r>
          </w:p>
        </w:tc>
        <w:tc>
          <w:tcPr>
            <w:tcW w:type="dxa" w:w="747"/>
            <w:tcMar>
              <w:top w:type="dxa" w:w="80"/>
              <w:left w:type="dxa" w:w="100"/>
              <w:bottom w:type="dxa" w:w="80"/>
              <w:right w:type="dxa" w:w="100"/>
            </w:tcMar>
            <w:vAlign w:val="top"/>
          </w:tcPr>
          <w:p>
            <w:r>
              <w:rPr>
                <w:b w:val="false"/>
                <w:bCs w:val="false"/>
                <w:i w:val="false"/>
                <w:iCs w:val="false"/>
              </w:rPr>
              <w:t xml:space="preserve">3 (15)</w:t>
            </w:r>
          </w:p>
        </w:tc>
        <w:tc>
          <w:tcPr>
            <w:tcW w:type="dxa" w:w="747"/>
            <w:tcMar>
              <w:top w:type="dxa" w:w="80"/>
              <w:left w:type="dxa" w:w="100"/>
              <w:bottom w:type="dxa" w:w="80"/>
              <w:right w:type="dxa" w:w="100"/>
            </w:tcMar>
            <w:vAlign w:val="top"/>
          </w:tcPr>
          <w:p>
            <w:r>
              <w:rPr>
                <w:b w:val="false"/>
                <w:bCs w:val="false"/>
                <w:i w:val="false"/>
                <w:iCs w:val="false"/>
              </w:rPr>
              <w:t xml:space="preserve">1 (5)</w:t>
            </w:r>
          </w:p>
        </w:tc>
        <w:tc>
          <w:tcPr>
            <w:tcW w:type="dxa" w:w="1097"/>
            <w:tcMar>
              <w:top w:type="dxa" w:w="80"/>
              <w:left w:type="dxa" w:w="100"/>
              <w:bottom w:type="dxa" w:w="80"/>
              <w:right w:type="dxa" w:w="100"/>
            </w:tcMar>
            <w:vAlign w:val="top"/>
          </w:tcPr>
          <w:p>
            <w:r>
              <w:rPr>
                <w:b w:val="false"/>
                <w:bCs w:val="false"/>
                <w:i w:val="false"/>
                <w:iCs w:val="false"/>
              </w:rPr>
              <w:t xml:space="preserve">280</w:t>
            </w:r>
          </w:p>
        </w:tc>
      </w:tr>
    </w:tbl>
    <w:p>
      <w:pPr>
        <w:spacing w:after="120"/>
      </w:pPr>
    </w:p>
    <w:p>
      <w:pPr>
        <w:spacing w:after="160"/>
      </w:pPr>
      <w:r>
        <w:t xml:space="preserve">Alternative 3 (Firepit/Forge) scores highest at 455 points, ahead of Alternative 2 (Power Apps / Power Platform) at 405. This revision (v2.3) corrects three criterion scores for Firepit/Forge that the original draft underrated based on hands-on build experience: ease of implementation (raised from 4 to 5 — Firepit's front end can be authored in React, an industry-standard framework with a substantially larger available developer pool than Power Apps' proprietary canvas-app tooling), maintainability and sustainment (raised from 3 to 5 — for the same reason, plus the built-in decompiler), and scalability and future growth (raised from 3 to 5 — Forge compiles to a self-provisioning package that auto-creates its own SharePoint lists on deployment, making it redeployable to any IPT within TTSD, and with minor tweaks, across NAVWAR, rather than a one-off build for a single team). Section 15 explains why Firepit/Forge is the recommended alternative: it now leads on the weighted score itself, and it separately wins on security-artifact generation and application-suite consolidation, two additional factors reinforcing the same conclusion.</w:t>
      </w:r>
    </w:p>
    <w:p>
      <w:pPr>
        <w:spacing w:after="160"/>
      </w:pPr>
      <w:r>
        <w:t xml:space="preserve">Alternative 6 (ServiceNow NSC) scores a strong 375 — the best of the external options by a wide margin, reflecting excellent functional fit and mature reporting. Its score is held back where the barriers actually are: implementation ease (procurement cycle, sponsorship, configuration effort) and cost (quote-based enterprise licensing with no identified budget line). Its Env. Fit score of 3 reflects that while NSC is a mature, capable platform, it still constitutes a second, separately-administered environment outside Flank Speed rather than living inside the boundary the team already operates in.</w:t>
      </w:r>
    </w:p>
    <w:p>
      <w:pPr>
        <w:spacing w:after="160"/>
      </w:pPr>
      <w:r>
        <w:t xml:space="preserve">Alternative 4 (Confluence/Jira) and Alternative 1 (Status Quo) tie at 300 points for different reasons: Status Quo scores well on ease/cost/access because there is nothing to build, while Confluence/Jira scores well on functional fit but is severely penalized on the Environment Fit criterion, since it sits entirely outside Flank Speed, which this analysis treats as a near-disqualifying factor regardless of its 15-point weight (see Section 10).</w:t>
      </w:r>
    </w:p>
    <w:p>
      <w:pPr>
        <w:spacing w:after="160"/>
      </w:pPr>
      <w:r>
        <w:t xml:space="preserve">Alternative 5 (Custom Web Application) scores lowest on environment fit, security, and cost. It requires external hosting, a dedicated developer, and a redundant security review path not appropriate for an internal planning tool of this size and urgency.</w:t>
      </w:r>
    </w:p>
    <w:p>
      <w:pPr>
        <w:spacing w:after="160"/>
      </w:pPr>
      <w:r>
        <w:t xml:space="preserve">Alternative 7 (Salesforce Government Cloud Plus) scores 280 — added in this revision (v2.3) as a second non-Microsoft reference point alongside Alternative 6, so the external-SaaS category is not evaluated against a single vendor. It scores respectably on security and reporting, but its functional fit is weak: it is a CRM platform, not a purpose-built project or portfolio management tool, which caps its requirements and ease-of-implementation scores well below both Alternative 6 and the in-Flank-Speed options.</w:t>
      </w:r>
    </w:p>
    <w:p>
      <w:pPr>
        <w:pStyle w:val="Heading1"/>
        <w:spacing w:after="160" w:before="360"/>
      </w:pPr>
      <w:r>
        <w:rPr>
          <w:b/>
          <w:bCs/>
        </w:rPr>
        <w:t xml:space="preserve">13. Cost, Schedule, Performance, and Risk Comparison</w:t>
      </w:r>
    </w:p>
    <w:p>
      <w:pPr>
        <w:spacing w:after="160"/>
      </w:pPr>
      <w:r>
        <w:t xml:space="preserve">The table below summarizes the key trade-space dimensions for each alternative. These are qualitative assessments based on team knowledge, the Firepit/Forge technical review, and current public research on the external platform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006"/>
        <w:gridCol w:w="2006"/>
        <w:gridCol w:w="2006"/>
        <w:gridCol w:w="2005"/>
      </w:tblGrid>
      <w:tr>
        <w:trPr>
          <w:tblHeader/>
        </w:trPr>
        <w:tc>
          <w:tcPr>
            <w:tcW w:type="dxa" w:w="1337"/>
            <w:shd w:fill="D9D9D9" w:val="clear"/>
            <w:tcMar>
              <w:top w:type="dxa" w:w="80"/>
              <w:left w:type="dxa" w:w="100"/>
              <w:bottom w:type="dxa" w:w="80"/>
              <w:right w:type="dxa" w:w="100"/>
            </w:tcMar>
            <w:vAlign w:val="top"/>
          </w:tcPr>
          <w:p>
            <w:r>
              <w:rPr>
                <w:b/>
                <w:bCs/>
                <w:i w:val="false"/>
                <w:iCs w:val="false"/>
              </w:rPr>
              <w:t xml:space="preserve">Alternative</w:t>
            </w:r>
          </w:p>
        </w:tc>
        <w:tc>
          <w:tcPr>
            <w:tcW w:type="dxa" w:w="2006"/>
            <w:shd w:fill="D9D9D9" w:val="clear"/>
            <w:tcMar>
              <w:top w:type="dxa" w:w="80"/>
              <w:left w:type="dxa" w:w="100"/>
              <w:bottom w:type="dxa" w:w="80"/>
              <w:right w:type="dxa" w:w="100"/>
            </w:tcMar>
            <w:vAlign w:val="top"/>
          </w:tcPr>
          <w:p>
            <w:r>
              <w:rPr>
                <w:b/>
                <w:bCs/>
                <w:i w:val="false"/>
                <w:iCs w:val="false"/>
              </w:rPr>
              <w:t xml:space="preserve">Cost / Licensing Burden</w:t>
            </w:r>
          </w:p>
        </w:tc>
        <w:tc>
          <w:tcPr>
            <w:tcW w:type="dxa" w:w="2006"/>
            <w:shd w:fill="D9D9D9" w:val="clear"/>
            <w:tcMar>
              <w:top w:type="dxa" w:w="80"/>
              <w:left w:type="dxa" w:w="100"/>
              <w:bottom w:type="dxa" w:w="80"/>
              <w:right w:type="dxa" w:w="100"/>
            </w:tcMar>
            <w:vAlign w:val="top"/>
          </w:tcPr>
          <w:p>
            <w:r>
              <w:rPr>
                <w:b/>
                <w:bCs/>
                <w:i w:val="false"/>
                <w:iCs w:val="false"/>
              </w:rPr>
              <w:t xml:space="preserve">Schedule Impact</w:t>
            </w:r>
          </w:p>
        </w:tc>
        <w:tc>
          <w:tcPr>
            <w:tcW w:type="dxa" w:w="2006"/>
            <w:shd w:fill="D9D9D9" w:val="clear"/>
            <w:tcMar>
              <w:top w:type="dxa" w:w="80"/>
              <w:left w:type="dxa" w:w="100"/>
              <w:bottom w:type="dxa" w:w="80"/>
              <w:right w:type="dxa" w:w="100"/>
            </w:tcMar>
            <w:vAlign w:val="top"/>
          </w:tcPr>
          <w:p>
            <w:r>
              <w:rPr>
                <w:b/>
                <w:bCs/>
                <w:i w:val="false"/>
                <w:iCs w:val="false"/>
              </w:rPr>
              <w:t xml:space="preserve">Performance / Mission Utility</w:t>
            </w:r>
          </w:p>
        </w:tc>
        <w:tc>
          <w:tcPr>
            <w:tcW w:type="dxa" w:w="2005"/>
            <w:shd w:fill="D9D9D9" w:val="clear"/>
            <w:tcMar>
              <w:top w:type="dxa" w:w="80"/>
              <w:left w:type="dxa" w:w="100"/>
              <w:bottom w:type="dxa" w:w="80"/>
              <w:right w:type="dxa" w:w="100"/>
            </w:tcMar>
            <w:vAlign w:val="top"/>
          </w:tcPr>
          <w:p>
            <w:r>
              <w:rPr>
                <w:b/>
                <w:bCs/>
                <w:i w:val="false"/>
                <w:iCs w:val="false"/>
              </w:rPr>
              <w:t xml:space="preserve">Sustainment Risk</w:t>
            </w:r>
          </w:p>
        </w:tc>
      </w:tr>
      <w:tr>
        <w:tc>
          <w:tcPr>
            <w:tcW w:type="dxa" w:w="1337"/>
            <w:tcMar>
              <w:top w:type="dxa" w:w="80"/>
              <w:left w:type="dxa" w:w="100"/>
              <w:bottom w:type="dxa" w:w="80"/>
              <w:right w:type="dxa" w:w="100"/>
            </w:tcMar>
            <w:vAlign w:val="top"/>
          </w:tcPr>
          <w:p>
            <w:r>
              <w:rPr>
                <w:b w:val="false"/>
                <w:bCs w:val="false"/>
                <w:i w:val="false"/>
                <w:iCs w:val="false"/>
              </w:rPr>
              <w:t xml:space="preserve">1 — Status Quo</w:t>
            </w:r>
          </w:p>
        </w:tc>
        <w:tc>
          <w:tcPr>
            <w:tcW w:type="dxa" w:w="2006"/>
            <w:tcMar>
              <w:top w:type="dxa" w:w="80"/>
              <w:left w:type="dxa" w:w="100"/>
              <w:bottom w:type="dxa" w:w="80"/>
              <w:right w:type="dxa" w:w="100"/>
            </w:tcMar>
            <w:vAlign w:val="top"/>
          </w:tcPr>
          <w:p>
            <w:r>
              <w:rPr>
                <w:b w:val="false"/>
                <w:bCs w:val="false"/>
                <w:i w:val="false"/>
                <w:iCs w:val="false"/>
              </w:rPr>
              <w:t xml:space="preserve">None</w:t>
            </w:r>
          </w:p>
        </w:tc>
        <w:tc>
          <w:tcPr>
            <w:tcW w:type="dxa" w:w="2006"/>
            <w:tcMar>
              <w:top w:type="dxa" w:w="80"/>
              <w:left w:type="dxa" w:w="100"/>
              <w:bottom w:type="dxa" w:w="80"/>
              <w:right w:type="dxa" w:w="100"/>
            </w:tcMar>
            <w:vAlign w:val="top"/>
          </w:tcPr>
          <w:p>
            <w:r>
              <w:rPr>
                <w:b w:val="false"/>
                <w:bCs w:val="false"/>
                <w:i w:val="false"/>
                <w:iCs w:val="false"/>
              </w:rPr>
              <w:t xml:space="preserve">None — problem persists indefinitely.</w:t>
            </w:r>
          </w:p>
        </w:tc>
        <w:tc>
          <w:tcPr>
            <w:tcW w:type="dxa" w:w="2006"/>
            <w:tcMar>
              <w:top w:type="dxa" w:w="80"/>
              <w:left w:type="dxa" w:w="100"/>
              <w:bottom w:type="dxa" w:w="80"/>
              <w:right w:type="dxa" w:w="100"/>
            </w:tcMar>
            <w:vAlign w:val="top"/>
          </w:tcPr>
          <w:p>
            <w:r>
              <w:rPr>
                <w:b w:val="false"/>
                <w:bCs w:val="false"/>
                <w:i w:val="false"/>
                <w:iCs w:val="false"/>
              </w:rPr>
              <w:t xml:space="preserve">None to implement; high risk of continued data fragmentation.</w:t>
            </w:r>
          </w:p>
        </w:tc>
        <w:tc>
          <w:tcPr>
            <w:tcW w:type="dxa" w:w="2005"/>
            <w:tcMar>
              <w:top w:type="dxa" w:w="80"/>
              <w:left w:type="dxa" w:w="100"/>
              <w:bottom w:type="dxa" w:w="80"/>
              <w:right w:type="dxa" w:w="100"/>
            </w:tcMar>
            <w:vAlign w:val="top"/>
          </w:tcPr>
          <w:p>
            <w:r>
              <w:rPr>
                <w:b w:val="false"/>
                <w:bCs w:val="false"/>
                <w:i w:val="false"/>
                <w:iCs w:val="false"/>
              </w:rPr>
              <w:t xml:space="preserve">High — manual processes degrade as team turns over.</w:t>
            </w:r>
          </w:p>
        </w:tc>
      </w:tr>
      <w:tr>
        <w:tc>
          <w:tcPr>
            <w:tcW w:type="dxa" w:w="1337"/>
            <w:tcMar>
              <w:top w:type="dxa" w:w="80"/>
              <w:left w:type="dxa" w:w="100"/>
              <w:bottom w:type="dxa" w:w="80"/>
              <w:right w:type="dxa" w:w="100"/>
            </w:tcMar>
            <w:vAlign w:val="top"/>
          </w:tcPr>
          <w:p>
            <w:r>
              <w:rPr>
                <w:b w:val="false"/>
                <w:bCs w:val="false"/>
                <w:i w:val="false"/>
                <w:iCs w:val="false"/>
              </w:rPr>
              <w:t xml:space="preserve">2 — Power Apps / Power Platform</w:t>
            </w:r>
          </w:p>
        </w:tc>
        <w:tc>
          <w:tcPr>
            <w:tcW w:type="dxa" w:w="2006"/>
            <w:tcMar>
              <w:top w:type="dxa" w:w="80"/>
              <w:left w:type="dxa" w:w="100"/>
              <w:bottom w:type="dxa" w:w="80"/>
              <w:right w:type="dxa" w:w="100"/>
            </w:tcMar>
            <w:vAlign w:val="top"/>
          </w:tcPr>
          <w:p>
            <w:r>
              <w:rPr>
                <w:b w:val="false"/>
                <w:bCs w:val="false"/>
                <w:i w:val="false"/>
                <w:iCs w:val="false"/>
              </w:rPr>
              <w:t xml:space="preserve">None above current Flank Speed entitlements.</w:t>
            </w:r>
          </w:p>
        </w:tc>
        <w:tc>
          <w:tcPr>
            <w:tcW w:type="dxa" w:w="2006"/>
            <w:tcMar>
              <w:top w:type="dxa" w:w="80"/>
              <w:left w:type="dxa" w:w="100"/>
              <w:bottom w:type="dxa" w:w="80"/>
              <w:right w:type="dxa" w:w="100"/>
            </w:tcMar>
            <w:vAlign w:val="top"/>
          </w:tcPr>
          <w:p>
            <w:r>
              <w:rPr>
                <w:b w:val="false"/>
                <w:bCs w:val="false"/>
                <w:i w:val="false"/>
                <w:iCs w:val="false"/>
              </w:rPr>
              <w:t xml:space="preserve">Moderate — a minimum viable version is achievable within the internship, but three tools require integration effort.</w:t>
            </w:r>
          </w:p>
        </w:tc>
        <w:tc>
          <w:tcPr>
            <w:tcW w:type="dxa" w:w="2006"/>
            <w:tcMar>
              <w:top w:type="dxa" w:w="80"/>
              <w:left w:type="dxa" w:w="100"/>
              <w:bottom w:type="dxa" w:w="80"/>
              <w:right w:type="dxa" w:w="100"/>
            </w:tcMar>
            <w:vAlign w:val="top"/>
          </w:tcPr>
          <w:p>
            <w:r>
              <w:rPr>
                <w:b w:val="false"/>
                <w:bCs w:val="false"/>
                <w:i w:val="false"/>
                <w:iCs w:val="false"/>
              </w:rPr>
              <w:t xml:space="preserve">High — addresses all stated needs in a phased, maintainable way once assembled.</w:t>
            </w:r>
          </w:p>
        </w:tc>
        <w:tc>
          <w:tcPr>
            <w:tcW w:type="dxa" w:w="2005"/>
            <w:tcMar>
              <w:top w:type="dxa" w:w="80"/>
              <w:left w:type="dxa" w:w="100"/>
              <w:bottom w:type="dxa" w:w="80"/>
              <w:right w:type="dxa" w:w="100"/>
            </w:tcMar>
            <w:vAlign w:val="top"/>
          </w:tcPr>
          <w:p>
            <w:r>
              <w:rPr>
                <w:b w:val="false"/>
                <w:bCs w:val="false"/>
                <w:i w:val="false"/>
                <w:iCs w:val="false"/>
              </w:rPr>
              <w:t xml:space="preserve">Moderate — SharePoint is maintainable by any user; Power Apps and Power BI require some skill to update.</w:t>
            </w:r>
          </w:p>
        </w:tc>
      </w:tr>
      <w:tr>
        <w:tc>
          <w:tcPr>
            <w:tcW w:type="dxa" w:w="1337"/>
            <w:tcMar>
              <w:top w:type="dxa" w:w="80"/>
              <w:left w:type="dxa" w:w="100"/>
              <w:bottom w:type="dxa" w:w="80"/>
              <w:right w:type="dxa" w:w="100"/>
            </w:tcMar>
            <w:vAlign w:val="top"/>
          </w:tcPr>
          <w:p>
            <w:r>
              <w:rPr>
                <w:b w:val="false"/>
                <w:bCs w:val="false"/>
                <w:i w:val="false"/>
                <w:iCs w:val="false"/>
              </w:rPr>
              <w:t xml:space="preserve">3 — Firepit/Forge</w:t>
            </w:r>
          </w:p>
        </w:tc>
        <w:tc>
          <w:tcPr>
            <w:tcW w:type="dxa" w:w="2006"/>
            <w:tcMar>
              <w:top w:type="dxa" w:w="80"/>
              <w:left w:type="dxa" w:w="100"/>
              <w:bottom w:type="dxa" w:w="80"/>
              <w:right w:type="dxa" w:w="100"/>
            </w:tcMar>
            <w:vAlign w:val="top"/>
          </w:tcPr>
          <w:p>
            <w:r>
              <w:rPr>
                <w:b w:val="false"/>
                <w:bCs w:val="false"/>
                <w:i w:val="false"/>
                <w:iCs w:val="false"/>
              </w:rPr>
              <w:t xml:space="preserve">None above current Flank Speed entitlements; Forge is a free offline authoring tool.</w:t>
            </w:r>
          </w:p>
        </w:tc>
        <w:tc>
          <w:tcPr>
            <w:tcW w:type="dxa" w:w="2006"/>
            <w:tcMar>
              <w:top w:type="dxa" w:w="80"/>
              <w:left w:type="dxa" w:w="100"/>
              <w:bottom w:type="dxa" w:w="80"/>
              <w:right w:type="dxa" w:w="100"/>
            </w:tcMar>
            <w:vAlign w:val="top"/>
          </w:tcPr>
          <w:p>
            <w:r>
              <w:rPr>
                <w:b w:val="false"/>
                <w:bCs w:val="false"/>
                <w:i w:val="false"/>
                <w:iCs w:val="false"/>
              </w:rPr>
              <w:t xml:space="preserve">Moderate to fast — a single-shell application with AI-assisted authoring can move quickly once the SharePoint deployment path is confirmed.</w:t>
            </w:r>
          </w:p>
        </w:tc>
        <w:tc>
          <w:tcPr>
            <w:tcW w:type="dxa" w:w="2006"/>
            <w:tcMar>
              <w:top w:type="dxa" w:w="80"/>
              <w:left w:type="dxa" w:w="100"/>
              <w:bottom w:type="dxa" w:w="80"/>
              <w:right w:type="dxa" w:w="100"/>
            </w:tcMar>
            <w:vAlign w:val="top"/>
          </w:tcPr>
          <w:p>
            <w:r>
              <w:rPr>
                <w:b w:val="false"/>
                <w:bCs w:val="false"/>
                <w:i w:val="false"/>
                <w:iCs w:val="false"/>
              </w:rPr>
              <w:t xml:space="preserve">High — can host the dashboard and the travel request tool, PM hub, and travel calendar as one consistent suite rather than several separate tools.</w:t>
            </w:r>
          </w:p>
        </w:tc>
        <w:tc>
          <w:tcPr>
            <w:tcW w:type="dxa" w:w="2005"/>
            <w:tcMar>
              <w:top w:type="dxa" w:w="80"/>
              <w:left w:type="dxa" w:w="100"/>
              <w:bottom w:type="dxa" w:w="80"/>
              <w:right w:type="dxa" w:w="100"/>
            </w:tcMar>
            <w:vAlign w:val="top"/>
          </w:tcPr>
          <w:p>
            <w:r>
              <w:rPr>
                <w:b w:val="false"/>
                <w:bCs w:val="false"/>
                <w:i w:val="false"/>
                <w:iCs w:val="false"/>
              </w:rPr>
              <w:t xml:space="preserve">Low to moderate — depends on continued sustainment of Forge/Firepit by its originating organization, but React's much larger developer pool than Power Apps' proprietary tooling, plus the built-in decompiler, which preserves an editable source project independent of any one build, substantially reduce this risk.</w:t>
            </w:r>
          </w:p>
        </w:tc>
      </w:tr>
      <w:tr>
        <w:tc>
          <w:tcPr>
            <w:tcW w:type="dxa" w:w="1337"/>
            <w:tcMar>
              <w:top w:type="dxa" w:w="80"/>
              <w:left w:type="dxa" w:w="100"/>
              <w:bottom w:type="dxa" w:w="80"/>
              <w:right w:type="dxa" w:w="100"/>
            </w:tcMar>
            <w:vAlign w:val="top"/>
          </w:tcPr>
          <w:p>
            <w:r>
              <w:rPr>
                <w:b w:val="false"/>
                <w:bCs w:val="false"/>
                <w:i w:val="false"/>
                <w:iCs w:val="false"/>
              </w:rPr>
              <w:t xml:space="preserve">4 — Confluence/Jira</w:t>
            </w:r>
          </w:p>
        </w:tc>
        <w:tc>
          <w:tcPr>
            <w:tcW w:type="dxa" w:w="2006"/>
            <w:tcMar>
              <w:top w:type="dxa" w:w="80"/>
              <w:left w:type="dxa" w:w="100"/>
              <w:bottom w:type="dxa" w:w="80"/>
              <w:right w:type="dxa" w:w="100"/>
            </w:tcMar>
            <w:vAlign w:val="top"/>
          </w:tcPr>
          <w:p>
            <w:r>
              <w:rPr>
                <w:b w:val="false"/>
                <w:bCs w:val="false"/>
                <w:i w:val="false"/>
                <w:iCs w:val="false"/>
              </w:rPr>
              <w:t xml:space="preserve">New licensing cost; government procurement (e.g., through Carahsoft) adds lead time; no current AEWTTR budget line identified.</w:t>
            </w:r>
          </w:p>
        </w:tc>
        <w:tc>
          <w:tcPr>
            <w:tcW w:type="dxa" w:w="2006"/>
            <w:tcMar>
              <w:top w:type="dxa" w:w="80"/>
              <w:left w:type="dxa" w:w="100"/>
              <w:bottom w:type="dxa" w:w="80"/>
              <w:right w:type="dxa" w:w="100"/>
            </w:tcMar>
            <w:vAlign w:val="top"/>
          </w:tcPr>
          <w:p>
            <w:r>
              <w:rPr>
                <w:b w:val="false"/>
                <w:bCs w:val="false"/>
                <w:i w:val="false"/>
                <w:iCs w:val="false"/>
              </w:rPr>
              <w:t xml:space="preserve">Slow — standing up and separately administering a new environment outside Flank Speed likely exceeds the internship, independent of configuration time.</w:t>
            </w:r>
          </w:p>
        </w:tc>
        <w:tc>
          <w:tcPr>
            <w:tcW w:type="dxa" w:w="2006"/>
            <w:tcMar>
              <w:top w:type="dxa" w:w="80"/>
              <w:left w:type="dxa" w:w="100"/>
              <w:bottom w:type="dxa" w:w="80"/>
              <w:right w:type="dxa" w:w="100"/>
            </w:tcMar>
            <w:vAlign w:val="top"/>
          </w:tcPr>
          <w:p>
            <w:r>
              <w:rPr>
                <w:b w:val="false"/>
                <w:bCs w:val="false"/>
                <w:i w:val="false"/>
                <w:iCs w:val="false"/>
              </w:rPr>
              <w:t xml:space="preserve">Would be moderate to high if adoptable, but doing so means maintaining a second, separately-governed environment outside Flank Speed.</w:t>
            </w:r>
          </w:p>
        </w:tc>
        <w:tc>
          <w:tcPr>
            <w:tcW w:type="dxa" w:w="2005"/>
            <w:tcMar>
              <w:top w:type="dxa" w:w="80"/>
              <w:left w:type="dxa" w:w="100"/>
              <w:bottom w:type="dxa" w:w="80"/>
              <w:right w:type="dxa" w:w="100"/>
            </w:tcMar>
            <w:vAlign w:val="top"/>
          </w:tcPr>
          <w:p>
            <w:r>
              <w:rPr>
                <w:b w:val="false"/>
                <w:bCs w:val="false"/>
                <w:i w:val="false"/>
                <w:iCs w:val="false"/>
              </w:rPr>
              <w:t xml:space="preserve">Low if adopted — commercially supported SaaS; the tradeoff is a second environment to govern, not a technical risk.</w:t>
            </w:r>
          </w:p>
        </w:tc>
      </w:tr>
      <w:tr>
        <w:tc>
          <w:tcPr>
            <w:tcW w:type="dxa" w:w="1337"/>
            <w:tcMar>
              <w:top w:type="dxa" w:w="80"/>
              <w:left w:type="dxa" w:w="100"/>
              <w:bottom w:type="dxa" w:w="80"/>
              <w:right w:type="dxa" w:w="100"/>
            </w:tcMar>
            <w:vAlign w:val="top"/>
          </w:tcPr>
          <w:p>
            <w:r>
              <w:rPr>
                <w:b w:val="false"/>
                <w:bCs w:val="false"/>
                <w:i w:val="false"/>
                <w:iCs w:val="false"/>
              </w:rPr>
              <w:t xml:space="preserve">5 — Custom Web App</w:t>
            </w:r>
          </w:p>
        </w:tc>
        <w:tc>
          <w:tcPr>
            <w:tcW w:type="dxa" w:w="2006"/>
            <w:tcMar>
              <w:top w:type="dxa" w:w="80"/>
              <w:left w:type="dxa" w:w="100"/>
              <w:bottom w:type="dxa" w:w="80"/>
              <w:right w:type="dxa" w:w="100"/>
            </w:tcMar>
            <w:vAlign w:val="top"/>
          </w:tcPr>
          <w:p>
            <w:r>
              <w:rPr>
                <w:b w:val="false"/>
                <w:bCs w:val="false"/>
                <w:i w:val="false"/>
                <w:iCs w:val="false"/>
              </w:rPr>
              <w:t xml:space="preserve">Highest of all options — hosting infrastructure, ongoing developer support, and a new, independent security review.</w:t>
            </w:r>
          </w:p>
        </w:tc>
        <w:tc>
          <w:tcPr>
            <w:tcW w:type="dxa" w:w="2006"/>
            <w:tcMar>
              <w:top w:type="dxa" w:w="80"/>
              <w:left w:type="dxa" w:w="100"/>
              <w:bottom w:type="dxa" w:w="80"/>
              <w:right w:type="dxa" w:w="100"/>
            </w:tcMar>
            <w:vAlign w:val="top"/>
          </w:tcPr>
          <w:p>
            <w:r>
              <w:rPr>
                <w:b w:val="false"/>
                <w:bCs w:val="false"/>
                <w:i w:val="false"/>
                <w:iCs w:val="false"/>
              </w:rPr>
              <w:t xml:space="preserve">Cannot realistically be implemented within the internship; standing up and securing a new environment alone typically exceeds it.</w:t>
            </w:r>
          </w:p>
        </w:tc>
        <w:tc>
          <w:tcPr>
            <w:tcW w:type="dxa" w:w="2006"/>
            <w:tcMar>
              <w:top w:type="dxa" w:w="80"/>
              <w:left w:type="dxa" w:w="100"/>
              <w:bottom w:type="dxa" w:w="80"/>
              <w:right w:type="dxa" w:w="100"/>
            </w:tcMar>
            <w:vAlign w:val="top"/>
          </w:tcPr>
          <w:p>
            <w:r>
              <w:rPr>
                <w:b w:val="false"/>
                <w:bCs w:val="false"/>
                <w:i w:val="false"/>
                <w:iCs w:val="false"/>
              </w:rPr>
              <w:t xml:space="preserve">High if built well, but no partial work exists to build on.</w:t>
            </w:r>
          </w:p>
        </w:tc>
        <w:tc>
          <w:tcPr>
            <w:tcW w:type="dxa" w:w="2005"/>
            <w:tcMar>
              <w:top w:type="dxa" w:w="80"/>
              <w:left w:type="dxa" w:w="100"/>
              <w:bottom w:type="dxa" w:w="80"/>
              <w:right w:type="dxa" w:w="100"/>
            </w:tcMar>
            <w:vAlign w:val="top"/>
          </w:tcPr>
          <w:p>
            <w:r>
              <w:rPr>
                <w:b w:val="false"/>
                <w:bCs w:val="false"/>
                <w:i w:val="false"/>
                <w:iCs w:val="false"/>
              </w:rPr>
              <w:t xml:space="preserve">Highest of all options — requires a dedicated developer to maintain, patch, and update indefinitely.</w:t>
            </w:r>
          </w:p>
        </w:tc>
      </w:tr>
      <w:tr>
        <w:tc>
          <w:tcPr>
            <w:tcW w:type="dxa" w:w="1337"/>
            <w:tcMar>
              <w:top w:type="dxa" w:w="80"/>
              <w:left w:type="dxa" w:w="100"/>
              <w:bottom w:type="dxa" w:w="80"/>
              <w:right w:type="dxa" w:w="100"/>
            </w:tcMar>
            <w:vAlign w:val="top"/>
          </w:tcPr>
          <w:p>
            <w:r>
              <w:rPr>
                <w:b w:val="false"/>
                <w:bCs w:val="false"/>
                <w:i w:val="false"/>
                <w:iCs w:val="false"/>
              </w:rPr>
              <w:t xml:space="preserve">6 — ServiceNow NSC</w:t>
            </w:r>
          </w:p>
        </w:tc>
        <w:tc>
          <w:tcPr>
            <w:tcW w:type="dxa" w:w="2006"/>
            <w:tcMar>
              <w:top w:type="dxa" w:w="80"/>
              <w:left w:type="dxa" w:w="100"/>
              <w:bottom w:type="dxa" w:w="80"/>
              <w:right w:type="dxa" w:w="100"/>
            </w:tcMar>
            <w:vAlign w:val="top"/>
          </w:tcPr>
          <w:p>
            <w:r>
              <w:rPr>
                <w:b w:val="false"/>
                <w:bCs w:val="false"/>
                <w:i w:val="false"/>
                <w:iCs w:val="false"/>
              </w:rPr>
              <w:t xml:space="preserve">High — quote-based enterprise licensing with no identified AEWTTR budget line; procurement through a government reseller adds cost and lead time.</w:t>
            </w:r>
          </w:p>
        </w:tc>
        <w:tc>
          <w:tcPr>
            <w:tcW w:type="dxa" w:w="2006"/>
            <w:tcMar>
              <w:top w:type="dxa" w:w="80"/>
              <w:left w:type="dxa" w:w="100"/>
              <w:bottom w:type="dxa" w:w="80"/>
              <w:right w:type="dxa" w:w="100"/>
            </w:tcMar>
            <w:vAlign w:val="top"/>
          </w:tcPr>
          <w:p>
            <w:r>
              <w:rPr>
                <w:b w:val="false"/>
                <w:bCs w:val="false"/>
                <w:i w:val="false"/>
                <w:iCs w:val="false"/>
              </w:rPr>
              <w:t xml:space="preserve">Slow — procurement cycle plus sponsorship and approval to bring on a new external environment almost certainly exceeds the internship, before configuration even begins.</w:t>
            </w:r>
          </w:p>
        </w:tc>
        <w:tc>
          <w:tcPr>
            <w:tcW w:type="dxa" w:w="2006"/>
            <w:tcMar>
              <w:top w:type="dxa" w:w="80"/>
              <w:left w:type="dxa" w:w="100"/>
              <w:bottom w:type="dxa" w:w="80"/>
              <w:right w:type="dxa" w:w="100"/>
            </w:tcMar>
            <w:vAlign w:val="top"/>
          </w:tcPr>
          <w:p>
            <w:r>
              <w:rPr>
                <w:b w:val="false"/>
                <w:bCs w:val="false"/>
                <w:i w:val="false"/>
                <w:iCs w:val="false"/>
              </w:rPr>
              <w:t xml:space="preserve">Very high if adopted — purpose-built portfolio management, mature reporting, and built-in ticketing that could absorb the contractor Jira workflow.</w:t>
            </w:r>
          </w:p>
        </w:tc>
        <w:tc>
          <w:tcPr>
            <w:tcW w:type="dxa" w:w="2005"/>
            <w:tcMar>
              <w:top w:type="dxa" w:w="80"/>
              <w:left w:type="dxa" w:w="100"/>
              <w:bottom w:type="dxa" w:w="80"/>
              <w:right w:type="dxa" w:w="100"/>
            </w:tcMar>
            <w:vAlign w:val="top"/>
          </w:tcPr>
          <w:p>
            <w:r>
              <w:rPr>
                <w:b w:val="false"/>
                <w:bCs w:val="false"/>
                <w:i w:val="false"/>
                <w:iCs w:val="false"/>
              </w:rPr>
              <w:t xml:space="preserve">Low if adopted — commercially supported SaaS with regular updates; the sustainment burden shifts from maintenance to license and contract management.</w:t>
            </w:r>
          </w:p>
        </w:tc>
      </w:tr>
      <w:tr>
        <w:tc>
          <w:tcPr>
            <w:tcW w:type="dxa" w:w="1337"/>
            <w:tcMar>
              <w:top w:type="dxa" w:w="80"/>
              <w:left w:type="dxa" w:w="100"/>
              <w:bottom w:type="dxa" w:w="80"/>
              <w:right w:type="dxa" w:w="100"/>
            </w:tcMar>
            <w:vAlign w:val="top"/>
          </w:tcPr>
          <w:p>
            <w:r>
              <w:rPr>
                <w:b w:val="false"/>
                <w:bCs w:val="false"/>
                <w:i w:val="false"/>
                <w:iCs w:val="false"/>
              </w:rPr>
              <w:t xml:space="preserve">7 — Salesforce Gov Cloud+</w:t>
            </w:r>
          </w:p>
        </w:tc>
        <w:tc>
          <w:tcPr>
            <w:tcW w:type="dxa" w:w="2006"/>
            <w:tcMar>
              <w:top w:type="dxa" w:w="80"/>
              <w:left w:type="dxa" w:w="100"/>
              <w:bottom w:type="dxa" w:w="80"/>
              <w:right w:type="dxa" w:w="100"/>
            </w:tcMar>
            <w:vAlign w:val="top"/>
          </w:tcPr>
          <w:p>
            <w:r>
              <w:rPr>
                <w:b w:val="false"/>
                <w:bCs w:val="false"/>
                <w:i w:val="false"/>
                <w:iCs w:val="false"/>
              </w:rPr>
              <w:t xml:space="preserve">Premium licensing above base platform cost; procurement through a government reseller adds lead time; no identified AEWTTR budget line.</w:t>
            </w:r>
          </w:p>
        </w:tc>
        <w:tc>
          <w:tcPr>
            <w:tcW w:type="dxa" w:w="2006"/>
            <w:tcMar>
              <w:top w:type="dxa" w:w="80"/>
              <w:left w:type="dxa" w:w="100"/>
              <w:bottom w:type="dxa" w:w="80"/>
              <w:right w:type="dxa" w:w="100"/>
            </w:tcMar>
            <w:vAlign w:val="top"/>
          </w:tcPr>
          <w:p>
            <w:r>
              <w:rPr>
                <w:b w:val="false"/>
                <w:bCs w:val="false"/>
                <w:i w:val="false"/>
                <w:iCs w:val="false"/>
              </w:rPr>
              <w:t xml:space="preserve">Slow — heavy customization to reshape a CRM into a project/portfolio tool would likely exceed the internship before configuration matures.</w:t>
            </w:r>
          </w:p>
        </w:tc>
        <w:tc>
          <w:tcPr>
            <w:tcW w:type="dxa" w:w="2006"/>
            <w:tcMar>
              <w:top w:type="dxa" w:w="80"/>
              <w:left w:type="dxa" w:w="100"/>
              <w:bottom w:type="dxa" w:w="80"/>
              <w:right w:type="dxa" w:w="100"/>
            </w:tcMar>
            <w:vAlign w:val="top"/>
          </w:tcPr>
          <w:p>
            <w:r>
              <w:rPr>
                <w:b w:val="false"/>
                <w:bCs w:val="false"/>
                <w:i w:val="false"/>
                <w:iCs w:val="false"/>
              </w:rPr>
              <w:t xml:space="preserve">Moderate — strong reporting and security, but portfolio-tracking fit is incidental to the platform's CRM purpose, not built for it.</w:t>
            </w:r>
          </w:p>
        </w:tc>
        <w:tc>
          <w:tcPr>
            <w:tcW w:type="dxa" w:w="2005"/>
            <w:tcMar>
              <w:top w:type="dxa" w:w="80"/>
              <w:left w:type="dxa" w:w="100"/>
              <w:bottom w:type="dxa" w:w="80"/>
              <w:right w:type="dxa" w:w="100"/>
            </w:tcMar>
            <w:vAlign w:val="top"/>
          </w:tcPr>
          <w:p>
            <w:r>
              <w:rPr>
                <w:b w:val="false"/>
                <w:bCs w:val="false"/>
                <w:i w:val="false"/>
                <w:iCs w:val="false"/>
              </w:rPr>
              <w:t xml:space="preserve">Low to moderate if adopted — commercially supported SaaS, but ongoing customization and license/contract management carry real recurring cost.</w:t>
            </w:r>
          </w:p>
        </w:tc>
      </w:tr>
    </w:tbl>
    <w:p>
      <w:pPr>
        <w:pStyle w:val="Heading1"/>
        <w:spacing w:after="160" w:before="360"/>
      </w:pPr>
      <w:r>
        <w:rPr>
          <w:b/>
          <w:bCs/>
        </w:rPr>
        <w:t xml:space="preserve">14. Alternative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7"/>
        <w:gridCol w:w="2773"/>
        <w:gridCol w:w="4160"/>
      </w:tblGrid>
      <w:tr>
        <w:trPr>
          <w:tblHeader/>
        </w:trPr>
        <w:tc>
          <w:tcPr>
            <w:tcW w:type="dxa" w:w="2427"/>
            <w:shd w:fill="D9D9D9" w:val="clear"/>
            <w:tcMar>
              <w:top w:type="dxa" w:w="80"/>
              <w:left w:type="dxa" w:w="100"/>
              <w:bottom w:type="dxa" w:w="80"/>
              <w:right w:type="dxa" w:w="100"/>
            </w:tcMar>
            <w:vAlign w:val="top"/>
          </w:tcPr>
          <w:p>
            <w:r>
              <w:rPr>
                <w:b/>
                <w:bCs/>
                <w:i w:val="false"/>
                <w:iCs w:val="false"/>
              </w:rPr>
              <w:t xml:space="preserve">Dimension</w:t>
            </w:r>
          </w:p>
        </w:tc>
        <w:tc>
          <w:tcPr>
            <w:tcW w:type="dxa" w:w="2773"/>
            <w:shd w:fill="D9D9D9" w:val="clear"/>
            <w:tcMar>
              <w:top w:type="dxa" w:w="80"/>
              <w:left w:type="dxa" w:w="100"/>
              <w:bottom w:type="dxa" w:w="80"/>
              <w:right w:type="dxa" w:w="100"/>
            </w:tcMar>
            <w:vAlign w:val="top"/>
          </w:tcPr>
          <w:p>
            <w:r>
              <w:rPr>
                <w:b/>
                <w:bCs/>
                <w:i w:val="false"/>
                <w:iCs w:val="false"/>
              </w:rPr>
              <w:t xml:space="preserve">Best Option</w:t>
            </w:r>
          </w:p>
        </w:tc>
        <w:tc>
          <w:tcPr>
            <w:tcW w:type="dxa" w:w="4160"/>
            <w:shd w:fill="D9D9D9" w:val="clear"/>
            <w:tcMar>
              <w:top w:type="dxa" w:w="80"/>
              <w:left w:type="dxa" w:w="100"/>
              <w:bottom w:type="dxa" w:w="80"/>
              <w:right w:type="dxa" w:w="100"/>
            </w:tcMar>
            <w:vAlign w:val="top"/>
          </w:tcPr>
          <w:p>
            <w:r>
              <w:rPr>
                <w:b/>
                <w:bCs/>
                <w:i w:val="false"/>
                <w:iCs w:val="false"/>
              </w:rPr>
              <w:t xml:space="preserve">Notes</w:t>
            </w:r>
          </w:p>
        </w:tc>
      </w:tr>
      <w:tr>
        <w:tc>
          <w:tcPr>
            <w:tcW w:type="dxa" w:w="2427"/>
            <w:tcMar>
              <w:top w:type="dxa" w:w="80"/>
              <w:left w:type="dxa" w:w="100"/>
              <w:bottom w:type="dxa" w:w="80"/>
              <w:right w:type="dxa" w:w="100"/>
            </w:tcMar>
            <w:vAlign w:val="top"/>
          </w:tcPr>
          <w:p>
            <w:r>
              <w:rPr>
                <w:b w:val="false"/>
                <w:bCs w:val="false"/>
                <w:i w:val="false"/>
                <w:iCs w:val="false"/>
              </w:rPr>
              <w:t xml:space="preserve">Fastest to implement</w:t>
            </w:r>
          </w:p>
        </w:tc>
        <w:tc>
          <w:tcPr>
            <w:tcW w:type="dxa" w:w="2773"/>
            <w:tcMar>
              <w:top w:type="dxa" w:w="80"/>
              <w:left w:type="dxa" w:w="100"/>
              <w:bottom w:type="dxa" w:w="80"/>
              <w:right w:type="dxa" w:w="100"/>
            </w:tcMar>
            <w:vAlign w:val="top"/>
          </w:tcPr>
          <w:p>
            <w:r>
              <w:rPr>
                <w:b w:val="false"/>
                <w:bCs w:val="false"/>
                <w:i w:val="false"/>
                <w:iCs w:val="false"/>
              </w:rPr>
              <w:t xml:space="preserve">Alt. 1 — Status Quo (trivially) / Alt. 3 — Firepit/Forge (of the real options)</w:t>
            </w:r>
          </w:p>
        </w:tc>
        <w:tc>
          <w:tcPr>
            <w:tcW w:type="dxa" w:w="4160"/>
            <w:tcMar>
              <w:top w:type="dxa" w:w="80"/>
              <w:left w:type="dxa" w:w="100"/>
              <w:bottom w:type="dxa" w:w="80"/>
              <w:right w:type="dxa" w:w="100"/>
            </w:tcMar>
            <w:vAlign w:val="top"/>
          </w:tcPr>
          <w:p>
            <w:r>
              <w:rPr>
                <w:b w:val="false"/>
                <w:bCs w:val="false"/>
                <w:i w:val="false"/>
                <w:iCs w:val="false"/>
              </w:rPr>
              <w:t xml:space="preserve">Firepit/Forge benefits from AI-assisted offline authoring and a build that has already started.</w:t>
            </w:r>
          </w:p>
        </w:tc>
      </w:tr>
      <w:tr>
        <w:tc>
          <w:tcPr>
            <w:tcW w:type="dxa" w:w="2427"/>
            <w:tcMar>
              <w:top w:type="dxa" w:w="80"/>
              <w:left w:type="dxa" w:w="100"/>
              <w:bottom w:type="dxa" w:w="80"/>
              <w:right w:type="dxa" w:w="100"/>
            </w:tcMar>
            <w:vAlign w:val="top"/>
          </w:tcPr>
          <w:p>
            <w:r>
              <w:rPr>
                <w:b w:val="false"/>
                <w:bCs w:val="false"/>
                <w:i w:val="false"/>
                <w:iCs w:val="false"/>
              </w:rPr>
              <w:t xml:space="preserve">Lowest implementation effort</w:t>
            </w:r>
          </w:p>
        </w:tc>
        <w:tc>
          <w:tcPr>
            <w:tcW w:type="dxa" w:w="2773"/>
            <w:tcMar>
              <w:top w:type="dxa" w:w="80"/>
              <w:left w:type="dxa" w:w="100"/>
              <w:bottom w:type="dxa" w:w="80"/>
              <w:right w:type="dxa" w:w="100"/>
            </w:tcMar>
            <w:vAlign w:val="top"/>
          </w:tcPr>
          <w:p>
            <w:r>
              <w:rPr>
                <w:b w:val="false"/>
                <w:bCs w:val="false"/>
                <w:i w:val="false"/>
                <w:iCs w:val="false"/>
              </w:rPr>
              <w:t xml:space="preserve">Alt. 2 — Power Apps / Power Platform</w:t>
            </w:r>
          </w:p>
        </w:tc>
        <w:tc>
          <w:tcPr>
            <w:tcW w:type="dxa" w:w="4160"/>
            <w:tcMar>
              <w:top w:type="dxa" w:w="80"/>
              <w:left w:type="dxa" w:w="100"/>
              <w:bottom w:type="dxa" w:w="80"/>
              <w:right w:type="dxa" w:w="100"/>
            </w:tcMar>
            <w:vAlign w:val="top"/>
          </w:tcPr>
          <w:p>
            <w:r>
              <w:rPr>
                <w:b w:val="false"/>
                <w:bCs w:val="false"/>
                <w:i w:val="false"/>
                <w:iCs w:val="false"/>
              </w:rPr>
              <w:t xml:space="preserve">Builds on what already exists in the project tracker list and the peer IPT's (GPETE [Confirm]) precedent.</w:t>
            </w:r>
          </w:p>
        </w:tc>
      </w:tr>
      <w:tr>
        <w:tc>
          <w:tcPr>
            <w:tcW w:type="dxa" w:w="2427"/>
            <w:tcMar>
              <w:top w:type="dxa" w:w="80"/>
              <w:left w:type="dxa" w:w="100"/>
              <w:bottom w:type="dxa" w:w="80"/>
              <w:right w:type="dxa" w:w="100"/>
            </w:tcMar>
            <w:vAlign w:val="top"/>
          </w:tcPr>
          <w:p>
            <w:r>
              <w:rPr>
                <w:b w:val="false"/>
                <w:bCs w:val="false"/>
                <w:i w:val="false"/>
                <w:iCs w:val="false"/>
              </w:rPr>
              <w:t xml:space="preserve">Best long-term architecture</w:t>
            </w:r>
          </w:p>
        </w:tc>
        <w:tc>
          <w:tcPr>
            <w:tcW w:type="dxa" w:w="2773"/>
            <w:tcMar>
              <w:top w:type="dxa" w:w="80"/>
              <w:left w:type="dxa" w:w="100"/>
              <w:bottom w:type="dxa" w:w="80"/>
              <w:right w:type="dxa" w:w="100"/>
            </w:tcMar>
            <w:vAlign w:val="top"/>
          </w:tcPr>
          <w:p>
            <w:r>
              <w:rPr>
                <w:b w:val="false"/>
                <w:bCs w:val="false"/>
                <w:i w:val="false"/>
                <w:iCs w:val="false"/>
              </w:rPr>
              <w:t xml:space="preserve">Alt. 3 — Firepit/Forge (revised, v2.3)</w:t>
            </w:r>
          </w:p>
        </w:tc>
        <w:tc>
          <w:tcPr>
            <w:tcW w:type="dxa" w:w="4160"/>
            <w:tcMar>
              <w:top w:type="dxa" w:w="80"/>
              <w:left w:type="dxa" w:w="100"/>
              <w:bottom w:type="dxa" w:w="80"/>
              <w:right w:type="dxa" w:w="100"/>
            </w:tcMar>
            <w:vAlign w:val="top"/>
          </w:tcPr>
          <w:p>
            <w:r>
              <w:rPr>
                <w:b w:val="false"/>
                <w:bCs w:val="false"/>
                <w:i w:val="false"/>
                <w:iCs w:val="false"/>
              </w:rPr>
              <w:t xml:space="preserve">A self-provisioning package that redeploys to any IPT within TTSD, and with tweaks, across NAVWAR, beats a single-team Dataverse migration that still requires Echelon 2 approval. SharePoint Lists remain the data backbone either way, so this does not foreclose Alternative 2.</w:t>
            </w:r>
          </w:p>
        </w:tc>
      </w:tr>
      <w:tr>
        <w:tc>
          <w:tcPr>
            <w:tcW w:type="dxa" w:w="2427"/>
            <w:tcMar>
              <w:top w:type="dxa" w:w="80"/>
              <w:left w:type="dxa" w:w="100"/>
              <w:bottom w:type="dxa" w:w="80"/>
              <w:right w:type="dxa" w:w="100"/>
            </w:tcMar>
            <w:vAlign w:val="top"/>
          </w:tcPr>
          <w:p>
            <w:r>
              <w:rPr>
                <w:b w:val="false"/>
                <w:bCs w:val="false"/>
                <w:i w:val="false"/>
                <w:iCs w:val="false"/>
              </w:rPr>
              <w:t xml:space="preserve">Best fit for internship timeline</w:t>
            </w:r>
          </w:p>
        </w:tc>
        <w:tc>
          <w:tcPr>
            <w:tcW w:type="dxa" w:w="2773"/>
            <w:tcMar>
              <w:top w:type="dxa" w:w="80"/>
              <w:left w:type="dxa" w:w="100"/>
              <w:bottom w:type="dxa" w:w="80"/>
              <w:right w:type="dxa" w:w="100"/>
            </w:tcMar>
            <w:vAlign w:val="top"/>
          </w:tcPr>
          <w:p>
            <w:r>
              <w:rPr>
                <w:b w:val="false"/>
                <w:bCs w:val="false"/>
                <w:i w:val="false"/>
                <w:iCs w:val="false"/>
              </w:rPr>
              <w:t xml:space="preserve">Alt. 3 — Firepit/Forge</w:t>
            </w:r>
          </w:p>
        </w:tc>
        <w:tc>
          <w:tcPr>
            <w:tcW w:type="dxa" w:w="4160"/>
            <w:tcMar>
              <w:top w:type="dxa" w:w="80"/>
              <w:left w:type="dxa" w:w="100"/>
              <w:bottom w:type="dxa" w:w="80"/>
              <w:right w:type="dxa" w:w="100"/>
            </w:tcMar>
            <w:vAlign w:val="top"/>
          </w:tcPr>
          <w:p>
            <w:r>
              <w:rPr>
                <w:b w:val="false"/>
                <w:bCs w:val="false"/>
                <w:i w:val="false"/>
                <w:iCs w:val="false"/>
              </w:rPr>
              <w:t xml:space="preserve">A single application shell avoids the multi-tool integration overhead of Alternative 2 while producing a usable prototype within eight weeks.</w:t>
            </w:r>
          </w:p>
        </w:tc>
      </w:tr>
      <w:tr>
        <w:tc>
          <w:tcPr>
            <w:tcW w:type="dxa" w:w="2427"/>
            <w:tcMar>
              <w:top w:type="dxa" w:w="80"/>
              <w:left w:type="dxa" w:w="100"/>
              <w:bottom w:type="dxa" w:w="80"/>
              <w:right w:type="dxa" w:w="100"/>
            </w:tcMar>
            <w:vAlign w:val="top"/>
          </w:tcPr>
          <w:p>
            <w:r>
              <w:rPr>
                <w:b w:val="false"/>
                <w:bCs w:val="false"/>
                <w:i w:val="false"/>
                <w:iCs w:val="false"/>
              </w:rPr>
              <w:t xml:space="preserve">Best security posture for a sensitive team environment</w:t>
            </w:r>
          </w:p>
        </w:tc>
        <w:tc>
          <w:tcPr>
            <w:tcW w:type="dxa" w:w="2773"/>
            <w:tcMar>
              <w:top w:type="dxa" w:w="80"/>
              <w:left w:type="dxa" w:w="100"/>
              <w:bottom w:type="dxa" w:w="80"/>
              <w:right w:type="dxa" w:w="100"/>
            </w:tcMar>
            <w:vAlign w:val="top"/>
          </w:tcPr>
          <w:p>
            <w:r>
              <w:rPr>
                <w:b w:val="false"/>
                <w:bCs w:val="false"/>
                <w:i w:val="false"/>
                <w:iCs w:val="false"/>
              </w:rPr>
              <w:t xml:space="preserve">Alt. 3 — Firepit/Forge</w:t>
            </w:r>
          </w:p>
        </w:tc>
        <w:tc>
          <w:tcPr>
            <w:tcW w:type="dxa" w:w="4160"/>
            <w:tcMar>
              <w:top w:type="dxa" w:w="80"/>
              <w:left w:type="dxa" w:w="100"/>
              <w:bottom w:type="dxa" w:w="80"/>
              <w:right w:type="dxa" w:w="100"/>
            </w:tcMar>
            <w:vAlign w:val="top"/>
          </w:tcPr>
          <w:p>
            <w:r>
              <w:rPr>
                <w:b w:val="false"/>
                <w:bCs w:val="false"/>
                <w:i w:val="false"/>
                <w:iCs w:val="false"/>
              </w:rPr>
              <w:t xml:space="preserve">Purpose-built network allow-listing, CSP, and exfiltration guards, plus a built-in Security Reviewer that generates detailed security documentation as a normal part of shipping an app.</w:t>
            </w:r>
          </w:p>
        </w:tc>
      </w:tr>
      <w:tr>
        <w:tc>
          <w:tcPr>
            <w:tcW w:type="dxa" w:w="2427"/>
            <w:tcMar>
              <w:top w:type="dxa" w:w="80"/>
              <w:left w:type="dxa" w:w="100"/>
              <w:bottom w:type="dxa" w:w="80"/>
              <w:right w:type="dxa" w:w="100"/>
            </w:tcMar>
            <w:vAlign w:val="top"/>
          </w:tcPr>
          <w:p>
            <w:r>
              <w:rPr>
                <w:b w:val="false"/>
                <w:bCs w:val="false"/>
                <w:i w:val="false"/>
                <w:iCs w:val="false"/>
              </w:rPr>
              <w:t xml:space="preserve">Best visualization quality out of the box</w:t>
            </w:r>
          </w:p>
        </w:tc>
        <w:tc>
          <w:tcPr>
            <w:tcW w:type="dxa" w:w="2773"/>
            <w:tcMar>
              <w:top w:type="dxa" w:w="80"/>
              <w:left w:type="dxa" w:w="100"/>
              <w:bottom w:type="dxa" w:w="80"/>
              <w:right w:type="dxa" w:w="100"/>
            </w:tcMar>
            <w:vAlign w:val="top"/>
          </w:tcPr>
          <w:p>
            <w:r>
              <w:rPr>
                <w:b w:val="false"/>
                <w:bCs w:val="false"/>
                <w:i w:val="false"/>
                <w:iCs w:val="false"/>
              </w:rPr>
              <w:t xml:space="preserve">Alt. 2 — Power Apps / Power Platform (via Power BI)</w:t>
            </w:r>
          </w:p>
        </w:tc>
        <w:tc>
          <w:tcPr>
            <w:tcW w:type="dxa" w:w="4160"/>
            <w:tcMar>
              <w:top w:type="dxa" w:w="80"/>
              <w:left w:type="dxa" w:w="100"/>
              <w:bottom w:type="dxa" w:w="80"/>
              <w:right w:type="dxa" w:w="100"/>
            </w:tcMar>
            <w:vAlign w:val="top"/>
          </w:tcPr>
          <w:p>
            <w:r>
              <w:rPr>
                <w:b w:val="false"/>
                <w:bCs w:val="false"/>
                <w:i w:val="false"/>
                <w:iCs w:val="false"/>
              </w:rPr>
              <w:t xml:space="preserve">Power BI provides mature, no-code reporting; Firepit/Forge can match or exceed this but requires the developer to build the visualization layer rather than getting it built in.</w:t>
            </w:r>
          </w:p>
        </w:tc>
      </w:tr>
      <w:tr>
        <w:tc>
          <w:tcPr>
            <w:tcW w:type="dxa" w:w="2427"/>
            <w:tcMar>
              <w:top w:type="dxa" w:w="80"/>
              <w:left w:type="dxa" w:w="100"/>
              <w:bottom w:type="dxa" w:w="80"/>
              <w:right w:type="dxa" w:w="100"/>
            </w:tcMar>
            <w:vAlign w:val="top"/>
          </w:tcPr>
          <w:p>
            <w:r>
              <w:rPr>
                <w:b w:val="false"/>
                <w:bCs w:val="false"/>
                <w:i w:val="false"/>
                <w:iCs w:val="false"/>
              </w:rPr>
              <w:t xml:space="preserve">Lowest sustainment risk</w:t>
            </w:r>
          </w:p>
        </w:tc>
        <w:tc>
          <w:tcPr>
            <w:tcW w:type="dxa" w:w="2773"/>
            <w:tcMar>
              <w:top w:type="dxa" w:w="80"/>
              <w:left w:type="dxa" w:w="100"/>
              <w:bottom w:type="dxa" w:w="80"/>
              <w:right w:type="dxa" w:w="100"/>
            </w:tcMar>
            <w:vAlign w:val="top"/>
          </w:tcPr>
          <w:p>
            <w:r>
              <w:rPr>
                <w:b w:val="false"/>
                <w:bCs w:val="false"/>
                <w:i w:val="false"/>
                <w:iCs w:val="false"/>
              </w:rPr>
              <w:t xml:space="preserve">Alt. 3 — Firepit/Forge (revised, v2.3)</w:t>
            </w:r>
          </w:p>
        </w:tc>
        <w:tc>
          <w:tcPr>
            <w:tcW w:type="dxa" w:w="4160"/>
            <w:tcMar>
              <w:top w:type="dxa" w:w="80"/>
              <w:left w:type="dxa" w:w="100"/>
              <w:bottom w:type="dxa" w:w="80"/>
              <w:right w:type="dxa" w:w="100"/>
            </w:tcMar>
            <w:vAlign w:val="top"/>
          </w:tcPr>
          <w:p>
            <w:r>
              <w:rPr>
                <w:b w:val="false"/>
                <w:bCs w:val="false"/>
                <w:i w:val="false"/>
                <w:iCs w:val="false"/>
              </w:rPr>
              <w:t xml:space="preserve">React is an industry-standard framework with a much larger available developer pool than Power Apps' proprietary canvas-app tooling, and the built-in decompiler keeps a shipped Firepit app editable indefinitely.</w:t>
            </w:r>
          </w:p>
        </w:tc>
      </w:tr>
      <w:tr>
        <w:tc>
          <w:tcPr>
            <w:tcW w:type="dxa" w:w="2427"/>
            <w:tcMar>
              <w:top w:type="dxa" w:w="80"/>
              <w:left w:type="dxa" w:w="100"/>
              <w:bottom w:type="dxa" w:w="80"/>
              <w:right w:type="dxa" w:w="100"/>
            </w:tcMar>
            <w:vAlign w:val="top"/>
          </w:tcPr>
          <w:p>
            <w:r>
              <w:rPr>
                <w:b w:val="false"/>
                <w:bCs w:val="false"/>
                <w:i w:val="false"/>
                <w:iCs w:val="false"/>
              </w:rPr>
              <w:t xml:space="preserve">Highest sustainment risk among viable options</w:t>
            </w:r>
          </w:p>
        </w:tc>
        <w:tc>
          <w:tcPr>
            <w:tcW w:type="dxa" w:w="2773"/>
            <w:tcMar>
              <w:top w:type="dxa" w:w="80"/>
              <w:left w:type="dxa" w:w="100"/>
              <w:bottom w:type="dxa" w:w="80"/>
              <w:right w:type="dxa" w:w="100"/>
            </w:tcMar>
            <w:vAlign w:val="top"/>
          </w:tcPr>
          <w:p>
            <w:r>
              <w:rPr>
                <w:b w:val="false"/>
                <w:bCs w:val="false"/>
                <w:i w:val="false"/>
                <w:iCs w:val="false"/>
              </w:rPr>
              <w:t xml:space="preserve">Alt. 2 — Power Apps / Power Platform</w:t>
            </w:r>
          </w:p>
        </w:tc>
        <w:tc>
          <w:tcPr>
            <w:tcW w:type="dxa" w:w="4160"/>
            <w:tcMar>
              <w:top w:type="dxa" w:w="80"/>
              <w:left w:type="dxa" w:w="100"/>
              <w:bottom w:type="dxa" w:w="80"/>
              <w:right w:type="dxa" w:w="100"/>
            </w:tcMar>
            <w:vAlign w:val="top"/>
          </w:tcPr>
          <w:p>
            <w:r>
              <w:rPr>
                <w:b w:val="false"/>
                <w:bCs w:val="false"/>
                <w:i w:val="false"/>
                <w:iCs w:val="false"/>
              </w:rPr>
              <w:t xml:space="preserve">Revised in v2.3: proprietary Power Platform skill is scarcer than React's talent pool, and a future Dataverse migration still depends on Echelon 2 approval timelines outside the team's control.</w:t>
            </w:r>
          </w:p>
        </w:tc>
      </w:tr>
      <w:tr>
        <w:tc>
          <w:tcPr>
            <w:tcW w:type="dxa" w:w="2427"/>
            <w:tcMar>
              <w:top w:type="dxa" w:w="80"/>
              <w:left w:type="dxa" w:w="100"/>
              <w:bottom w:type="dxa" w:w="80"/>
              <w:right w:type="dxa" w:w="100"/>
            </w:tcMar>
            <w:vAlign w:val="top"/>
          </w:tcPr>
          <w:p>
            <w:r>
              <w:rPr>
                <w:b w:val="false"/>
                <w:bCs w:val="false"/>
                <w:i w:val="false"/>
                <w:iCs w:val="false"/>
              </w:rPr>
              <w:t xml:space="preserve">Best for consolidating the standalone tool suite (travel request, PM hub, travel calendar)</w:t>
            </w:r>
          </w:p>
        </w:tc>
        <w:tc>
          <w:tcPr>
            <w:tcW w:type="dxa" w:w="2773"/>
            <w:tcMar>
              <w:top w:type="dxa" w:w="80"/>
              <w:left w:type="dxa" w:w="100"/>
              <w:bottom w:type="dxa" w:w="80"/>
              <w:right w:type="dxa" w:w="100"/>
            </w:tcMar>
            <w:vAlign w:val="top"/>
          </w:tcPr>
          <w:p>
            <w:r>
              <w:rPr>
                <w:b w:val="false"/>
                <w:bCs w:val="false"/>
                <w:i w:val="false"/>
                <w:iCs w:val="false"/>
              </w:rPr>
              <w:t xml:space="preserve">Alt. 3 — Firepit/Forge</w:t>
            </w:r>
          </w:p>
        </w:tc>
        <w:tc>
          <w:tcPr>
            <w:tcW w:type="dxa" w:w="4160"/>
            <w:tcMar>
              <w:top w:type="dxa" w:w="80"/>
              <w:left w:type="dxa" w:w="100"/>
              <w:bottom w:type="dxa" w:w="80"/>
              <w:right w:type="dxa" w:w="100"/>
            </w:tcMar>
            <w:vAlign w:val="top"/>
          </w:tcPr>
          <w:p>
            <w:r>
              <w:rPr>
                <w:b w:val="false"/>
                <w:bCs w:val="false"/>
                <w:i w:val="false"/>
                <w:iCs w:val="false"/>
              </w:rPr>
              <w:t xml:space="preserve">A single-shell HTML/JS application can host multiple screens/modules under one consistent deployment, which is exactly the suite structure already planned.</w:t>
            </w:r>
          </w:p>
        </w:tc>
      </w:tr>
      <w:tr>
        <w:tc>
          <w:tcPr>
            <w:tcW w:type="dxa" w:w="2427"/>
            <w:tcMar>
              <w:top w:type="dxa" w:w="80"/>
              <w:left w:type="dxa" w:w="100"/>
              <w:bottom w:type="dxa" w:w="80"/>
              <w:right w:type="dxa" w:w="100"/>
            </w:tcMar>
            <w:vAlign w:val="top"/>
          </w:tcPr>
          <w:p>
            <w:r>
              <w:rPr>
                <w:b w:val="false"/>
                <w:bCs w:val="false"/>
                <w:i w:val="false"/>
                <w:iCs w:val="false"/>
              </w:rPr>
              <w:t xml:space="preserve">Best commercially supported external option</w:t>
            </w:r>
          </w:p>
        </w:tc>
        <w:tc>
          <w:tcPr>
            <w:tcW w:type="dxa" w:w="2773"/>
            <w:tcMar>
              <w:top w:type="dxa" w:w="80"/>
              <w:left w:type="dxa" w:w="100"/>
              <w:bottom w:type="dxa" w:w="80"/>
              <w:right w:type="dxa" w:w="100"/>
            </w:tcMar>
            <w:vAlign w:val="top"/>
          </w:tcPr>
          <w:p>
            <w:r>
              <w:rPr>
                <w:b w:val="false"/>
                <w:bCs w:val="false"/>
                <w:i w:val="false"/>
                <w:iCs w:val="false"/>
              </w:rPr>
              <w:t xml:space="preserve">Alt. 6 — ServiceNow NSC</w:t>
            </w:r>
          </w:p>
        </w:tc>
        <w:tc>
          <w:tcPr>
            <w:tcW w:type="dxa" w:w="4160"/>
            <w:tcMar>
              <w:top w:type="dxa" w:w="80"/>
              <w:left w:type="dxa" w:w="100"/>
              <w:bottom w:type="dxa" w:w="80"/>
              <w:right w:type="dxa" w:w="100"/>
            </w:tcMar>
            <w:vAlign w:val="top"/>
          </w:tcPr>
          <w:p>
            <w:r>
              <w:rPr>
                <w:b w:val="false"/>
                <w:bCs w:val="false"/>
                <w:i w:val="false"/>
                <w:iCs w:val="false"/>
              </w:rPr>
              <w:t xml:space="preserve">The strongest external SaaS evaluated, purpose-built for portfolio management; screened out on cost and procurement proportionality, not capability.</w:t>
            </w:r>
          </w:p>
        </w:tc>
      </w:tr>
      <w:tr>
        <w:tc>
          <w:tcPr>
            <w:tcW w:type="dxa" w:w="2427"/>
            <w:tcMar>
              <w:top w:type="dxa" w:w="80"/>
              <w:left w:type="dxa" w:w="100"/>
              <w:bottom w:type="dxa" w:w="80"/>
              <w:right w:type="dxa" w:w="100"/>
            </w:tcMar>
            <w:vAlign w:val="top"/>
          </w:tcPr>
          <w:p>
            <w:r>
              <w:rPr>
                <w:b w:val="false"/>
                <w:bCs w:val="false"/>
                <w:i w:val="false"/>
                <w:iCs w:val="false"/>
              </w:rPr>
              <w:t xml:space="preserve">Best path for the support ticketing workflow</w:t>
            </w:r>
          </w:p>
        </w:tc>
        <w:tc>
          <w:tcPr>
            <w:tcW w:type="dxa" w:w="2773"/>
            <w:tcMar>
              <w:top w:type="dxa" w:w="80"/>
              <w:left w:type="dxa" w:w="100"/>
              <w:bottom w:type="dxa" w:w="80"/>
              <w:right w:type="dxa" w:w="100"/>
            </w:tcMar>
            <w:vAlign w:val="top"/>
          </w:tcPr>
          <w:p>
            <w:r>
              <w:rPr>
                <w:b w:val="false"/>
                <w:bCs w:val="false"/>
                <w:i w:val="false"/>
                <w:iCs w:val="false"/>
              </w:rPr>
              <w:t xml:space="preserve">Alt. 3 — Firepit/Forge (near term) / Alt. 6 — ServiceNow NSC (if ever procured)</w:t>
            </w:r>
          </w:p>
        </w:tc>
        <w:tc>
          <w:tcPr>
            <w:tcW w:type="dxa" w:w="4160"/>
            <w:tcMar>
              <w:top w:type="dxa" w:w="80"/>
              <w:left w:type="dxa" w:w="100"/>
              <w:bottom w:type="dxa" w:w="80"/>
              <w:right w:type="dxa" w:w="100"/>
            </w:tcMar>
            <w:vAlign w:val="top"/>
          </w:tcPr>
          <w:p>
            <w:r>
              <w:rPr>
                <w:b w:val="false"/>
                <w:bCs w:val="false"/>
                <w:i w:val="false"/>
                <w:iCs w:val="false"/>
              </w:rPr>
              <w:t xml:space="preserve">Near term, a ticketing screen or ticket-status view can be added to the Firepit-hosted suite alongside the other modules; the contractor Jira instance continues as-is until a deliberate replacement decision is made. ServiceNow's ITSM ticketing is the strongest full replacement if the organization ever justifies the procurement.</w:t>
            </w:r>
          </w:p>
        </w:tc>
      </w:tr>
    </w:tbl>
    <w:p>
      <w:pPr>
        <w:pStyle w:val="Heading1"/>
        <w:spacing w:after="160" w:before="360"/>
      </w:pPr>
      <w:r>
        <w:rPr>
          <w:b/>
          <w:bCs/>
        </w:rPr>
        <w:t xml:space="preserve">15. Recommended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RECOMMENDATION: Alternative 3 — Firepit/Forge. Build the Team Project Dashboard, and the surrounding tool suite (travel request tool, PM hub, travel calendar), as a single-shell application authored in Forge and deployed through the Firepit SPFx web part on the AEWTTR SharePoint site, using SharePoint Lists as the underlying data backbone.</w:t>
            </w:r>
          </w:p>
        </w:tc>
      </w:tr>
    </w:tbl>
    <w:p>
      <w:pPr>
        <w:spacing w:after="120"/>
      </w:pPr>
    </w:p>
    <w:p>
      <w:pPr>
        <w:spacing w:after="160"/>
      </w:pPr>
      <w:r>
        <w:t xml:space="preserve">This approach combines:</w:t>
      </w:r>
    </w:p>
    <w:p>
      <w:pPr>
        <w:pStyle w:val="ListParagraph"/>
        <w:numPr>
          <w:ilvl w:val="0"/>
          <w:numId w:val="1"/>
        </w:numPr>
        <w:spacing w:after="80"/>
      </w:pPr>
      <w:r>
        <w:t xml:space="preserve">Firepit as the deployment and runtime host — a SharePoint Framework web part that renders a self-contained HTML/JS application inside a sandboxed frame on a SharePoint page, running inside Flank Speed's existing, already-approved environment.</w:t>
      </w:r>
    </w:p>
    <w:p>
      <w:pPr>
        <w:pStyle w:val="ListParagraph"/>
        <w:numPr>
          <w:ilvl w:val="0"/>
          <w:numId w:val="1"/>
        </w:numPr>
        <w:spacing w:after="80"/>
      </w:pPr>
      <w:r>
        <w:t xml:space="preserve">Forge as the authoring environment — an offline browser IDE with AI-assisted coding (Prometheus), git-like checkpointing, and a built-in Security Reviewer that produces detailed security documentation before an app ships.</w:t>
      </w:r>
    </w:p>
    <w:p>
      <w:pPr>
        <w:pStyle w:val="ListParagraph"/>
        <w:numPr>
          <w:ilvl w:val="0"/>
          <w:numId w:val="1"/>
        </w:numPr>
        <w:spacing w:after="80"/>
      </w:pPr>
      <w:r>
        <w:t xml:space="preserve">SharePoint Lists as the data backbone — the same schema-first approach recommended under Alternative 2, reached through Firepit's SharePoint REST bridge rather than through Power Apps' native data connections.</w:t>
      </w:r>
    </w:p>
    <w:p>
      <w:pPr>
        <w:pStyle w:val="ListParagraph"/>
        <w:numPr>
          <w:ilvl w:val="0"/>
          <w:numId w:val="1"/>
        </w:numPr>
        <w:spacing w:after="80"/>
      </w:pPr>
      <w:r>
        <w:t xml:space="preserve">A single application shell hosting multiple screens/modules — the dashboard, and eventually the travel request tool, PM hub, travel calendar, and a support-ticketing screen or ticket-status link (bridging the contractor Jira workflow into the suite) — rather than several disconnected tools built in different platforms.</w:t>
      </w:r>
    </w:p>
    <w:p>
      <w:pPr>
        <w:pStyle w:val="Heading2"/>
        <w:spacing w:after="120" w:before="260"/>
      </w:pPr>
      <w:r>
        <w:rPr>
          <w:b/>
          <w:bCs/>
        </w:rPr>
        <w:t xml:space="preserve">Why This Is the Right Path Now</w:t>
      </w:r>
    </w:p>
    <w:p>
      <w:pPr>
        <w:pStyle w:val="ListParagraph"/>
        <w:numPr>
          <w:ilvl w:val="0"/>
          <w:numId w:val="1"/>
        </w:numPr>
        <w:spacing w:after="80"/>
      </w:pPr>
      <w:r>
        <w:t xml:space="preserve">It now leads on the weighted score itself (Section 12), not only on qualitative factors. Hands-on build experience showed that Firepit/Forge's React front end draws on a far larger developer pool than Power Apps' proprietary canvas-app tooling, and that its self-provisioning deployment package — which auto-creates its own SharePoint lists — is redeployable to any IPT in TTSD, and with minor tweaks, across NAVWAR. Those facts raised its ease-of-implementation, maintainability, and scalability scores enough that Firepit/Forge now scores 455 against Power Apps' 405.</w:t>
      </w:r>
    </w:p>
    <w:p>
      <w:pPr>
        <w:pStyle w:val="ListParagraph"/>
        <w:numPr>
          <w:ilvl w:val="0"/>
          <w:numId w:val="1"/>
        </w:numPr>
        <w:spacing w:after="80"/>
      </w:pPr>
      <w:r>
        <w:t xml:space="preserve">The team is already in Flank Speed. Firepit deploys as a standard SPFx package to a SharePoint site; no new environment, hosting, or security approval pathway is required beyond confirming the app catalog deployment path (Section 7).</w:t>
      </w:r>
    </w:p>
    <w:p>
      <w:pPr>
        <w:pStyle w:val="ListParagraph"/>
        <w:numPr>
          <w:ilvl w:val="0"/>
          <w:numId w:val="1"/>
        </w:numPr>
        <w:spacing w:after="80"/>
      </w:pPr>
      <w:r>
        <w:t xml:space="preserve">It is a real, already-fielded tool, not a hypothetical option — Firepit is deployed to a NAVWAR PEO Digital SharePoint site today, with two production package versions observed (7.0.7.0 and 7.1.0.0).</w:t>
      </w:r>
    </w:p>
    <w:p>
      <w:pPr>
        <w:pStyle w:val="ListParagraph"/>
        <w:numPr>
          <w:ilvl w:val="0"/>
          <w:numId w:val="1"/>
        </w:numPr>
        <w:spacing w:after="80"/>
      </w:pPr>
      <w:r>
        <w:t xml:space="preserve">It consolidates the suite. Building the dashboard, travel request tool, PM hub, and travel calendar as one Firepit-hosted shell avoids the coordination overhead of stitching together three separate Microsoft tools (SharePoint + Power Apps + Power BI), which Section 12 identifies as a real integration cost for Alternative 2.</w:t>
      </w:r>
    </w:p>
    <w:p>
      <w:pPr>
        <w:pStyle w:val="ListParagraph"/>
        <w:numPr>
          <w:ilvl w:val="0"/>
          <w:numId w:val="1"/>
        </w:numPr>
        <w:spacing w:after="80"/>
      </w:pPr>
      <w:r>
        <w:t xml:space="preserve">It generates its own security documentation. The Security Reviewer's findings and detailed security summary are exactly the kind of documentation a formal security review asks for — Power Apps does not produce these automatically.</w:t>
      </w:r>
    </w:p>
    <w:p>
      <w:pPr>
        <w:pStyle w:val="ListParagraph"/>
        <w:numPr>
          <w:ilvl w:val="0"/>
          <w:numId w:val="1"/>
        </w:numPr>
        <w:spacing w:after="80"/>
      </w:pPr>
      <w:r>
        <w:t xml:space="preserve">The approach is maintainable in a non-obvious way: because Forge includes a decompiler, a shipped Firepit application can always be pulled back into an editable multi-file project, even without external version control. This meaningfully reduces the usual risk of a compiled, single-developer artifact becoming unmaintainable after handoff.</w:t>
      </w:r>
    </w:p>
    <w:p>
      <w:pPr>
        <w:pStyle w:val="ListParagraph"/>
        <w:numPr>
          <w:ilvl w:val="0"/>
          <w:numId w:val="1"/>
        </w:numPr>
        <w:spacing w:after="80"/>
      </w:pPr>
      <w:r>
        <w:t xml:space="preserve">The approach keeps future options open. The underlying data still lives in SharePoint Lists, so migrating to Dataverse later, or rebuilding the front end in Power Apps, does not require re-doing the schema work.</w:t>
      </w:r>
    </w:p>
    <w:p>
      <w:pPr>
        <w:pStyle w:val="Heading2"/>
        <w:spacing w:after="120" w:before="260"/>
      </w:pPr>
      <w:r>
        <w:rPr>
          <w:b/>
          <w:bCs/>
        </w:rPr>
        <w:t xml:space="preserve">What This Recommendation Does Not Mean</w:t>
      </w:r>
    </w:p>
    <w:p>
      <w:pPr>
        <w:pStyle w:val="ListParagraph"/>
        <w:numPr>
          <w:ilvl w:val="0"/>
          <w:numId w:val="1"/>
        </w:numPr>
        <w:spacing w:after="80"/>
      </w:pPr>
      <w:r>
        <w:t xml:space="preserve">It does NOT mean every standalone project should be incorporated into the dashboard.</w:t>
      </w:r>
    </w:p>
    <w:p>
      <w:pPr>
        <w:pStyle w:val="ListParagraph"/>
        <w:numPr>
          <w:ilvl w:val="0"/>
          <w:numId w:val="1"/>
        </w:numPr>
        <w:spacing w:after="80"/>
      </w:pPr>
      <w:r>
        <w:t xml:space="preserve">It does NOT mean all external data integrations will be automated immediately — Firepit's network guard allow-list still restricts outbound calls to SharePoint and a small set of approved endpoints.</w:t>
      </w:r>
    </w:p>
    <w:p>
      <w:pPr>
        <w:pStyle w:val="ListParagraph"/>
        <w:numPr>
          <w:ilvl w:val="0"/>
          <w:numId w:val="1"/>
        </w:numPr>
        <w:spacing w:after="80"/>
      </w:pPr>
      <w:r>
        <w:t xml:space="preserve">It does NOT mean the dashboard will be production-ready when the internship ends. The expected output is a working prototype with full documentation.</w:t>
      </w:r>
    </w:p>
    <w:p>
      <w:pPr>
        <w:pStyle w:val="ListParagraph"/>
        <w:numPr>
          <w:ilvl w:val="0"/>
          <w:numId w:val="1"/>
        </w:numPr>
        <w:spacing w:after="80"/>
      </w:pPr>
      <w:r>
        <w:t xml:space="preserve">It does NOT remove the need for data owners. The most capable application produces no value if no one maintains the underlying data.</w:t>
      </w:r>
    </w:p>
    <w:p>
      <w:pPr>
        <w:pStyle w:val="ListParagraph"/>
        <w:numPr>
          <w:ilvl w:val="0"/>
          <w:numId w:val="1"/>
        </w:numPr>
        <w:spacing w:after="80"/>
      </w:pPr>
      <w:r>
        <w:t xml:space="preserve">It does NOT foreclose Alternative 2. If Firepit/Forge proves unsuitable during Phase 2 prototyping, Power Apps / Power Platform is the direct fallback and the schema work already done transfers directly.</w:t>
      </w:r>
    </w:p>
    <w:p>
      <w:pPr>
        <w:pStyle w:val="Heading1"/>
        <w:spacing w:after="160" w:before="360"/>
      </w:pPr>
      <w:r>
        <w:rPr>
          <w:b/>
          <w:bCs/>
        </w:rPr>
        <w:t xml:space="preserve">16. Sensitivity Analysis</w:t>
      </w:r>
    </w:p>
    <w:p>
      <w:pPr>
        <w:spacing w:after="160"/>
      </w:pPr>
      <w:r>
        <w:t xml:space="preserve">This section examines whether the recommendation (Alternative 3 — Firepit/Forge) changes if key assumptions shift. Each scenario is evaluated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80"/>
              <w:left w:type="dxa" w:w="100"/>
              <w:bottom w:type="dxa" w:w="80"/>
              <w:right w:type="dxa" w:w="100"/>
            </w:tcMar>
            <w:vAlign w:val="top"/>
          </w:tcPr>
          <w:p>
            <w:r>
              <w:rPr>
                <w:b/>
                <w:bCs/>
                <w:i w:val="false"/>
                <w:iCs w:val="false"/>
              </w:rPr>
              <w:t xml:space="preserve">Scenario</w:t>
            </w:r>
          </w:p>
        </w:tc>
        <w:tc>
          <w:tcPr>
            <w:tcW w:type="dxa" w:w="3120"/>
            <w:shd w:fill="D9D9D9" w:val="clear"/>
            <w:tcMar>
              <w:top w:type="dxa" w:w="80"/>
              <w:left w:type="dxa" w:w="100"/>
              <w:bottom w:type="dxa" w:w="80"/>
              <w:right w:type="dxa" w:w="100"/>
            </w:tcMar>
            <w:vAlign w:val="top"/>
          </w:tcPr>
          <w:p>
            <w:r>
              <w:rPr>
                <w:b/>
                <w:bCs/>
                <w:i w:val="false"/>
                <w:iCs w:val="false"/>
              </w:rPr>
              <w:t xml:space="preserve">Effect on Recommendation</w:t>
            </w:r>
          </w:p>
        </w:tc>
        <w:tc>
          <w:tcPr>
            <w:tcW w:type="dxa" w:w="3120"/>
            <w:shd w:fill="D9D9D9" w:val="clear"/>
            <w:tcMar>
              <w:top w:type="dxa" w:w="80"/>
              <w:left w:type="dxa" w:w="100"/>
              <w:bottom w:type="dxa" w:w="80"/>
              <w:right w:type="dxa" w:w="100"/>
            </w:tcMar>
            <w:vAlign w:val="top"/>
          </w:tcPr>
          <w:p>
            <w:r>
              <w:rPr>
                <w:b/>
                <w:bCs/>
                <w:i w:val="false"/>
                <w:iCs w:val="false"/>
              </w:rPr>
              <w:t xml:space="preserve">Guidance</w:t>
            </w:r>
          </w:p>
        </w:tc>
      </w:tr>
      <w:tr>
        <w:tc>
          <w:tcPr>
            <w:tcW w:type="dxa" w:w="3120"/>
            <w:tcMar>
              <w:top w:type="dxa" w:w="80"/>
              <w:left w:type="dxa" w:w="100"/>
              <w:bottom w:type="dxa" w:w="80"/>
              <w:right w:type="dxa" w:w="100"/>
            </w:tcMar>
            <w:vAlign w:val="top"/>
          </w:tcPr>
          <w:p>
            <w:r>
              <w:rPr>
                <w:b w:val="false"/>
                <w:bCs w:val="false"/>
                <w:i w:val="false"/>
                <w:iCs w:val="false"/>
              </w:rPr>
              <w:t xml:space="preserve">The Firepit .sppkg deployment path (tenant vs. site collection app catalog) takes longer to set up than expected.</w:t>
            </w:r>
          </w:p>
        </w:tc>
        <w:tc>
          <w:tcPr>
            <w:tcW w:type="dxa" w:w="3120"/>
            <w:tcMar>
              <w:top w:type="dxa" w:w="80"/>
              <w:left w:type="dxa" w:w="100"/>
              <w:bottom w:type="dxa" w:w="80"/>
              <w:right w:type="dxa" w:w="100"/>
            </w:tcMar>
            <w:vAlign w:val="top"/>
          </w:tcPr>
          <w:p>
            <w:r>
              <w:rPr>
                <w:b w:val="false"/>
                <w:bCs w:val="false"/>
                <w:i w:val="false"/>
                <w:iCs w:val="false"/>
              </w:rPr>
              <w:t xml:space="preserve">Recommendation unchanged in substance, but the rollout timeline slips. If it slips significantly, Power Apps / Power Platform is the direct fallback.</w:t>
            </w:r>
          </w:p>
        </w:tc>
        <w:tc>
          <w:tcPr>
            <w:tcW w:type="dxa" w:w="3120"/>
            <w:tcMar>
              <w:top w:type="dxa" w:w="80"/>
              <w:left w:type="dxa" w:w="100"/>
              <w:bottom w:type="dxa" w:w="80"/>
              <w:right w:type="dxa" w:w="100"/>
            </w:tcMar>
            <w:vAlign w:val="top"/>
          </w:tcPr>
          <w:p>
            <w:r>
              <w:rPr>
                <w:b w:val="false"/>
                <w:bCs w:val="false"/>
                <w:i w:val="false"/>
                <w:iCs w:val="false"/>
              </w:rPr>
              <w:t xml:space="preserve">Confirm the app catalog path early, before rollout. Design the underlying data schema so it is front-end-agnostic (SharePoint Lists work identically under either alternative).</w:t>
            </w:r>
          </w:p>
        </w:tc>
      </w:tr>
      <w:tr>
        <w:tc>
          <w:tcPr>
            <w:tcW w:type="dxa" w:w="3120"/>
            <w:tcMar>
              <w:top w:type="dxa" w:w="80"/>
              <w:left w:type="dxa" w:w="100"/>
              <w:bottom w:type="dxa" w:w="80"/>
              <w:right w:type="dxa" w:w="100"/>
            </w:tcMar>
            <w:vAlign w:val="top"/>
          </w:tcPr>
          <w:p>
            <w:r>
              <w:rPr>
                <w:b w:val="false"/>
                <w:bCs w:val="false"/>
                <w:i w:val="false"/>
                <w:iCs w:val="false"/>
              </w:rPr>
              <w:t xml:space="preserve">Dataverse approval becomes available sooner than expected.</w:t>
            </w:r>
          </w:p>
        </w:tc>
        <w:tc>
          <w:tcPr>
            <w:tcW w:type="dxa" w:w="3120"/>
            <w:tcMar>
              <w:top w:type="dxa" w:w="80"/>
              <w:left w:type="dxa" w:w="100"/>
              <w:bottom w:type="dxa" w:w="80"/>
              <w:right w:type="dxa" w:w="100"/>
            </w:tcMar>
            <w:vAlign w:val="top"/>
          </w:tcPr>
          <w:p>
            <w:r>
              <w:rPr>
                <w:b w:val="false"/>
                <w:bCs w:val="false"/>
                <w:i w:val="false"/>
                <w:iCs w:val="false"/>
              </w:rPr>
              <w:t xml:space="preserve">Recommendation shifts in the long term for the data backbone, not the front-end choice. Firepit/Forge can call Dataverse the same way it calls SharePoint REST, so this does not force a rebuild of the front end.</w:t>
            </w:r>
          </w:p>
        </w:tc>
        <w:tc>
          <w:tcPr>
            <w:tcW w:type="dxa" w:w="3120"/>
            <w:tcMar>
              <w:top w:type="dxa" w:w="80"/>
              <w:left w:type="dxa" w:w="100"/>
              <w:bottom w:type="dxa" w:w="80"/>
              <w:right w:type="dxa" w:w="100"/>
            </w:tcMar>
            <w:vAlign w:val="top"/>
          </w:tcPr>
          <w:p>
            <w:r>
              <w:rPr>
                <w:b w:val="false"/>
                <w:bCs w:val="false"/>
                <w:i w:val="false"/>
                <w:iCs w:val="false"/>
              </w:rPr>
              <w:t xml:space="preserve">Design the underlying data schema with Dataverse migration in mind regardless of which front end is used.</w:t>
            </w:r>
          </w:p>
        </w:tc>
      </w:tr>
      <w:tr>
        <w:tc>
          <w:tcPr>
            <w:tcW w:type="dxa" w:w="3120"/>
            <w:tcMar>
              <w:top w:type="dxa" w:w="80"/>
              <w:left w:type="dxa" w:w="100"/>
              <w:bottom w:type="dxa" w:w="80"/>
              <w:right w:type="dxa" w:w="100"/>
            </w:tcMar>
            <w:vAlign w:val="top"/>
          </w:tcPr>
          <w:p>
            <w:r>
              <w:rPr>
                <w:b w:val="false"/>
                <w:bCs w:val="false"/>
                <w:i w:val="false"/>
                <w:iCs w:val="false"/>
              </w:rPr>
              <w:t xml:space="preserve">Power Automate restrictions prevent document generation (Word / PowerPoint outputs via XML).</w:t>
            </w:r>
          </w:p>
        </w:tc>
        <w:tc>
          <w:tcPr>
            <w:tcW w:type="dxa" w:w="3120"/>
            <w:tcMar>
              <w:top w:type="dxa" w:w="80"/>
              <w:left w:type="dxa" w:w="100"/>
              <w:bottom w:type="dxa" w:w="80"/>
              <w:right w:type="dxa" w:w="100"/>
            </w:tcMar>
            <w:vAlign w:val="top"/>
          </w:tcPr>
          <w:p>
            <w:r>
              <w:rPr>
                <w:b w:val="false"/>
                <w:bCs w:val="false"/>
                <w:i w:val="false"/>
                <w:iCs w:val="false"/>
              </w:rPr>
              <w:t xml:space="preserve">Recommendation unchanged. The core value — portfolio visibility and per-project detail views — does not depend on automated document generation.</w:t>
            </w:r>
          </w:p>
        </w:tc>
        <w:tc>
          <w:tcPr>
            <w:tcW w:type="dxa" w:w="3120"/>
            <w:tcMar>
              <w:top w:type="dxa" w:w="80"/>
              <w:left w:type="dxa" w:w="100"/>
              <w:bottom w:type="dxa" w:w="80"/>
              <w:right w:type="dxa" w:w="100"/>
            </w:tcMar>
            <w:vAlign w:val="top"/>
          </w:tcPr>
          <w:p>
            <w:r>
              <w:rPr>
                <w:b w:val="false"/>
                <w:bCs w:val="false"/>
                <w:i w:val="false"/>
                <w:iCs w:val="false"/>
              </w:rPr>
              <w:t xml:space="preserve">Treat automated Word and PowerPoint output as a stretch goal for later development under either alternative. Data export to Excel remains available.</w:t>
            </w:r>
          </w:p>
        </w:tc>
      </w:tr>
      <w:tr>
        <w:tc>
          <w:tcPr>
            <w:tcW w:type="dxa" w:w="3120"/>
            <w:tcMar>
              <w:top w:type="dxa" w:w="80"/>
              <w:left w:type="dxa" w:w="100"/>
              <w:bottom w:type="dxa" w:w="80"/>
              <w:right w:type="dxa" w:w="100"/>
            </w:tcMar>
            <w:vAlign w:val="top"/>
          </w:tcPr>
          <w:p>
            <w:r>
              <w:rPr>
                <w:b w:val="false"/>
                <w:bCs w:val="false"/>
                <w:i w:val="false"/>
                <w:iCs w:val="false"/>
              </w:rPr>
              <w:t xml:space="preserve">The BFM does not provide weekly ERP extracts to a shared location.</w:t>
            </w:r>
          </w:p>
        </w:tc>
        <w:tc>
          <w:tcPr>
            <w:tcW w:type="dxa" w:w="3120"/>
            <w:tcMar>
              <w:top w:type="dxa" w:w="80"/>
              <w:left w:type="dxa" w:w="100"/>
              <w:bottom w:type="dxa" w:w="80"/>
              <w:right w:type="dxa" w:w="100"/>
            </w:tcMar>
            <w:vAlign w:val="top"/>
          </w:tcPr>
          <w:p>
            <w:r>
              <w:rPr>
                <w:b w:val="false"/>
                <w:bCs w:val="false"/>
                <w:i w:val="false"/>
                <w:iCs w:val="false"/>
              </w:rPr>
              <w:t xml:space="preserve">Recommendation unchanged. The financial module scope is reduced but the rest of the application is unaffected.</w:t>
            </w:r>
          </w:p>
        </w:tc>
        <w:tc>
          <w:tcPr>
            <w:tcW w:type="dxa" w:w="3120"/>
            <w:tcMar>
              <w:top w:type="dxa" w:w="80"/>
              <w:left w:type="dxa" w:w="100"/>
              <w:bottom w:type="dxa" w:w="80"/>
              <w:right w:type="dxa" w:w="100"/>
            </w:tcMar>
            <w:vAlign w:val="top"/>
          </w:tcPr>
          <w:p>
            <w:r>
              <w:rPr>
                <w:b w:val="false"/>
                <w:bCs w:val="false"/>
                <w:i w:val="false"/>
                <w:iCs w:val="false"/>
              </w:rPr>
              <w:t xml:space="preserve">Design the financial module to function with less frequent or manually entered data. Leadership direction to the BFM may be required.</w:t>
            </w:r>
          </w:p>
        </w:tc>
      </w:tr>
      <w:tr>
        <w:tc>
          <w:tcPr>
            <w:tcW w:type="dxa" w:w="3120"/>
            <w:tcMar>
              <w:top w:type="dxa" w:w="80"/>
              <w:left w:type="dxa" w:w="100"/>
              <w:bottom w:type="dxa" w:w="80"/>
              <w:right w:type="dxa" w:w="100"/>
            </w:tcMar>
            <w:vAlign w:val="top"/>
          </w:tcPr>
          <w:p>
            <w:r>
              <w:rPr>
                <w:b w:val="false"/>
                <w:bCs w:val="false"/>
                <w:i w:val="false"/>
                <w:iCs w:val="false"/>
              </w:rPr>
              <w:t xml:space="preserve">Leadership only wants a read-only dashboard (no controlled data entry forms).</w:t>
            </w:r>
          </w:p>
        </w:tc>
        <w:tc>
          <w:tcPr>
            <w:tcW w:type="dxa" w:w="3120"/>
            <w:tcMar>
              <w:top w:type="dxa" w:w="80"/>
              <w:left w:type="dxa" w:w="100"/>
              <w:bottom w:type="dxa" w:w="80"/>
              <w:right w:type="dxa" w:w="100"/>
            </w:tcMar>
            <w:vAlign w:val="top"/>
          </w:tcPr>
          <w:p>
            <w:r>
              <w:rPr>
                <w:b w:val="false"/>
                <w:bCs w:val="false"/>
                <w:i w:val="false"/>
                <w:iCs w:val="false"/>
              </w:rPr>
              <w:t xml:space="preserve">Recommendation may simplify — a read-only view can be built faster in either alternative, and Firepit's advantage in unifying the suite becomes less decisive if data entry screens are not needed.</w:t>
            </w:r>
          </w:p>
        </w:tc>
        <w:tc>
          <w:tcPr>
            <w:tcW w:type="dxa" w:w="3120"/>
            <w:tcMar>
              <w:top w:type="dxa" w:w="80"/>
              <w:left w:type="dxa" w:w="100"/>
              <w:bottom w:type="dxa" w:w="80"/>
              <w:right w:type="dxa" w:w="100"/>
            </w:tcMar>
            <w:vAlign w:val="top"/>
          </w:tcPr>
          <w:p>
            <w:r>
              <w:rPr>
                <w:b w:val="false"/>
                <w:bCs w:val="false"/>
                <w:i w:val="false"/>
                <w:iCs w:val="false"/>
              </w:rPr>
              <w:t xml:space="preserve">Confirm this during the initial metrics discussion with the IPT Lead.</w:t>
            </w:r>
          </w:p>
        </w:tc>
      </w:tr>
      <w:tr>
        <w:tc>
          <w:tcPr>
            <w:tcW w:type="dxa" w:w="3120"/>
            <w:tcMar>
              <w:top w:type="dxa" w:w="80"/>
              <w:left w:type="dxa" w:w="100"/>
              <w:bottom w:type="dxa" w:w="80"/>
              <w:right w:type="dxa" w:w="100"/>
            </w:tcMar>
            <w:vAlign w:val="top"/>
          </w:tcPr>
          <w:p>
            <w:r>
              <w:rPr>
                <w:b w:val="false"/>
                <w:bCs w:val="false"/>
                <w:i w:val="false"/>
                <w:iCs w:val="false"/>
              </w:rPr>
              <w:t xml:space="preserve">No permanent owner is assigned after the internship ends.</w:t>
            </w:r>
          </w:p>
        </w:tc>
        <w:tc>
          <w:tcPr>
            <w:tcW w:type="dxa" w:w="3120"/>
            <w:tcMar>
              <w:top w:type="dxa" w:w="80"/>
              <w:left w:type="dxa" w:w="100"/>
              <w:bottom w:type="dxa" w:w="80"/>
              <w:right w:type="dxa" w:w="100"/>
            </w:tcMar>
            <w:vAlign w:val="top"/>
          </w:tcPr>
          <w:p>
            <w:r>
              <w:rPr>
                <w:b w:val="false"/>
                <w:bCs w:val="false"/>
                <w:i w:val="false"/>
                <w:iCs w:val="false"/>
              </w:rPr>
              <w:t xml:space="preserve">Recommendation unchanged in the near term, but long-term viability is at serious risk under either alternative.</w:t>
            </w:r>
          </w:p>
        </w:tc>
        <w:tc>
          <w:tcPr>
            <w:tcW w:type="dxa" w:w="3120"/>
            <w:tcMar>
              <w:top w:type="dxa" w:w="80"/>
              <w:left w:type="dxa" w:w="100"/>
              <w:bottom w:type="dxa" w:w="80"/>
              <w:right w:type="dxa" w:w="100"/>
            </w:tcMar>
            <w:vAlign w:val="top"/>
          </w:tcPr>
          <w:p>
            <w:r>
              <w:rPr>
                <w:b w:val="false"/>
                <w:bCs w:val="false"/>
                <w:i w:val="false"/>
                <w:iCs w:val="false"/>
              </w:rPr>
              <w:t xml:space="preserve">This is the single most important decision outside the technical scope. Leadership should designate an owner before the internship ends.</w:t>
            </w:r>
          </w:p>
        </w:tc>
      </w:tr>
    </w:tbl>
    <w:p>
      <w:pPr>
        <w:pStyle w:val="Heading1"/>
        <w:spacing w:after="160" w:before="360"/>
      </w:pPr>
      <w:r>
        <w:rPr>
          <w:b/>
          <w:bCs/>
        </w:rPr>
        <w:t xml:space="preserve">17. Recommended Phased Implementation Plan</w:t>
      </w:r>
    </w:p>
    <w:p>
      <w:pPr>
        <w:spacing w:after="160"/>
      </w:pPr>
      <w:r>
        <w:t xml:space="preserve">The internship has already produced a working, deployed application — PULSE-IPT — hosted through the Firepit SPFx web part and packaged for shipping by Forge, running entirely on SharePoint Lists inside Flank Speed. The remaining plan is therefore not a from-scratch build sequence; it is a rollout and sustainment plan organized around four horizons: finishing strong before the internship ends, sustaining use immediately after, building short-term maintenance capacity, and establishing long-term ownership.</w:t>
      </w:r>
    </w:p>
    <w:p>
      <w:pPr>
        <w:pStyle w:val="Heading2"/>
        <w:spacing w:after="120" w:before="260"/>
      </w:pPr>
      <w:r>
        <w:rPr>
          <w:b/>
          <w:bCs/>
        </w:rPr>
        <w:t xml:space="preserve">Before the Internship Ends</w:t>
      </w:r>
    </w:p>
    <w:p>
      <w:pPr>
        <w:pStyle w:val="ListParagraph"/>
        <w:numPr>
          <w:ilvl w:val="0"/>
          <w:numId w:val="1"/>
        </w:numPr>
        <w:spacing w:after="80"/>
      </w:pPr>
      <w:r>
        <w:t xml:space="preserve">Finalize the current PULSE-IPT build and roll it out to the full AEWTTR team, not just a pilot group, so every module — portfolio, projects, weekly meeting, travel, document review, support tickets — is in real use.</w:t>
      </w:r>
    </w:p>
    <w:p>
      <w:pPr>
        <w:pStyle w:val="ListParagraph"/>
        <w:numPr>
          <w:ilvl w:val="0"/>
          <w:numId w:val="1"/>
        </w:numPr>
        <w:spacing w:after="80"/>
      </w:pPr>
      <w:r>
        <w:t xml:space="preserve">Collect structured feedback from each functional area (program management, engineering, contracts, cyber, and leadership), using the application's own Support Tickets module.</w:t>
      </w:r>
    </w:p>
    <w:p>
      <w:pPr>
        <w:pStyle w:val="ListParagraph"/>
        <w:numPr>
          <w:ilvl w:val="0"/>
          <w:numId w:val="1"/>
        </w:numPr>
        <w:spacing w:after="80"/>
      </w:pPr>
      <w:r>
        <w:t xml:space="preserve">Triage that feedback and implement the highest-priority fixes before departure; document anything that needs deeper work as a known issue rather than leaving it unrecorded.</w:t>
      </w:r>
    </w:p>
    <w:p>
      <w:pPr>
        <w:pStyle w:val="Heading2"/>
        <w:spacing w:after="120" w:before="260"/>
      </w:pPr>
      <w:r>
        <w:rPr>
          <w:b/>
          <w:bCs/>
        </w:rPr>
        <w:t xml:space="preserve">After the Internship</w:t>
      </w:r>
    </w:p>
    <w:p>
      <w:pPr>
        <w:pStyle w:val="ListParagraph"/>
        <w:numPr>
          <w:ilvl w:val="0"/>
          <w:numId w:val="1"/>
        </w:numPr>
        <w:spacing w:after="80"/>
      </w:pPr>
      <w:r>
        <w:t xml:space="preserve">Continue using PULSE-IPT as the team's system of record rather than reverting to the prior manual process.</w:t>
      </w:r>
    </w:p>
    <w:p>
      <w:pPr>
        <w:pStyle w:val="ListParagraph"/>
        <w:numPr>
          <w:ilvl w:val="0"/>
          <w:numId w:val="1"/>
        </w:numPr>
        <w:spacing w:after="80"/>
      </w:pPr>
      <w:r>
        <w:t xml:space="preserve">Log every issue, bug, and feature request as it comes up — through the built-in Support Tickets module or an equivalent backlog — so nothing is lost to email or memory.</w:t>
      </w:r>
    </w:p>
    <w:p>
      <w:pPr>
        <w:pStyle w:val="ListParagraph"/>
        <w:numPr>
          <w:ilvl w:val="0"/>
          <w:numId w:val="1"/>
        </w:numPr>
        <w:spacing w:after="80"/>
      </w:pPr>
      <w:r>
        <w:t xml:space="preserve">Review that backlog on a regular cadence so it informs, rather than simply accumulates ahead of, the next round of development.</w:t>
      </w:r>
    </w:p>
    <w:p>
      <w:pPr>
        <w:pStyle w:val="Heading2"/>
        <w:spacing w:after="120" w:before="260"/>
      </w:pPr>
      <w:r>
        <w:rPr>
          <w:b/>
          <w:bCs/>
        </w:rPr>
        <w:t xml:space="preserve">Short Term — Maintenance Capacity</w:t>
      </w:r>
    </w:p>
    <w:p>
      <w:pPr>
        <w:pStyle w:val="ListParagraph"/>
        <w:numPr>
          <w:ilvl w:val="0"/>
          <w:numId w:val="1"/>
        </w:numPr>
        <w:spacing w:after="80"/>
      </w:pPr>
      <w:r>
        <w:t xml:space="preserve">Bring on an ESDP rotational developer with web development / React skill to take ownership of ongoing maintenance of the Firepit/Forge-hosted codebase: fixing bugs, working the feature-request backlog, and rebuilding and reshipping the package through Forge's packaging step as changes are made.</w:t>
      </w:r>
    </w:p>
    <w:p>
      <w:pPr>
        <w:pStyle w:val="ListParagraph"/>
        <w:numPr>
          <w:ilvl w:val="0"/>
          <w:numId w:val="1"/>
        </w:numPr>
        <w:spacing w:after="80"/>
      </w:pPr>
      <w:r>
        <w:t xml:space="preserve">Formally transfer application, SharePoint list, and any automation ownership to a permanent government account before the outgoing developer's access lapses, so nothing is orphaned mid-rotation.</w:t>
      </w:r>
    </w:p>
    <w:p>
      <w:pPr>
        <w:pStyle w:val="Heading2"/>
        <w:spacing w:after="120" w:before="260"/>
      </w:pPr>
      <w:r>
        <w:rPr>
          <w:b/>
          <w:bCs/>
        </w:rPr>
        <w:t xml:space="preserve">Long Term — Sustained Ownership</w:t>
      </w:r>
    </w:p>
    <w:p>
      <w:pPr>
        <w:pStyle w:val="ListParagraph"/>
        <w:numPr>
          <w:ilvl w:val="0"/>
          <w:numId w:val="1"/>
        </w:numPr>
        <w:spacing w:after="80"/>
      </w:pPr>
      <w:r>
        <w:t xml:space="preserve">Hire or designate a permanent developer or maintainer who can sustain and upgrade PULSE-IPT indefinitely — someone comfortable with the Firepit/Forge packaging workflow and the SharePoint REST/list-based architecture, not a rotating temporary resource.</w:t>
      </w:r>
    </w:p>
    <w:p>
      <w:pPr>
        <w:pStyle w:val="ListParagraph"/>
        <w:numPr>
          <w:ilvl w:val="0"/>
          <w:numId w:val="1"/>
        </w:numPr>
        <w:spacing w:after="80"/>
      </w:pPr>
      <w:r>
        <w:t xml:space="preserve">Revisit whether a backend migration (e.g., to Dataverse) or a different front-end platform is warranted once usage patterns and growth are better understood; the schema-first design keeps this an option rather than forcing a rebuild.</w:t>
      </w:r>
    </w:p>
    <w:p>
      <w:pPr>
        <w:pStyle w:val="Heading1"/>
        <w:spacing w:after="160" w:before="360"/>
      </w:pPr>
      <w:r>
        <w:rPr>
          <w:b/>
          <w:bCs/>
        </w:rPr>
        <w:t xml:space="preserve">18.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9"/>
        <w:gridCol w:w="878"/>
        <w:gridCol w:w="1024"/>
        <w:gridCol w:w="2925"/>
        <w:gridCol w:w="1754"/>
      </w:tblGrid>
      <w:tr>
        <w:trPr>
          <w:tblHeader/>
        </w:trPr>
        <w:tc>
          <w:tcPr>
            <w:tcW w:type="dxa" w:w="2779"/>
            <w:shd w:fill="D9D9D9" w:val="clear"/>
            <w:tcMar>
              <w:top w:type="dxa" w:w="80"/>
              <w:left w:type="dxa" w:w="100"/>
              <w:bottom w:type="dxa" w:w="80"/>
              <w:right w:type="dxa" w:w="100"/>
            </w:tcMar>
            <w:vAlign w:val="top"/>
          </w:tcPr>
          <w:p>
            <w:r>
              <w:rPr>
                <w:b/>
                <w:bCs/>
                <w:i w:val="false"/>
                <w:iCs w:val="false"/>
              </w:rPr>
              <w:t xml:space="preserve">Risk</w:t>
            </w:r>
          </w:p>
        </w:tc>
        <w:tc>
          <w:tcPr>
            <w:tcW w:type="dxa" w:w="878"/>
            <w:shd w:fill="D9D9D9" w:val="clear"/>
            <w:tcMar>
              <w:top w:type="dxa" w:w="80"/>
              <w:left w:type="dxa" w:w="100"/>
              <w:bottom w:type="dxa" w:w="80"/>
              <w:right w:type="dxa" w:w="100"/>
            </w:tcMar>
            <w:vAlign w:val="top"/>
          </w:tcPr>
          <w:p>
            <w:r>
              <w:rPr>
                <w:b/>
                <w:bCs/>
                <w:i w:val="false"/>
                <w:iCs w:val="false"/>
              </w:rPr>
              <w:t xml:space="preserve">Impact</w:t>
            </w:r>
          </w:p>
        </w:tc>
        <w:tc>
          <w:tcPr>
            <w:tcW w:type="dxa" w:w="1024"/>
            <w:shd w:fill="D9D9D9" w:val="clear"/>
            <w:tcMar>
              <w:top w:type="dxa" w:w="80"/>
              <w:left w:type="dxa" w:w="100"/>
              <w:bottom w:type="dxa" w:w="80"/>
              <w:right w:type="dxa" w:w="100"/>
            </w:tcMar>
            <w:vAlign w:val="top"/>
          </w:tcPr>
          <w:p>
            <w:r>
              <w:rPr>
                <w:b/>
                <w:bCs/>
                <w:i w:val="false"/>
                <w:iCs w:val="false"/>
              </w:rPr>
              <w:t xml:space="preserve">Likelihood</w:t>
            </w:r>
          </w:p>
        </w:tc>
        <w:tc>
          <w:tcPr>
            <w:tcW w:type="dxa" w:w="2925"/>
            <w:shd w:fill="D9D9D9" w:val="clear"/>
            <w:tcMar>
              <w:top w:type="dxa" w:w="80"/>
              <w:left w:type="dxa" w:w="100"/>
              <w:bottom w:type="dxa" w:w="80"/>
              <w:right w:type="dxa" w:w="100"/>
            </w:tcMar>
            <w:vAlign w:val="top"/>
          </w:tcPr>
          <w:p>
            <w:r>
              <w:rPr>
                <w:b/>
                <w:bCs/>
                <w:i w:val="false"/>
                <w:iCs w:val="false"/>
              </w:rPr>
              <w:t xml:space="preserve">Mitigation</w:t>
            </w:r>
          </w:p>
        </w:tc>
        <w:tc>
          <w:tcPr>
            <w:tcW w:type="dxa" w:w="1754"/>
            <w:shd w:fill="D9D9D9" w:val="clear"/>
            <w:tcMar>
              <w:top w:type="dxa" w:w="80"/>
              <w:left w:type="dxa" w:w="100"/>
              <w:bottom w:type="dxa" w:w="80"/>
              <w:right w:type="dxa" w:w="100"/>
            </w:tcMar>
            <w:vAlign w:val="top"/>
          </w:tcPr>
          <w:p>
            <w:r>
              <w:rPr>
                <w:b/>
                <w:bCs/>
                <w:i w:val="false"/>
                <w:iCs w:val="false"/>
              </w:rPr>
              <w:t xml:space="preserve">Owner</w:t>
            </w:r>
          </w:p>
        </w:tc>
      </w:tr>
      <w:tr>
        <w:tc>
          <w:tcPr>
            <w:tcW w:type="dxa" w:w="2779"/>
            <w:tcMar>
              <w:top w:type="dxa" w:w="80"/>
              <w:left w:type="dxa" w:w="100"/>
              <w:bottom w:type="dxa" w:w="80"/>
              <w:right w:type="dxa" w:w="100"/>
            </w:tcMar>
            <w:vAlign w:val="top"/>
          </w:tcPr>
          <w:p>
            <w:r>
              <w:rPr>
                <w:b w:val="false"/>
                <w:bCs w:val="false"/>
                <w:i w:val="false"/>
                <w:iCs w:val="false"/>
              </w:rPr>
              <w:t xml:space="preserve">Building before schema is confirmed — tool may need to be rebuilt when requirements change.</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High</w:t>
            </w:r>
          </w:p>
        </w:tc>
        <w:tc>
          <w:tcPr>
            <w:tcW w:type="dxa" w:w="2925"/>
            <w:tcMar>
              <w:top w:type="dxa" w:w="80"/>
              <w:left w:type="dxa" w:w="100"/>
              <w:bottom w:type="dxa" w:w="80"/>
              <w:right w:type="dxa" w:w="100"/>
            </w:tcMar>
            <w:vAlign w:val="top"/>
          </w:tcPr>
          <w:p>
            <w:r>
              <w:rPr>
                <w:b w:val="false"/>
                <w:bCs w:val="false"/>
                <w:i w:val="false"/>
                <w:iCs w:val="false"/>
              </w:rPr>
              <w:t xml:space="preserve">Treat Phase 1 (schema) as a hard prerequisite regardless of platform. Do not build persistent data structures until schema is reviewed by Aimee and Linda.</w:t>
            </w:r>
          </w:p>
        </w:tc>
        <w:tc>
          <w:tcPr>
            <w:tcW w:type="dxa" w:w="1754"/>
            <w:tcMar>
              <w:top w:type="dxa" w:w="80"/>
              <w:left w:type="dxa" w:w="100"/>
              <w:bottom w:type="dxa" w:w="80"/>
              <w:right w:type="dxa" w:w="100"/>
            </w:tcMar>
            <w:vAlign w:val="top"/>
          </w:tcPr>
          <w:p>
            <w:r>
              <w:rPr>
                <w:b w:val="false"/>
                <w:bCs w:val="false"/>
                <w:i w:val="false"/>
                <w:iCs w:val="false"/>
              </w:rPr>
              <w:t xml:space="preserve">Eli + Aimee Bloomberg</w:t>
            </w:r>
          </w:p>
        </w:tc>
      </w:tr>
      <w:tr>
        <w:tc>
          <w:tcPr>
            <w:tcW w:type="dxa" w:w="2779"/>
            <w:tcMar>
              <w:top w:type="dxa" w:w="80"/>
              <w:left w:type="dxa" w:w="100"/>
              <w:bottom w:type="dxa" w:w="80"/>
              <w:right w:type="dxa" w:w="100"/>
            </w:tcMar>
            <w:vAlign w:val="top"/>
          </w:tcPr>
          <w:p>
            <w:r>
              <w:rPr>
                <w:b w:val="false"/>
                <w:bCs w:val="false"/>
                <w:i w:val="false"/>
                <w:iCs w:val="false"/>
              </w:rPr>
              <w:t xml:space="preserve">Firepit/Forge sustainment depends on an organization outside AEWTTR's control; the tool could stop being updated or supported.</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Medium</w:t>
            </w:r>
          </w:p>
        </w:tc>
        <w:tc>
          <w:tcPr>
            <w:tcW w:type="dxa" w:w="2925"/>
            <w:tcMar>
              <w:top w:type="dxa" w:w="80"/>
              <w:left w:type="dxa" w:w="100"/>
              <w:bottom w:type="dxa" w:w="80"/>
              <w:right w:type="dxa" w:w="100"/>
            </w:tcMar>
            <w:vAlign w:val="top"/>
          </w:tcPr>
          <w:p>
            <w:r>
              <w:rPr>
                <w:b w:val="false"/>
                <w:bCs w:val="false"/>
                <w:i w:val="false"/>
                <w:iCs w:val="false"/>
              </w:rPr>
              <w:t xml:space="preserve">Confirm a support POC in NAVWAR PEO Digital. Rely on Forge's decompiler to keep an always-editable, portable copy of the source project so the team is never solely dependent on a single build artifact.</w:t>
            </w:r>
          </w:p>
        </w:tc>
        <w:tc>
          <w:tcPr>
            <w:tcW w:type="dxa" w:w="1754"/>
            <w:tcMar>
              <w:top w:type="dxa" w:w="80"/>
              <w:left w:type="dxa" w:w="100"/>
              <w:bottom w:type="dxa" w:w="80"/>
              <w:right w:type="dxa" w:w="100"/>
            </w:tcMar>
            <w:vAlign w:val="top"/>
          </w:tcPr>
          <w:p>
            <w:r>
              <w:rPr>
                <w:b w:val="false"/>
                <w:bCs w:val="false"/>
                <w:i w:val="false"/>
                <w:iCs w:val="false"/>
              </w:rPr>
              <w:t xml:space="preserve">Aimee Bloomberg; Eli</w:t>
            </w:r>
          </w:p>
        </w:tc>
      </w:tr>
      <w:tr>
        <w:tc>
          <w:tcPr>
            <w:tcW w:type="dxa" w:w="2779"/>
            <w:tcMar>
              <w:top w:type="dxa" w:w="80"/>
              <w:left w:type="dxa" w:w="100"/>
              <w:bottom w:type="dxa" w:w="80"/>
              <w:right w:type="dxa" w:w="100"/>
            </w:tcMar>
            <w:vAlign w:val="top"/>
          </w:tcPr>
          <w:p>
            <w:r>
              <w:rPr>
                <w:b w:val="false"/>
                <w:bCs w:val="false"/>
                <w:i w:val="false"/>
                <w:iCs w:val="false"/>
              </w:rPr>
              <w:t xml:space="preserve">Data owners do not update fields — dashboard data becomes stale and loses stakeholder trust.</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High</w:t>
            </w:r>
          </w:p>
        </w:tc>
        <w:tc>
          <w:tcPr>
            <w:tcW w:type="dxa" w:w="2925"/>
            <w:tcMar>
              <w:top w:type="dxa" w:w="80"/>
              <w:left w:type="dxa" w:w="100"/>
              <w:bottom w:type="dxa" w:w="80"/>
              <w:right w:type="dxa" w:w="100"/>
            </w:tcMar>
            <w:vAlign w:val="top"/>
          </w:tcPr>
          <w:p>
            <w:r>
              <w:rPr>
                <w:b w:val="false"/>
                <w:bCs w:val="false"/>
                <w:i w:val="false"/>
                <w:iCs w:val="false"/>
              </w:rPr>
              <w:t xml:space="preserve">Leadership should designate owners and direct them. Make staleness visible in the application itself.</w:t>
            </w:r>
          </w:p>
        </w:tc>
        <w:tc>
          <w:tcPr>
            <w:tcW w:type="dxa" w:w="1754"/>
            <w:tcMar>
              <w:top w:type="dxa" w:w="80"/>
              <w:left w:type="dxa" w:w="100"/>
              <w:bottom w:type="dxa" w:w="80"/>
              <w:right w:type="dxa" w:w="100"/>
            </w:tcMar>
            <w:vAlign w:val="top"/>
          </w:tcPr>
          <w:p>
            <w:r>
              <w:rPr>
                <w:b w:val="false"/>
                <w:bCs w:val="false"/>
                <w:i w:val="false"/>
                <w:iCs w:val="false"/>
              </w:rPr>
              <w:t xml:space="preserve">Linda Dodson (direction); individual data owners</w:t>
            </w:r>
          </w:p>
        </w:tc>
      </w:tr>
      <w:tr>
        <w:tc>
          <w:tcPr>
            <w:tcW w:type="dxa" w:w="2779"/>
            <w:tcMar>
              <w:top w:type="dxa" w:w="80"/>
              <w:left w:type="dxa" w:w="100"/>
              <w:bottom w:type="dxa" w:w="80"/>
              <w:right w:type="dxa" w:w="100"/>
            </w:tcMar>
            <w:vAlign w:val="top"/>
          </w:tcPr>
          <w:p>
            <w:r>
              <w:rPr>
                <w:b w:val="false"/>
                <w:bCs w:val="false"/>
                <w:i w:val="false"/>
                <w:iCs w:val="false"/>
              </w:rPr>
              <w:t xml:space="preserve">Power Automate / Firepit network-guard allow-list actions required for report generation are blocked or not yet permitted.</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Medium</w:t>
            </w:r>
          </w:p>
        </w:tc>
        <w:tc>
          <w:tcPr>
            <w:tcW w:type="dxa" w:w="2925"/>
            <w:tcMar>
              <w:top w:type="dxa" w:w="80"/>
              <w:left w:type="dxa" w:w="100"/>
              <w:bottom w:type="dxa" w:w="80"/>
              <w:right w:type="dxa" w:w="100"/>
            </w:tcMar>
            <w:vAlign w:val="top"/>
          </w:tcPr>
          <w:p>
            <w:r>
              <w:rPr>
                <w:b w:val="false"/>
                <w:bCs w:val="false"/>
                <w:i w:val="false"/>
                <w:iCs w:val="false"/>
              </w:rPr>
              <w:t xml:space="preserve">Confirm connector and allow-list availability with the NMCI POC before committing to automation features. Design manual alternatives for each automated feature.</w:t>
            </w:r>
          </w:p>
        </w:tc>
        <w:tc>
          <w:tcPr>
            <w:tcW w:type="dxa" w:w="1754"/>
            <w:tcMar>
              <w:top w:type="dxa" w:w="80"/>
              <w:left w:type="dxa" w:w="100"/>
              <w:bottom w:type="dxa" w:w="80"/>
              <w:right w:type="dxa" w:w="100"/>
            </w:tcMar>
            <w:vAlign w:val="top"/>
          </w:tcPr>
          <w:p>
            <w:r>
              <w:rPr>
                <w:b w:val="false"/>
                <w:bCs w:val="false"/>
                <w:i w:val="false"/>
                <w:iCs w:val="false"/>
              </w:rPr>
              <w:t xml:space="preserve">Eli (confirm); NMCI POC</w:t>
            </w:r>
          </w:p>
        </w:tc>
      </w:tr>
      <w:tr>
        <w:tc>
          <w:tcPr>
            <w:tcW w:type="dxa" w:w="2779"/>
            <w:tcMar>
              <w:top w:type="dxa" w:w="80"/>
              <w:left w:type="dxa" w:w="100"/>
              <w:bottom w:type="dxa" w:w="80"/>
              <w:right w:type="dxa" w:w="100"/>
            </w:tcMar>
            <w:vAlign w:val="top"/>
          </w:tcPr>
          <w:p>
            <w:r>
              <w:rPr>
                <w:b w:val="false"/>
                <w:bCs w:val="false"/>
                <w:i w:val="false"/>
                <w:iCs w:val="false"/>
              </w:rPr>
              <w:t xml:space="preserve">Application or flow ownership breaks when the intern's account is deactivated.</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High</w:t>
            </w:r>
          </w:p>
        </w:tc>
        <w:tc>
          <w:tcPr>
            <w:tcW w:type="dxa" w:w="2925"/>
            <w:tcMar>
              <w:top w:type="dxa" w:w="80"/>
              <w:left w:type="dxa" w:w="100"/>
              <w:bottom w:type="dxa" w:w="80"/>
              <w:right w:type="dxa" w:w="100"/>
            </w:tcMar>
            <w:vAlign w:val="top"/>
          </w:tcPr>
          <w:p>
            <w:r>
              <w:rPr>
                <w:b w:val="false"/>
                <w:bCs w:val="false"/>
                <w:i w:val="false"/>
                <w:iCs w:val="false"/>
              </w:rPr>
              <w:t xml:space="preserve">Co-own all SharePoint lists, apps, and any flows with a permanent government account before the internship ends. Document rebuild instructions.</w:t>
            </w:r>
          </w:p>
        </w:tc>
        <w:tc>
          <w:tcPr>
            <w:tcW w:type="dxa" w:w="1754"/>
            <w:tcMar>
              <w:top w:type="dxa" w:w="80"/>
              <w:left w:type="dxa" w:w="100"/>
              <w:bottom w:type="dxa" w:w="80"/>
              <w:right w:type="dxa" w:w="100"/>
            </w:tcMar>
            <w:vAlign w:val="top"/>
          </w:tcPr>
          <w:p>
            <w:r>
              <w:rPr>
                <w:b w:val="false"/>
                <w:bCs w:val="false"/>
                <w:i w:val="false"/>
                <w:iCs w:val="false"/>
              </w:rPr>
              <w:t xml:space="preserve">Eli (build); Aimee Bloomberg (co-owner)</w:t>
            </w:r>
          </w:p>
        </w:tc>
      </w:tr>
      <w:tr>
        <w:tc>
          <w:tcPr>
            <w:tcW w:type="dxa" w:w="2779"/>
            <w:tcMar>
              <w:top w:type="dxa" w:w="80"/>
              <w:left w:type="dxa" w:w="100"/>
              <w:bottom w:type="dxa" w:w="80"/>
              <w:right w:type="dxa" w:w="100"/>
            </w:tcMar>
            <w:vAlign w:val="top"/>
          </w:tcPr>
          <w:p>
            <w:r>
              <w:rPr>
                <w:b w:val="false"/>
                <w:bCs w:val="false"/>
                <w:i w:val="false"/>
                <w:iCs w:val="false"/>
              </w:rPr>
              <w:t xml:space="preserve">Data sensitivity issue from combining system identity and range/site location in the same record.</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Medium</w:t>
            </w:r>
          </w:p>
        </w:tc>
        <w:tc>
          <w:tcPr>
            <w:tcW w:type="dxa" w:w="2925"/>
            <w:tcMar>
              <w:top w:type="dxa" w:w="80"/>
              <w:left w:type="dxa" w:w="100"/>
              <w:bottom w:type="dxa" w:w="80"/>
              <w:right w:type="dxa" w:w="100"/>
            </w:tcMar>
            <w:vAlign w:val="top"/>
          </w:tcPr>
          <w:p>
            <w:r>
              <w:rPr>
                <w:b w:val="false"/>
                <w:bCs w:val="false"/>
                <w:i w:val="false"/>
                <w:iCs w:val="false"/>
              </w:rPr>
              <w:t xml:space="preserve">Consult AEWTTR's security team before linking system-to-site data. Design schema to keep these fields separable.</w:t>
            </w:r>
          </w:p>
        </w:tc>
        <w:tc>
          <w:tcPr>
            <w:tcW w:type="dxa" w:w="1754"/>
            <w:tcMar>
              <w:top w:type="dxa" w:w="80"/>
              <w:left w:type="dxa" w:w="100"/>
              <w:bottom w:type="dxa" w:w="80"/>
              <w:right w:type="dxa" w:w="100"/>
            </w:tcMar>
            <w:vAlign w:val="top"/>
          </w:tcPr>
          <w:p>
            <w:r>
              <w:rPr>
                <w:b w:val="false"/>
                <w:bCs w:val="false"/>
                <w:i w:val="false"/>
                <w:iCs w:val="false"/>
              </w:rPr>
              <w:t xml:space="preserve">AEWTTR security team; Aimee Bloomberg</w:t>
            </w:r>
          </w:p>
        </w:tc>
      </w:tr>
      <w:tr>
        <w:tc>
          <w:tcPr>
            <w:tcW w:type="dxa" w:w="2779"/>
            <w:tcMar>
              <w:top w:type="dxa" w:w="80"/>
              <w:left w:type="dxa" w:w="100"/>
              <w:bottom w:type="dxa" w:w="80"/>
              <w:right w:type="dxa" w:w="100"/>
            </w:tcMar>
            <w:vAlign w:val="top"/>
          </w:tcPr>
          <w:p>
            <w:r>
              <w:rPr>
                <w:b w:val="false"/>
                <w:bCs w:val="false"/>
                <w:i w:val="false"/>
                <w:iCs w:val="false"/>
              </w:rPr>
              <w:t xml:space="preserve">External system integrations (ERP, eMASS, EDA, WAW) are not connectable — dashboard has data gaps.</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High</w:t>
            </w:r>
          </w:p>
        </w:tc>
        <w:tc>
          <w:tcPr>
            <w:tcW w:type="dxa" w:w="2925"/>
            <w:tcMar>
              <w:top w:type="dxa" w:w="80"/>
              <w:left w:type="dxa" w:w="100"/>
              <w:bottom w:type="dxa" w:w="80"/>
              <w:right w:type="dxa" w:w="100"/>
            </w:tcMar>
            <w:vAlign w:val="top"/>
          </w:tcPr>
          <w:p>
            <w:r>
              <w:rPr>
                <w:b w:val="false"/>
                <w:bCs w:val="false"/>
                <w:i w:val="false"/>
                <w:iCs w:val="false"/>
              </w:rPr>
              <w:t xml:space="preserve">Design schema and import process around manual upload. Communicate this limitation to leadership and set expectations.</w:t>
            </w:r>
          </w:p>
        </w:tc>
        <w:tc>
          <w:tcPr>
            <w:tcW w:type="dxa" w:w="1754"/>
            <w:tcMar>
              <w:top w:type="dxa" w:w="80"/>
              <w:left w:type="dxa" w:w="100"/>
              <w:bottom w:type="dxa" w:w="80"/>
              <w:right w:type="dxa" w:w="100"/>
            </w:tcMar>
            <w:vAlign w:val="top"/>
          </w:tcPr>
          <w:p>
            <w:r>
              <w:rPr>
                <w:b w:val="false"/>
                <w:bCs w:val="false"/>
                <w:i w:val="false"/>
                <w:iCs w:val="false"/>
              </w:rPr>
              <w:t xml:space="preserve">Eli (design); Aimee Bloomberg (process)</w:t>
            </w:r>
          </w:p>
        </w:tc>
      </w:tr>
      <w:tr>
        <w:tc>
          <w:tcPr>
            <w:tcW w:type="dxa" w:w="2779"/>
            <w:tcMar>
              <w:top w:type="dxa" w:w="80"/>
              <w:left w:type="dxa" w:w="100"/>
              <w:bottom w:type="dxa" w:w="80"/>
              <w:right w:type="dxa" w:w="100"/>
            </w:tcMar>
            <w:vAlign w:val="top"/>
          </w:tcPr>
          <w:p>
            <w:r>
              <w:rPr>
                <w:b w:val="false"/>
                <w:bCs w:val="false"/>
                <w:i w:val="false"/>
                <w:iCs w:val="false"/>
              </w:rPr>
              <w:t xml:space="preserve">Scope creep — standalone projects are absorbed into the application effort faster than they can be built.</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High</w:t>
            </w:r>
          </w:p>
        </w:tc>
        <w:tc>
          <w:tcPr>
            <w:tcW w:type="dxa" w:w="2925"/>
            <w:tcMar>
              <w:top w:type="dxa" w:w="80"/>
              <w:left w:type="dxa" w:w="100"/>
              <w:bottom w:type="dxa" w:w="80"/>
              <w:right w:type="dxa" w:w="100"/>
            </w:tcMar>
            <w:vAlign w:val="top"/>
          </w:tcPr>
          <w:p>
            <w:r>
              <w:rPr>
                <w:b w:val="false"/>
                <w:bCs w:val="false"/>
                <w:i w:val="false"/>
                <w:iCs w:val="false"/>
              </w:rPr>
              <w:t xml:space="preserve">Maintain a clear in-scope / out-of-scope list per Section 6. Escalate to Aimee or Linda when scope pressure occurs.</w:t>
            </w:r>
          </w:p>
        </w:tc>
        <w:tc>
          <w:tcPr>
            <w:tcW w:type="dxa" w:w="1754"/>
            <w:tcMar>
              <w:top w:type="dxa" w:w="80"/>
              <w:left w:type="dxa" w:w="100"/>
              <w:bottom w:type="dxa" w:w="80"/>
              <w:right w:type="dxa" w:w="100"/>
            </w:tcMar>
            <w:vAlign w:val="top"/>
          </w:tcPr>
          <w:p>
            <w:r>
              <w:rPr>
                <w:b w:val="false"/>
                <w:bCs w:val="false"/>
                <w:i w:val="false"/>
                <w:iCs w:val="false"/>
              </w:rPr>
              <w:t xml:space="preserve">Aimee Bloomberg; Eli</w:t>
            </w:r>
          </w:p>
        </w:tc>
      </w:tr>
      <w:tr>
        <w:tc>
          <w:tcPr>
            <w:tcW w:type="dxa" w:w="2779"/>
            <w:tcMar>
              <w:top w:type="dxa" w:w="80"/>
              <w:left w:type="dxa" w:w="100"/>
              <w:bottom w:type="dxa" w:w="80"/>
              <w:right w:type="dxa" w:w="100"/>
            </w:tcMar>
            <w:vAlign w:val="top"/>
          </w:tcPr>
          <w:p>
            <w:r>
              <w:rPr>
                <w:b w:val="false"/>
                <w:bCs w:val="false"/>
                <w:i w:val="false"/>
                <w:iCs w:val="false"/>
              </w:rPr>
              <w:t xml:space="preserve">Leadership metrics are never confirmed — application built to assumptions that do not match what the IPT Lead wants.</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Medium</w:t>
            </w:r>
          </w:p>
        </w:tc>
        <w:tc>
          <w:tcPr>
            <w:tcW w:type="dxa" w:w="2925"/>
            <w:tcMar>
              <w:top w:type="dxa" w:w="80"/>
              <w:left w:type="dxa" w:w="100"/>
              <w:bottom w:type="dxa" w:w="80"/>
              <w:right w:type="dxa" w:w="100"/>
            </w:tcMar>
            <w:vAlign w:val="top"/>
          </w:tcPr>
          <w:p>
            <w:r>
              <w:rPr>
                <w:b w:val="false"/>
                <w:bCs w:val="false"/>
                <w:i w:val="false"/>
                <w:iCs w:val="false"/>
              </w:rPr>
              <w:t xml:space="preserve">Schedule a focused 30–60 minute working session with Linda before Phase 2 begins.</w:t>
            </w:r>
          </w:p>
        </w:tc>
        <w:tc>
          <w:tcPr>
            <w:tcW w:type="dxa" w:w="1754"/>
            <w:tcMar>
              <w:top w:type="dxa" w:w="80"/>
              <w:left w:type="dxa" w:w="100"/>
              <w:bottom w:type="dxa" w:w="80"/>
              <w:right w:type="dxa" w:w="100"/>
            </w:tcMar>
            <w:vAlign w:val="top"/>
          </w:tcPr>
          <w:p>
            <w:r>
              <w:rPr>
                <w:b w:val="false"/>
                <w:bCs w:val="false"/>
                <w:i w:val="false"/>
                <w:iCs w:val="false"/>
              </w:rPr>
              <w:t xml:space="preserve">Linda Dodson; Aimee Bloomberg</w:t>
            </w:r>
          </w:p>
        </w:tc>
      </w:tr>
      <w:tr>
        <w:tc>
          <w:tcPr>
            <w:tcW w:type="dxa" w:w="2779"/>
            <w:tcMar>
              <w:top w:type="dxa" w:w="80"/>
              <w:left w:type="dxa" w:w="100"/>
              <w:bottom w:type="dxa" w:w="80"/>
              <w:right w:type="dxa" w:w="100"/>
            </w:tcMar>
            <w:vAlign w:val="top"/>
          </w:tcPr>
          <w:p>
            <w:r>
              <w:rPr>
                <w:b w:val="false"/>
                <w:bCs w:val="false"/>
                <w:i w:val="false"/>
                <w:iCs w:val="false"/>
              </w:rPr>
              <w:t xml:space="preserve">Prometheus (Forge's AI coding agent) applies unreviewed changes via Auto Accept mode.</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Low</w:t>
            </w:r>
          </w:p>
        </w:tc>
        <w:tc>
          <w:tcPr>
            <w:tcW w:type="dxa" w:w="2925"/>
            <w:tcMar>
              <w:top w:type="dxa" w:w="80"/>
              <w:left w:type="dxa" w:w="100"/>
              <w:bottom w:type="dxa" w:w="80"/>
              <w:right w:type="dxa" w:w="100"/>
            </w:tcMar>
            <w:vAlign w:val="top"/>
          </w:tcPr>
          <w:p>
            <w:r>
              <w:rPr>
                <w:b w:val="false"/>
                <w:bCs w:val="false"/>
                <w:i w:val="false"/>
                <w:iCs w:val="false"/>
              </w:rPr>
              <w:t xml:space="preserve">Keep Auto Accept off, or use Plan Mode, for any session touching data logic or production screens. Re-run the Security Reviewer before every deployment.</w:t>
            </w:r>
          </w:p>
        </w:tc>
        <w:tc>
          <w:tcPr>
            <w:tcW w:type="dxa" w:w="1754"/>
            <w:tcMar>
              <w:top w:type="dxa" w:w="80"/>
              <w:left w:type="dxa" w:w="100"/>
              <w:bottom w:type="dxa" w:w="80"/>
              <w:right w:type="dxa" w:w="100"/>
            </w:tcMar>
            <w:vAlign w:val="top"/>
          </w:tcPr>
          <w:p>
            <w:r>
              <w:rPr>
                <w:b w:val="false"/>
                <w:bCs w:val="false"/>
                <w:i w:val="false"/>
                <w:iCs w:val="false"/>
              </w:rPr>
              <w:t xml:space="preserve">Eli</w:t>
            </w:r>
          </w:p>
        </w:tc>
      </w:tr>
      <w:tr>
        <w:tc>
          <w:tcPr>
            <w:tcW w:type="dxa" w:w="2779"/>
            <w:tcMar>
              <w:top w:type="dxa" w:w="80"/>
              <w:left w:type="dxa" w:w="100"/>
              <w:bottom w:type="dxa" w:w="80"/>
              <w:right w:type="dxa" w:w="100"/>
            </w:tcMar>
            <w:vAlign w:val="top"/>
          </w:tcPr>
          <w:p>
            <w:r>
              <w:rPr>
                <w:b w:val="false"/>
                <w:bCs w:val="false"/>
                <w:i w:val="false"/>
                <w:iCs w:val="false"/>
              </w:rPr>
              <w:t xml:space="preserve">The shared client-side data-store option (sharedrive-nosql.js) is used for multi-editor data and produces silent overwrites due to its last-write-wins merge model.</w:t>
            </w:r>
          </w:p>
        </w:tc>
        <w:tc>
          <w:tcPr>
            <w:tcW w:type="dxa" w:w="878"/>
            <w:tcMar>
              <w:top w:type="dxa" w:w="80"/>
              <w:left w:type="dxa" w:w="100"/>
              <w:bottom w:type="dxa" w:w="80"/>
              <w:right w:type="dxa" w:w="100"/>
            </w:tcMar>
            <w:vAlign w:val="top"/>
          </w:tcPr>
          <w:p>
            <w:r>
              <w:rPr>
                <w:b w:val="false"/>
                <w:bCs w:val="false"/>
                <w:i w:val="false"/>
                <w:iCs w:val="false"/>
              </w:rPr>
              <w:t xml:space="preserve">Medium</w:t>
            </w:r>
          </w:p>
        </w:tc>
        <w:tc>
          <w:tcPr>
            <w:tcW w:type="dxa" w:w="1024"/>
            <w:tcMar>
              <w:top w:type="dxa" w:w="80"/>
              <w:left w:type="dxa" w:w="100"/>
              <w:bottom w:type="dxa" w:w="80"/>
              <w:right w:type="dxa" w:w="100"/>
            </w:tcMar>
            <w:vAlign w:val="top"/>
          </w:tcPr>
          <w:p>
            <w:r>
              <w:rPr>
                <w:b w:val="false"/>
                <w:bCs w:val="false"/>
                <w:i w:val="false"/>
                <w:iCs w:val="false"/>
              </w:rPr>
              <w:t xml:space="preserve">Low</w:t>
            </w:r>
          </w:p>
        </w:tc>
        <w:tc>
          <w:tcPr>
            <w:tcW w:type="dxa" w:w="2925"/>
            <w:tcMar>
              <w:top w:type="dxa" w:w="80"/>
              <w:left w:type="dxa" w:w="100"/>
              <w:bottom w:type="dxa" w:w="80"/>
              <w:right w:type="dxa" w:w="100"/>
            </w:tcMar>
            <w:vAlign w:val="top"/>
          </w:tcPr>
          <w:p>
            <w:r>
              <w:rPr>
                <w:b w:val="false"/>
                <w:bCs w:val="false"/>
                <w:i w:val="false"/>
                <w:iCs w:val="false"/>
              </w:rPr>
              <w:t xml:space="preserve">Use SharePoint Lists as the system of record for any field more than one team edits. Reserve the built-in data-store option only for low-concurrency, single-owner use.</w:t>
            </w:r>
          </w:p>
        </w:tc>
        <w:tc>
          <w:tcPr>
            <w:tcW w:type="dxa" w:w="1754"/>
            <w:tcMar>
              <w:top w:type="dxa" w:w="80"/>
              <w:left w:type="dxa" w:w="100"/>
              <w:bottom w:type="dxa" w:w="80"/>
              <w:right w:type="dxa" w:w="100"/>
            </w:tcMar>
            <w:vAlign w:val="top"/>
          </w:tcPr>
          <w:p>
            <w:r>
              <w:rPr>
                <w:b w:val="false"/>
                <w:bCs w:val="false"/>
                <w:i w:val="false"/>
                <w:iCs w:val="false"/>
              </w:rPr>
              <w:t xml:space="preserve">Eli</w:t>
            </w:r>
          </w:p>
        </w:tc>
      </w:tr>
      <w:tr>
        <w:tc>
          <w:tcPr>
            <w:tcW w:type="dxa" w:w="2779"/>
            <w:tcMar>
              <w:top w:type="dxa" w:w="80"/>
              <w:left w:type="dxa" w:w="100"/>
              <w:bottom w:type="dxa" w:w="80"/>
              <w:right w:type="dxa" w:w="100"/>
            </w:tcMar>
            <w:vAlign w:val="top"/>
          </w:tcPr>
          <w:p>
            <w:r>
              <w:rPr>
                <w:b w:val="false"/>
                <w:bCs w:val="false"/>
                <w:i w:val="false"/>
                <w:iCs w:val="false"/>
              </w:rPr>
              <w:t xml:space="preserve">Low adoption — team reverts to previous workflows.</w:t>
            </w:r>
          </w:p>
        </w:tc>
        <w:tc>
          <w:tcPr>
            <w:tcW w:type="dxa" w:w="878"/>
            <w:tcMar>
              <w:top w:type="dxa" w:w="80"/>
              <w:left w:type="dxa" w:w="100"/>
              <w:bottom w:type="dxa" w:w="80"/>
              <w:right w:type="dxa" w:w="100"/>
            </w:tcMar>
            <w:vAlign w:val="top"/>
          </w:tcPr>
          <w:p>
            <w:r>
              <w:rPr>
                <w:b w:val="false"/>
                <w:bCs w:val="false"/>
                <w:i w:val="false"/>
                <w:iCs w:val="false"/>
              </w:rPr>
              <w:t xml:space="preserve">High</w:t>
            </w:r>
          </w:p>
        </w:tc>
        <w:tc>
          <w:tcPr>
            <w:tcW w:type="dxa" w:w="1024"/>
            <w:tcMar>
              <w:top w:type="dxa" w:w="80"/>
              <w:left w:type="dxa" w:w="100"/>
              <w:bottom w:type="dxa" w:w="80"/>
              <w:right w:type="dxa" w:w="100"/>
            </w:tcMar>
            <w:vAlign w:val="top"/>
          </w:tcPr>
          <w:p>
            <w:r>
              <w:rPr>
                <w:b w:val="false"/>
                <w:bCs w:val="false"/>
                <w:i w:val="false"/>
                <w:iCs w:val="false"/>
              </w:rPr>
              <w:t xml:space="preserve">Medium</w:t>
            </w:r>
          </w:p>
        </w:tc>
        <w:tc>
          <w:tcPr>
            <w:tcW w:type="dxa" w:w="2925"/>
            <w:tcMar>
              <w:top w:type="dxa" w:w="80"/>
              <w:left w:type="dxa" w:w="100"/>
              <w:bottom w:type="dxa" w:w="80"/>
              <w:right w:type="dxa" w:w="100"/>
            </w:tcMar>
            <w:vAlign w:val="top"/>
          </w:tcPr>
          <w:p>
            <w:r>
              <w:rPr>
                <w:b w:val="false"/>
                <w:bCs w:val="false"/>
                <w:i w:val="false"/>
                <w:iCs w:val="false"/>
              </w:rPr>
              <w:t xml:space="preserve">Involve stakeholders in the Phase 2 review. Tailor the interface to their actual reporting tasks. Leadership endorsement and active use is the single most effective adoption driver.</w:t>
            </w:r>
          </w:p>
        </w:tc>
        <w:tc>
          <w:tcPr>
            <w:tcW w:type="dxa" w:w="1754"/>
            <w:tcMar>
              <w:top w:type="dxa" w:w="80"/>
              <w:left w:type="dxa" w:w="100"/>
              <w:bottom w:type="dxa" w:w="80"/>
              <w:right w:type="dxa" w:w="100"/>
            </w:tcMar>
            <w:vAlign w:val="top"/>
          </w:tcPr>
          <w:p>
            <w:r>
              <w:rPr>
                <w:b w:val="false"/>
                <w:bCs w:val="false"/>
                <w:i w:val="false"/>
                <w:iCs w:val="false"/>
              </w:rPr>
              <w:t xml:space="preserve">Linda Dodson; Aimee Bloomberg</w:t>
            </w:r>
          </w:p>
        </w:tc>
      </w:tr>
    </w:tbl>
    <w:p>
      <w:pPr>
        <w:pStyle w:val="Heading1"/>
        <w:spacing w:after="160" w:before="360"/>
      </w:pPr>
      <w:r>
        <w:rPr>
          <w:b/>
          <w:bCs/>
        </w:rPr>
        <w:t xml:space="preserve">19. Cybersecurity, Access, and Data Governance</w:t>
      </w:r>
    </w:p>
    <w:p>
      <w:pPr>
        <w:pStyle w:val="Heading2"/>
        <w:spacing w:after="120" w:before="260"/>
      </w:pPr>
      <w:r>
        <w:rPr>
          <w:b/>
          <w:bCs/>
        </w:rPr>
        <w:t xml:space="preserve">Authentication</w:t>
      </w:r>
    </w:p>
    <w:p>
      <w:pPr>
        <w:spacing w:after="160"/>
      </w:pPr>
      <w:r>
        <w:t xml:space="preserve">All users must have valid NMCI credentials and CAC/PIV authentication. There is no path for external users — including range personnel or contractor personnel without NMCI accounts — to access an application hosted through Firepit, Power Apps, SharePoint Online, or Power BI in this configuration. This is a hard constraint, not a design choice.</w:t>
      </w:r>
    </w:p>
    <w:p>
      <w:pPr>
        <w:pStyle w:val="Heading2"/>
        <w:spacing w:after="120" w:before="260"/>
      </w:pPr>
      <w:r>
        <w:rPr>
          <w:b/>
          <w:bCs/>
        </w:rPr>
        <w:t xml:space="preserve">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3"/>
        <w:gridCol w:w="2486"/>
        <w:gridCol w:w="2925"/>
        <w:gridCol w:w="2486"/>
      </w:tblGrid>
      <w:tr>
        <w:trPr>
          <w:tblHeader/>
        </w:trPr>
        <w:tc>
          <w:tcPr>
            <w:tcW w:type="dxa" w:w="1463"/>
            <w:shd w:fill="D9D9D9" w:val="clear"/>
            <w:tcMar>
              <w:top w:type="dxa" w:w="80"/>
              <w:left w:type="dxa" w:w="100"/>
              <w:bottom w:type="dxa" w:w="80"/>
              <w:right w:type="dxa" w:w="100"/>
            </w:tcMar>
            <w:vAlign w:val="top"/>
          </w:tcPr>
          <w:p>
            <w:r>
              <w:rPr>
                <w:b/>
                <w:bCs/>
                <w:i w:val="false"/>
                <w:iCs w:val="false"/>
              </w:rPr>
              <w:t xml:space="preserve">Role</w:t>
            </w:r>
          </w:p>
        </w:tc>
        <w:tc>
          <w:tcPr>
            <w:tcW w:type="dxa" w:w="2486"/>
            <w:shd w:fill="D9D9D9" w:val="clear"/>
            <w:tcMar>
              <w:top w:type="dxa" w:w="80"/>
              <w:left w:type="dxa" w:w="100"/>
              <w:bottom w:type="dxa" w:w="80"/>
              <w:right w:type="dxa" w:w="100"/>
            </w:tcMar>
            <w:vAlign w:val="top"/>
          </w:tcPr>
          <w:p>
            <w:r>
              <w:rPr>
                <w:b/>
                <w:bCs/>
                <w:i w:val="false"/>
                <w:iCs w:val="false"/>
              </w:rPr>
              <w:t xml:space="preserve">Who</w:t>
            </w:r>
          </w:p>
        </w:tc>
        <w:tc>
          <w:tcPr>
            <w:tcW w:type="dxa" w:w="2925"/>
            <w:shd w:fill="D9D9D9" w:val="clear"/>
            <w:tcMar>
              <w:top w:type="dxa" w:w="80"/>
              <w:left w:type="dxa" w:w="100"/>
              <w:bottom w:type="dxa" w:w="80"/>
              <w:right w:type="dxa" w:w="100"/>
            </w:tcMar>
            <w:vAlign w:val="top"/>
          </w:tcPr>
          <w:p>
            <w:r>
              <w:rPr>
                <w:b/>
                <w:bCs/>
                <w:i w:val="false"/>
                <w:iCs w:val="false"/>
              </w:rPr>
              <w:t xml:space="preserve">Access Level</w:t>
            </w:r>
          </w:p>
        </w:tc>
        <w:tc>
          <w:tcPr>
            <w:tcW w:type="dxa" w:w="2486"/>
            <w:shd w:fill="D9D9D9" w:val="clear"/>
            <w:tcMar>
              <w:top w:type="dxa" w:w="80"/>
              <w:left w:type="dxa" w:w="100"/>
              <w:bottom w:type="dxa" w:w="80"/>
              <w:right w:type="dxa" w:w="100"/>
            </w:tcMar>
            <w:vAlign w:val="top"/>
          </w:tcPr>
          <w:p>
            <w:r>
              <w:rPr>
                <w:b/>
                <w:bCs/>
                <w:i w:val="false"/>
                <w:iCs w:val="false"/>
              </w:rPr>
              <w:t xml:space="preserve">Notes</w:t>
            </w:r>
          </w:p>
        </w:tc>
      </w:tr>
      <w:tr>
        <w:tc>
          <w:tcPr>
            <w:tcW w:type="dxa" w:w="1463"/>
            <w:tcMar>
              <w:top w:type="dxa" w:w="80"/>
              <w:left w:type="dxa" w:w="100"/>
              <w:bottom w:type="dxa" w:w="80"/>
              <w:right w:type="dxa" w:w="100"/>
            </w:tcMar>
            <w:vAlign w:val="top"/>
          </w:tcPr>
          <w:p>
            <w:r>
              <w:rPr>
                <w:b w:val="false"/>
                <w:bCs w:val="false"/>
                <w:i w:val="false"/>
                <w:iCs w:val="false"/>
              </w:rPr>
              <w:t xml:space="preserve">Read-Only (Leadership)</w:t>
            </w:r>
          </w:p>
        </w:tc>
        <w:tc>
          <w:tcPr>
            <w:tcW w:type="dxa" w:w="2486"/>
            <w:tcMar>
              <w:top w:type="dxa" w:w="80"/>
              <w:left w:type="dxa" w:w="100"/>
              <w:bottom w:type="dxa" w:w="80"/>
              <w:right w:type="dxa" w:w="100"/>
            </w:tcMar>
            <w:vAlign w:val="top"/>
          </w:tcPr>
          <w:p>
            <w:r>
              <w:rPr>
                <w:b w:val="false"/>
                <w:bCs w:val="false"/>
                <w:i w:val="false"/>
                <w:iCs w:val="false"/>
              </w:rPr>
              <w:t xml:space="preserve">IPT Lead, Deputy IPT Lead</w:t>
            </w:r>
          </w:p>
        </w:tc>
        <w:tc>
          <w:tcPr>
            <w:tcW w:type="dxa" w:w="2925"/>
            <w:tcMar>
              <w:top w:type="dxa" w:w="80"/>
              <w:left w:type="dxa" w:w="100"/>
              <w:bottom w:type="dxa" w:w="80"/>
              <w:right w:type="dxa" w:w="100"/>
            </w:tcMar>
            <w:vAlign w:val="top"/>
          </w:tcPr>
          <w:p>
            <w:r>
              <w:rPr>
                <w:b w:val="false"/>
                <w:bCs w:val="false"/>
                <w:i w:val="false"/>
                <w:iCs w:val="false"/>
              </w:rPr>
              <w:t xml:space="preserve">View all data; export; no edit.</w:t>
            </w:r>
          </w:p>
        </w:tc>
        <w:tc>
          <w:tcPr>
            <w:tcW w:type="dxa" w:w="2486"/>
            <w:tcMar>
              <w:top w:type="dxa" w:w="80"/>
              <w:left w:type="dxa" w:w="100"/>
              <w:bottom w:type="dxa" w:w="80"/>
              <w:right w:type="dxa" w:w="100"/>
            </w:tcMar>
            <w:vAlign w:val="top"/>
          </w:tcPr>
          <w:p>
            <w:r>
              <w:rPr>
                <w:b w:val="false"/>
                <w:bCs w:val="false"/>
                <w:i w:val="false"/>
                <w:iCs w:val="false"/>
              </w:rPr>
              <w:t xml:space="preserve">Must not be able to accidentally modify records.</w:t>
            </w:r>
          </w:p>
        </w:tc>
      </w:tr>
      <w:tr>
        <w:tc>
          <w:tcPr>
            <w:tcW w:type="dxa" w:w="1463"/>
            <w:tcMar>
              <w:top w:type="dxa" w:w="80"/>
              <w:left w:type="dxa" w:w="100"/>
              <w:bottom w:type="dxa" w:w="80"/>
              <w:right w:type="dxa" w:w="100"/>
            </w:tcMar>
            <w:vAlign w:val="top"/>
          </w:tcPr>
          <w:p>
            <w:r>
              <w:rPr>
                <w:b w:val="false"/>
                <w:bCs w:val="false"/>
                <w:i w:val="false"/>
                <w:iCs w:val="false"/>
              </w:rPr>
              <w:t xml:space="preserve">PM Edit</w:t>
            </w:r>
          </w:p>
        </w:tc>
        <w:tc>
          <w:tcPr>
            <w:tcW w:type="dxa" w:w="2486"/>
            <w:tcMar>
              <w:top w:type="dxa" w:w="80"/>
              <w:left w:type="dxa" w:w="100"/>
              <w:bottom w:type="dxa" w:w="80"/>
              <w:right w:type="dxa" w:w="100"/>
            </w:tcMar>
            <w:vAlign w:val="top"/>
          </w:tcPr>
          <w:p>
            <w:r>
              <w:rPr>
                <w:b w:val="false"/>
                <w:bCs w:val="false"/>
                <w:i w:val="false"/>
                <w:iCs w:val="false"/>
              </w:rPr>
              <w:t xml:space="preserve">Project Managers</w:t>
            </w:r>
          </w:p>
        </w:tc>
        <w:tc>
          <w:tcPr>
            <w:tcW w:type="dxa" w:w="2925"/>
            <w:tcMar>
              <w:top w:type="dxa" w:w="80"/>
              <w:left w:type="dxa" w:w="100"/>
              <w:bottom w:type="dxa" w:w="80"/>
              <w:right w:type="dxa" w:w="100"/>
            </w:tcMar>
            <w:vAlign w:val="top"/>
          </w:tcPr>
          <w:p>
            <w:r>
              <w:rPr>
                <w:b w:val="false"/>
                <w:bCs w:val="false"/>
                <w:i w:val="false"/>
                <w:iCs w:val="false"/>
              </w:rPr>
              <w:t xml:space="preserve">Edit status, narrative, milestone fields for assigned projects.</w:t>
            </w:r>
          </w:p>
        </w:tc>
        <w:tc>
          <w:tcPr>
            <w:tcW w:type="dxa" w:w="2486"/>
            <w:tcMar>
              <w:top w:type="dxa" w:w="80"/>
              <w:left w:type="dxa" w:w="100"/>
              <w:bottom w:type="dxa" w:w="80"/>
              <w:right w:type="dxa" w:w="100"/>
            </w:tcMar>
            <w:vAlign w:val="top"/>
          </w:tcPr>
          <w:p>
            <w:r>
              <w:rPr>
                <w:b w:val="false"/>
                <w:bCs w:val="false"/>
                <w:i w:val="false"/>
                <w:iCs w:val="false"/>
              </w:rPr>
              <w:t xml:space="preserve">Cannot modify financial, contract, or cyber fields.</w:t>
            </w:r>
          </w:p>
        </w:tc>
      </w:tr>
      <w:tr>
        <w:tc>
          <w:tcPr>
            <w:tcW w:type="dxa" w:w="1463"/>
            <w:tcMar>
              <w:top w:type="dxa" w:w="80"/>
              <w:left w:type="dxa" w:w="100"/>
              <w:bottom w:type="dxa" w:w="80"/>
              <w:right w:type="dxa" w:w="100"/>
            </w:tcMar>
            <w:vAlign w:val="top"/>
          </w:tcPr>
          <w:p>
            <w:r>
              <w:rPr>
                <w:b w:val="false"/>
                <w:bCs w:val="false"/>
                <w:i w:val="false"/>
                <w:iCs w:val="false"/>
              </w:rPr>
              <w:t xml:space="preserve">Financial Edit</w:t>
            </w:r>
          </w:p>
        </w:tc>
        <w:tc>
          <w:tcPr>
            <w:tcW w:type="dxa" w:w="2486"/>
            <w:tcMar>
              <w:top w:type="dxa" w:w="80"/>
              <w:left w:type="dxa" w:w="100"/>
              <w:bottom w:type="dxa" w:w="80"/>
              <w:right w:type="dxa" w:w="100"/>
            </w:tcMar>
            <w:vAlign w:val="top"/>
          </w:tcPr>
          <w:p>
            <w:r>
              <w:rPr>
                <w:b w:val="false"/>
                <w:bCs w:val="false"/>
                <w:i w:val="false"/>
                <w:iCs w:val="false"/>
              </w:rPr>
              <w:t xml:space="preserve">BFM, Contracts Manager</w:t>
            </w:r>
          </w:p>
        </w:tc>
        <w:tc>
          <w:tcPr>
            <w:tcW w:type="dxa" w:w="2925"/>
            <w:tcMar>
              <w:top w:type="dxa" w:w="80"/>
              <w:left w:type="dxa" w:w="100"/>
              <w:bottom w:type="dxa" w:w="80"/>
              <w:right w:type="dxa" w:w="100"/>
            </w:tcMar>
            <w:vAlign w:val="top"/>
          </w:tcPr>
          <w:p>
            <w:r>
              <w:rPr>
                <w:b w:val="false"/>
                <w:bCs w:val="false"/>
                <w:i w:val="false"/>
                <w:iCs w:val="false"/>
              </w:rPr>
              <w:t xml:space="preserve">Edit or import financial fields only.</w:t>
            </w:r>
          </w:p>
        </w:tc>
        <w:tc>
          <w:tcPr>
            <w:tcW w:type="dxa" w:w="2486"/>
            <w:tcMar>
              <w:top w:type="dxa" w:w="80"/>
              <w:left w:type="dxa" w:w="100"/>
              <w:bottom w:type="dxa" w:w="80"/>
              <w:right w:type="dxa" w:w="100"/>
            </w:tcMar>
            <w:vAlign w:val="top"/>
          </w:tcPr>
          <w:p>
            <w:r>
              <w:rPr>
                <w:b w:val="false"/>
                <w:bCs w:val="false"/>
                <w:i w:val="false"/>
                <w:iCs w:val="false"/>
              </w:rPr>
              <w:t xml:space="preserve">BFM may require leadership direction to participate.</w:t>
            </w:r>
          </w:p>
        </w:tc>
      </w:tr>
      <w:tr>
        <w:tc>
          <w:tcPr>
            <w:tcW w:type="dxa" w:w="1463"/>
            <w:tcMar>
              <w:top w:type="dxa" w:w="80"/>
              <w:left w:type="dxa" w:w="100"/>
              <w:bottom w:type="dxa" w:w="80"/>
              <w:right w:type="dxa" w:w="100"/>
            </w:tcMar>
            <w:vAlign w:val="top"/>
          </w:tcPr>
          <w:p>
            <w:r>
              <w:rPr>
                <w:b w:val="false"/>
                <w:bCs w:val="false"/>
                <w:i w:val="false"/>
                <w:iCs w:val="false"/>
              </w:rPr>
              <w:t xml:space="preserve">Contract Edit</w:t>
            </w:r>
          </w:p>
        </w:tc>
        <w:tc>
          <w:tcPr>
            <w:tcW w:type="dxa" w:w="2486"/>
            <w:tcMar>
              <w:top w:type="dxa" w:w="80"/>
              <w:left w:type="dxa" w:w="100"/>
              <w:bottom w:type="dxa" w:w="80"/>
              <w:right w:type="dxa" w:w="100"/>
            </w:tcMar>
            <w:vAlign w:val="top"/>
          </w:tcPr>
          <w:p>
            <w:r>
              <w:rPr>
                <w:b w:val="false"/>
                <w:bCs w:val="false"/>
                <w:i w:val="false"/>
                <w:iCs w:val="false"/>
              </w:rPr>
              <w:t xml:space="preserve">Contracts team</w:t>
            </w:r>
          </w:p>
        </w:tc>
        <w:tc>
          <w:tcPr>
            <w:tcW w:type="dxa" w:w="2925"/>
            <w:tcMar>
              <w:top w:type="dxa" w:w="80"/>
              <w:left w:type="dxa" w:w="100"/>
              <w:bottom w:type="dxa" w:w="80"/>
              <w:right w:type="dxa" w:w="100"/>
            </w:tcMar>
            <w:vAlign w:val="top"/>
          </w:tcPr>
          <w:p>
            <w:r>
              <w:rPr>
                <w:b w:val="false"/>
                <w:bCs w:val="false"/>
                <w:i w:val="false"/>
                <w:iCs w:val="false"/>
              </w:rPr>
              <w:t xml:space="preserve">Edit contract fields and task order data.</w:t>
            </w:r>
          </w:p>
        </w:tc>
        <w:tc>
          <w:tcPr>
            <w:tcW w:type="dxa" w:w="2486"/>
            <w:tcMar>
              <w:top w:type="dxa" w:w="80"/>
              <w:left w:type="dxa" w:w="100"/>
              <w:bottom w:type="dxa" w:w="80"/>
              <w:right w:type="dxa" w:w="100"/>
            </w:tcMar>
            <w:vAlign w:val="top"/>
          </w:tcPr>
          <w:p>
            <w:r>
              <w:rPr>
                <w:b w:val="false"/>
                <w:bCs w:val="false"/>
                <w:i w:val="false"/>
                <w:iCs w:val="false"/>
              </w:rPr>
              <w:t xml:space="preserve">Contracts SPO access path should be resolved first.</w:t>
            </w:r>
          </w:p>
        </w:tc>
      </w:tr>
      <w:tr>
        <w:tc>
          <w:tcPr>
            <w:tcW w:type="dxa" w:w="1463"/>
            <w:tcMar>
              <w:top w:type="dxa" w:w="80"/>
              <w:left w:type="dxa" w:w="100"/>
              <w:bottom w:type="dxa" w:w="80"/>
              <w:right w:type="dxa" w:w="100"/>
            </w:tcMar>
            <w:vAlign w:val="top"/>
          </w:tcPr>
          <w:p>
            <w:r>
              <w:rPr>
                <w:b w:val="false"/>
                <w:bCs w:val="false"/>
                <w:i w:val="false"/>
                <w:iCs w:val="false"/>
              </w:rPr>
              <w:t xml:space="preserve">Cyber Edit</w:t>
            </w:r>
          </w:p>
        </w:tc>
        <w:tc>
          <w:tcPr>
            <w:tcW w:type="dxa" w:w="2486"/>
            <w:tcMar>
              <w:top w:type="dxa" w:w="80"/>
              <w:left w:type="dxa" w:w="100"/>
              <w:bottom w:type="dxa" w:w="80"/>
              <w:right w:type="dxa" w:w="100"/>
            </w:tcMar>
            <w:vAlign w:val="top"/>
          </w:tcPr>
          <w:p>
            <w:r>
              <w:rPr>
                <w:b w:val="false"/>
                <w:bCs w:val="false"/>
                <w:i w:val="false"/>
                <w:iCs w:val="false"/>
              </w:rPr>
              <w:t xml:space="preserve">Cyber team lead</w:t>
            </w:r>
          </w:p>
        </w:tc>
        <w:tc>
          <w:tcPr>
            <w:tcW w:type="dxa" w:w="2925"/>
            <w:tcMar>
              <w:top w:type="dxa" w:w="80"/>
              <w:left w:type="dxa" w:w="100"/>
              <w:bottom w:type="dxa" w:w="80"/>
              <w:right w:type="dxa" w:w="100"/>
            </w:tcMar>
            <w:vAlign w:val="top"/>
          </w:tcPr>
          <w:p>
            <w:r>
              <w:rPr>
                <w:b w:val="false"/>
                <w:bCs w:val="false"/>
                <w:i w:val="false"/>
                <w:iCs w:val="false"/>
              </w:rPr>
              <w:t xml:space="preserve">Edit cyber compliance step and cyber fields only.</w:t>
            </w:r>
          </w:p>
        </w:tc>
        <w:tc>
          <w:tcPr>
            <w:tcW w:type="dxa" w:w="2486"/>
            <w:tcMar>
              <w:top w:type="dxa" w:w="80"/>
              <w:left w:type="dxa" w:w="100"/>
              <w:bottom w:type="dxa" w:w="80"/>
              <w:right w:type="dxa" w:w="100"/>
            </w:tcMar>
            <w:vAlign w:val="top"/>
          </w:tcPr>
          <w:p>
            <w:r>
              <w:rPr>
                <w:b w:val="false"/>
                <w:bCs w:val="false"/>
                <w:i w:val="false"/>
                <w:iCs w:val="false"/>
              </w:rPr>
              <w:t xml:space="preserve">Owns manual cyber compliance step updates.</w:t>
            </w:r>
          </w:p>
        </w:tc>
      </w:tr>
      <w:tr>
        <w:tc>
          <w:tcPr>
            <w:tcW w:type="dxa" w:w="1463"/>
            <w:tcMar>
              <w:top w:type="dxa" w:w="80"/>
              <w:left w:type="dxa" w:w="100"/>
              <w:bottom w:type="dxa" w:w="80"/>
              <w:right w:type="dxa" w:w="100"/>
            </w:tcMar>
            <w:vAlign w:val="top"/>
          </w:tcPr>
          <w:p>
            <w:r>
              <w:rPr>
                <w:b w:val="false"/>
                <w:bCs w:val="false"/>
                <w:i w:val="false"/>
                <w:iCs w:val="false"/>
              </w:rPr>
              <w:t xml:space="preserve">Engineering Edit</w:t>
            </w:r>
          </w:p>
        </w:tc>
        <w:tc>
          <w:tcPr>
            <w:tcW w:type="dxa" w:w="2486"/>
            <w:tcMar>
              <w:top w:type="dxa" w:w="80"/>
              <w:left w:type="dxa" w:w="100"/>
              <w:bottom w:type="dxa" w:w="80"/>
              <w:right w:type="dxa" w:w="100"/>
            </w:tcMar>
            <w:vAlign w:val="top"/>
          </w:tcPr>
          <w:p>
            <w:r>
              <w:rPr>
                <w:b w:val="false"/>
                <w:bCs w:val="false"/>
                <w:i w:val="false"/>
                <w:iCs w:val="false"/>
              </w:rPr>
              <w:t xml:space="preserve">Engineers</w:t>
            </w:r>
          </w:p>
        </w:tc>
        <w:tc>
          <w:tcPr>
            <w:tcW w:type="dxa" w:w="2925"/>
            <w:tcMar>
              <w:top w:type="dxa" w:w="80"/>
              <w:left w:type="dxa" w:w="100"/>
              <w:bottom w:type="dxa" w:w="80"/>
              <w:right w:type="dxa" w:w="100"/>
            </w:tcMar>
            <w:vAlign w:val="top"/>
          </w:tcPr>
          <w:p>
            <w:r>
              <w:rPr>
                <w:b w:val="false"/>
                <w:bCs w:val="false"/>
                <w:i w:val="false"/>
                <w:iCs w:val="false"/>
              </w:rPr>
              <w:t xml:space="preserve">Edit engineering checklist and document status fields.</w:t>
            </w:r>
          </w:p>
        </w:tc>
        <w:tc>
          <w:tcPr>
            <w:tcW w:type="dxa" w:w="2486"/>
            <w:tcMar>
              <w:top w:type="dxa" w:w="80"/>
              <w:left w:type="dxa" w:w="100"/>
              <w:bottom w:type="dxa" w:w="80"/>
              <w:right w:type="dxa" w:w="100"/>
            </w:tcMar>
            <w:vAlign w:val="top"/>
          </w:tcPr>
          <w:p>
            <w:r>
              <w:rPr>
                <w:b w:val="false"/>
                <w:bCs w:val="false"/>
                <w:i w:val="false"/>
                <w:iCs w:val="false"/>
              </w:rPr>
              <w:t xml:space="preserve">Depends on checklist content from Cole.</w:t>
            </w:r>
          </w:p>
        </w:tc>
      </w:tr>
      <w:tr>
        <w:tc>
          <w:tcPr>
            <w:tcW w:type="dxa" w:w="1463"/>
            <w:tcMar>
              <w:top w:type="dxa" w:w="80"/>
              <w:left w:type="dxa" w:w="100"/>
              <w:bottom w:type="dxa" w:w="80"/>
              <w:right w:type="dxa" w:w="100"/>
            </w:tcMar>
            <w:vAlign w:val="top"/>
          </w:tcPr>
          <w:p>
            <w:r>
              <w:rPr>
                <w:b w:val="false"/>
                <w:bCs w:val="false"/>
                <w:i w:val="false"/>
                <w:iCs w:val="false"/>
              </w:rPr>
              <w:t xml:space="preserve">Scheduler Edit</w:t>
            </w:r>
          </w:p>
        </w:tc>
        <w:tc>
          <w:tcPr>
            <w:tcW w:type="dxa" w:w="2486"/>
            <w:tcMar>
              <w:top w:type="dxa" w:w="80"/>
              <w:left w:type="dxa" w:w="100"/>
              <w:bottom w:type="dxa" w:w="80"/>
              <w:right w:type="dxa" w:w="100"/>
            </w:tcMar>
            <w:vAlign w:val="top"/>
          </w:tcPr>
          <w:p>
            <w:r>
              <w:rPr>
                <w:b w:val="false"/>
                <w:bCs w:val="false"/>
                <w:i w:val="false"/>
                <w:iCs w:val="false"/>
              </w:rPr>
              <w:t xml:space="preserve">Project Scheduler</w:t>
            </w:r>
          </w:p>
        </w:tc>
        <w:tc>
          <w:tcPr>
            <w:tcW w:type="dxa" w:w="2925"/>
            <w:tcMar>
              <w:top w:type="dxa" w:w="80"/>
              <w:left w:type="dxa" w:w="100"/>
              <w:bottom w:type="dxa" w:w="80"/>
              <w:right w:type="dxa" w:w="100"/>
            </w:tcMar>
            <w:vAlign w:val="top"/>
          </w:tcPr>
          <w:p>
            <w:r>
              <w:rPr>
                <w:b w:val="false"/>
                <w:bCs w:val="false"/>
                <w:i w:val="false"/>
                <w:iCs w:val="false"/>
              </w:rPr>
              <w:t xml:space="preserve">Edit milestone data; upload schedule data.</w:t>
            </w:r>
          </w:p>
        </w:tc>
        <w:tc>
          <w:tcPr>
            <w:tcW w:type="dxa" w:w="2486"/>
            <w:tcMar>
              <w:top w:type="dxa" w:w="80"/>
              <w:left w:type="dxa" w:w="100"/>
              <w:bottom w:type="dxa" w:w="80"/>
              <w:right w:type="dxa" w:w="100"/>
            </w:tcMar>
            <w:vAlign w:val="top"/>
          </w:tcPr>
          <w:p>
            <w:r>
              <w:rPr>
                <w:b w:val="false"/>
                <w:bCs w:val="false"/>
                <w:i w:val="false"/>
                <w:iCs w:val="false"/>
              </w:rPr>
              <w:t xml:space="preserve">Dotted-line relationship; not permanent AEWTTR employee.</w:t>
            </w:r>
          </w:p>
        </w:tc>
      </w:tr>
      <w:tr>
        <w:tc>
          <w:tcPr>
            <w:tcW w:type="dxa" w:w="1463"/>
            <w:tcMar>
              <w:top w:type="dxa" w:w="80"/>
              <w:left w:type="dxa" w:w="100"/>
              <w:bottom w:type="dxa" w:w="80"/>
              <w:right w:type="dxa" w:w="100"/>
            </w:tcMar>
            <w:vAlign w:val="top"/>
          </w:tcPr>
          <w:p>
            <w:r>
              <w:rPr>
                <w:b w:val="false"/>
                <w:bCs w:val="false"/>
                <w:i w:val="false"/>
                <w:iCs w:val="false"/>
              </w:rPr>
              <w:t xml:space="preserve">Administrator</w:t>
            </w:r>
          </w:p>
        </w:tc>
        <w:tc>
          <w:tcPr>
            <w:tcW w:type="dxa" w:w="2486"/>
            <w:tcMar>
              <w:top w:type="dxa" w:w="80"/>
              <w:left w:type="dxa" w:w="100"/>
              <w:bottom w:type="dxa" w:w="80"/>
              <w:right w:type="dxa" w:w="100"/>
            </w:tcMar>
            <w:vAlign w:val="top"/>
          </w:tcPr>
          <w:p>
            <w:r>
              <w:rPr>
                <w:b w:val="false"/>
                <w:bCs w:val="false"/>
                <w:i w:val="false"/>
                <w:iCs w:val="false"/>
              </w:rPr>
              <w:t xml:space="preserve">Contracts Manager (Aimee Bloomberg, recommended)</w:t>
            </w:r>
          </w:p>
        </w:tc>
        <w:tc>
          <w:tcPr>
            <w:tcW w:type="dxa" w:w="2925"/>
            <w:tcMar>
              <w:top w:type="dxa" w:w="80"/>
              <w:left w:type="dxa" w:w="100"/>
              <w:bottom w:type="dxa" w:w="80"/>
              <w:right w:type="dxa" w:w="100"/>
            </w:tcMar>
            <w:vAlign w:val="top"/>
          </w:tcPr>
          <w:p>
            <w:r>
              <w:rPr>
                <w:b w:val="false"/>
                <w:bCs w:val="false"/>
                <w:i w:val="false"/>
                <w:iCs w:val="false"/>
              </w:rPr>
              <w:t xml:space="preserve">Full edit; manage users; manage imports; manage app/flow ownership.</w:t>
            </w:r>
          </w:p>
        </w:tc>
        <w:tc>
          <w:tcPr>
            <w:tcW w:type="dxa" w:w="2486"/>
            <w:tcMar>
              <w:top w:type="dxa" w:w="80"/>
              <w:left w:type="dxa" w:w="100"/>
              <w:bottom w:type="dxa" w:w="80"/>
              <w:right w:type="dxa" w:w="100"/>
            </w:tcMar>
            <w:vAlign w:val="top"/>
          </w:tcPr>
          <w:p>
            <w:r>
              <w:rPr>
                <w:b w:val="false"/>
                <w:bCs w:val="false"/>
                <w:i w:val="false"/>
                <w:iCs w:val="false"/>
              </w:rPr>
              <w:t xml:space="preserve">Must be a permanent AEWTTR NMCI account to avoid continuity risk.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IMPLEMENTATION NOTE — FIREPIT/FORGE: Firepit's security guards (network allow-listing, content-security-policy, navigation/exfiltration protection) govern what a hosted application can do on the network; they are not a substitute for row- or field-level permissions. Role-based access as described above must still be enforced either through SharePoint list-level/column-level permissions, or through logic inside the application itself. This is a design responsibility for Phase 2, not something Firepit provides automatically.</w:t>
            </w:r>
          </w:p>
        </w:tc>
      </w:tr>
    </w:tbl>
    <w:p>
      <w:pPr>
        <w:spacing w:after="120"/>
      </w:pPr>
    </w:p>
    <w:p>
      <w:pPr>
        <w:pStyle w:val="Heading2"/>
        <w:spacing w:after="120" w:before="260"/>
      </w:pPr>
      <w:r>
        <w:rPr>
          <w:b/>
          <w:bCs/>
        </w:rPr>
        <w:t xml:space="preserve">Data Sensitivity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RISK: Combining the identity of a specific system with a specific range or site location in the same data record may create an unnecessarily sensitive combined data product, even if each piece of information is individually unremarkable on its own. This concern was raised explicitly by experienced developers in the peer IPT team during their tool demonstration. Consult AEWTTR's security team before linking system-to-site data in any shared application.</w:t>
            </w:r>
          </w:p>
        </w:tc>
      </w:tr>
    </w:tbl>
    <w:p>
      <w:pPr>
        <w:spacing w:after="120"/>
      </w:pPr>
    </w:p>
    <w:p>
      <w:pPr>
        <w:spacing w:after="160"/>
      </w:pPr>
      <w:r>
        <w:t xml:space="preserve">Recommended design approach:</w:t>
      </w:r>
    </w:p>
    <w:p>
      <w:pPr>
        <w:pStyle w:val="ListParagraph"/>
        <w:numPr>
          <w:ilvl w:val="0"/>
          <w:numId w:val="1"/>
        </w:numPr>
        <w:spacing w:after="80"/>
      </w:pPr>
      <w:r>
        <w:t xml:space="preserve">Keep system identity fields and range/site location fields in separate data objects where possible.</w:t>
      </w:r>
    </w:p>
    <w:p>
      <w:pPr>
        <w:pStyle w:val="ListParagraph"/>
        <w:numPr>
          <w:ilvl w:val="0"/>
          <w:numId w:val="1"/>
        </w:numPr>
        <w:spacing w:after="80"/>
      </w:pPr>
      <w:r>
        <w:t xml:space="preserve">Use a non-identifying key to link them rather than storing both in the same plain-text record.</w:t>
      </w:r>
    </w:p>
    <w:p>
      <w:pPr>
        <w:pStyle w:val="ListParagraph"/>
        <w:numPr>
          <w:ilvl w:val="0"/>
          <w:numId w:val="1"/>
        </w:numPr>
        <w:spacing w:after="80"/>
      </w:pPr>
      <w:r>
        <w:t xml:space="preserve">Do not assume that Flank Speed hosting automatically resolves the data sensitivity question.</w:t>
      </w:r>
    </w:p>
    <w:p>
      <w:pPr>
        <w:pStyle w:val="ListParagraph"/>
        <w:numPr>
          <w:ilvl w:val="0"/>
          <w:numId w:val="1"/>
        </w:numPr>
        <w:spacing w:after="80"/>
      </w:pPr>
      <w:r>
        <w:t xml:space="preserve">Initiate a security review before the schema is finalized for any field combination that could create this issue.</w:t>
      </w:r>
    </w:p>
    <w:p>
      <w:pPr>
        <w:pStyle w:val="Heading2"/>
        <w:spacing w:after="120" w:before="260"/>
      </w:pPr>
      <w:r>
        <w:rPr>
          <w:b/>
          <w:bCs/>
        </w:rPr>
        <w:t xml:space="preserve">Restricted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467"/>
        <w:gridCol w:w="3813"/>
      </w:tblGrid>
      <w:tr>
        <w:trPr>
          <w:tblHeader/>
        </w:trPr>
        <w:tc>
          <w:tcPr>
            <w:tcW w:type="dxa" w:w="2080"/>
            <w:shd w:fill="D9D9D9" w:val="clear"/>
            <w:tcMar>
              <w:top w:type="dxa" w:w="80"/>
              <w:left w:type="dxa" w:w="100"/>
              <w:bottom w:type="dxa" w:w="80"/>
              <w:right w:type="dxa" w:w="100"/>
            </w:tcMar>
            <w:vAlign w:val="top"/>
          </w:tcPr>
          <w:p>
            <w:r>
              <w:rPr>
                <w:b/>
                <w:bCs/>
                <w:i w:val="false"/>
                <w:iCs w:val="false"/>
              </w:rPr>
              <w:t xml:space="preserve">System</w:t>
            </w:r>
          </w:p>
        </w:tc>
        <w:tc>
          <w:tcPr>
            <w:tcW w:type="dxa" w:w="3467"/>
            <w:shd w:fill="D9D9D9" w:val="clear"/>
            <w:tcMar>
              <w:top w:type="dxa" w:w="80"/>
              <w:left w:type="dxa" w:w="100"/>
              <w:bottom w:type="dxa" w:w="80"/>
              <w:right w:type="dxa" w:w="100"/>
            </w:tcMar>
            <w:vAlign w:val="top"/>
          </w:tcPr>
          <w:p>
            <w:r>
              <w:rPr>
                <w:b/>
                <w:bCs/>
                <w:i w:val="false"/>
                <w:iCs w:val="false"/>
              </w:rPr>
              <w:t xml:space="preserve">Access Status</w:t>
            </w:r>
          </w:p>
        </w:tc>
        <w:tc>
          <w:tcPr>
            <w:tcW w:type="dxa" w:w="3813"/>
            <w:shd w:fill="D9D9D9" w:val="clear"/>
            <w:tcMar>
              <w:top w:type="dxa" w:w="80"/>
              <w:left w:type="dxa" w:w="100"/>
              <w:bottom w:type="dxa" w:w="80"/>
              <w:right w:type="dxa" w:w="100"/>
            </w:tcMar>
            <w:vAlign w:val="top"/>
          </w:tcPr>
          <w:p>
            <w:r>
              <w:rPr>
                <w:b/>
                <w:bCs/>
                <w:i w:val="false"/>
                <w:iCs w:val="false"/>
              </w:rPr>
              <w:t xml:space="preserve">Application Approach</w:t>
            </w:r>
          </w:p>
        </w:tc>
      </w:tr>
      <w:tr>
        <w:tc>
          <w:tcPr>
            <w:tcW w:type="dxa" w:w="2080"/>
            <w:tcMar>
              <w:top w:type="dxa" w:w="80"/>
              <w:left w:type="dxa" w:w="100"/>
              <w:bottom w:type="dxa" w:w="80"/>
              <w:right w:type="dxa" w:w="100"/>
            </w:tcMar>
            <w:vAlign w:val="top"/>
          </w:tcPr>
          <w:p>
            <w:r>
              <w:rPr>
                <w:b w:val="false"/>
                <w:bCs w:val="false"/>
                <w:i w:val="false"/>
                <w:iCs w:val="false"/>
              </w:rPr>
              <w:t xml:space="preserve">Navy ERP</w:t>
            </w:r>
          </w:p>
        </w:tc>
        <w:tc>
          <w:tcPr>
            <w:tcW w:type="dxa" w:w="3467"/>
            <w:tcMar>
              <w:top w:type="dxa" w:w="80"/>
              <w:left w:type="dxa" w:w="100"/>
              <w:bottom w:type="dxa" w:w="80"/>
              <w:right w:type="dxa" w:w="100"/>
            </w:tcMar>
            <w:vAlign w:val="top"/>
          </w:tcPr>
          <w:p>
            <w:r>
              <w:rPr>
                <w:b w:val="false"/>
                <w:bCs w:val="false"/>
                <w:i w:val="false"/>
                <w:iCs w:val="false"/>
              </w:rPr>
              <w:t xml:space="preserve">Manual export only (weekly by BFM).</w:t>
            </w:r>
          </w:p>
        </w:tc>
        <w:tc>
          <w:tcPr>
            <w:tcW w:type="dxa" w:w="3813"/>
            <w:tcMar>
              <w:top w:type="dxa" w:w="80"/>
              <w:left w:type="dxa" w:w="100"/>
              <w:bottom w:type="dxa" w:w="80"/>
              <w:right w:type="dxa" w:w="100"/>
            </w:tcMar>
            <w:vAlign w:val="top"/>
          </w:tcPr>
          <w:p>
            <w:r>
              <w:rPr>
                <w:b w:val="false"/>
                <w:bCs w:val="false"/>
                <w:i w:val="false"/>
                <w:iCs w:val="false"/>
              </w:rPr>
              <w:t xml:space="preserve">Manual file drop to shared SPO folder; import into financial list.</w:t>
            </w:r>
          </w:p>
        </w:tc>
      </w:tr>
      <w:tr>
        <w:tc>
          <w:tcPr>
            <w:tcW w:type="dxa" w:w="2080"/>
            <w:tcMar>
              <w:top w:type="dxa" w:w="80"/>
              <w:left w:type="dxa" w:w="100"/>
              <w:bottom w:type="dxa" w:w="80"/>
              <w:right w:type="dxa" w:w="100"/>
            </w:tcMar>
            <w:vAlign w:val="top"/>
          </w:tcPr>
          <w:p>
            <w:r>
              <w:rPr>
                <w:b w:val="false"/>
                <w:bCs w:val="false"/>
                <w:i w:val="false"/>
                <w:iCs w:val="false"/>
              </w:rPr>
              <w:t xml:space="preserve">eMASS</w:t>
            </w:r>
          </w:p>
        </w:tc>
        <w:tc>
          <w:tcPr>
            <w:tcW w:type="dxa" w:w="3467"/>
            <w:tcMar>
              <w:top w:type="dxa" w:w="80"/>
              <w:left w:type="dxa" w:w="100"/>
              <w:bottom w:type="dxa" w:w="80"/>
              <w:right w:type="dxa" w:w="100"/>
            </w:tcMar>
            <w:vAlign w:val="top"/>
          </w:tcPr>
          <w:p>
            <w:r>
              <w:rPr>
                <w:b w:val="false"/>
                <w:bCs w:val="false"/>
                <w:i w:val="false"/>
                <w:iCs w:val="false"/>
              </w:rPr>
              <w:t xml:space="preserve">Restricted network — no direct access.</w:t>
            </w:r>
          </w:p>
        </w:tc>
        <w:tc>
          <w:tcPr>
            <w:tcW w:type="dxa" w:w="3813"/>
            <w:tcMar>
              <w:top w:type="dxa" w:w="80"/>
              <w:left w:type="dxa" w:w="100"/>
              <w:bottom w:type="dxa" w:w="80"/>
              <w:right w:type="dxa" w:w="100"/>
            </w:tcMar>
            <w:vAlign w:val="top"/>
          </w:tcPr>
          <w:p>
            <w:r>
              <w:rPr>
                <w:b w:val="false"/>
                <w:bCs w:val="false"/>
                <w:i w:val="false"/>
                <w:iCs w:val="false"/>
              </w:rPr>
              <w:t xml:space="preserve">Manual entry by cyber team into cyber compliance step field.</w:t>
            </w:r>
          </w:p>
        </w:tc>
      </w:tr>
      <w:tr>
        <w:tc>
          <w:tcPr>
            <w:tcW w:type="dxa" w:w="2080"/>
            <w:tcMar>
              <w:top w:type="dxa" w:w="80"/>
              <w:left w:type="dxa" w:w="100"/>
              <w:bottom w:type="dxa" w:w="80"/>
              <w:right w:type="dxa" w:w="100"/>
            </w:tcMar>
            <w:vAlign w:val="top"/>
          </w:tcPr>
          <w:p>
            <w:r>
              <w:rPr>
                <w:b w:val="false"/>
                <w:bCs w:val="false"/>
                <w:i w:val="false"/>
                <w:iCs w:val="false"/>
              </w:rPr>
              <w:t xml:space="preserve">EDA</w:t>
            </w:r>
          </w:p>
        </w:tc>
        <w:tc>
          <w:tcPr>
            <w:tcW w:type="dxa" w:w="3467"/>
            <w:tcMar>
              <w:top w:type="dxa" w:w="80"/>
              <w:left w:type="dxa" w:w="100"/>
              <w:bottom w:type="dxa" w:w="80"/>
              <w:right w:type="dxa" w:w="100"/>
            </w:tcMar>
            <w:vAlign w:val="top"/>
          </w:tcPr>
          <w:p>
            <w:r>
              <w:rPr>
                <w:b w:val="false"/>
                <w:bCs w:val="false"/>
                <w:i w:val="false"/>
                <w:iCs w:val="false"/>
              </w:rPr>
              <w:t xml:space="preserve">Likely blocked on NMCI — not confirmed [Confirm].</w:t>
            </w:r>
          </w:p>
        </w:tc>
        <w:tc>
          <w:tcPr>
            <w:tcW w:type="dxa" w:w="3813"/>
            <w:tcMar>
              <w:top w:type="dxa" w:w="80"/>
              <w:left w:type="dxa" w:w="100"/>
              <w:bottom w:type="dxa" w:w="80"/>
              <w:right w:type="dxa" w:w="100"/>
            </w:tcMar>
            <w:vAlign w:val="top"/>
          </w:tcPr>
          <w:p>
            <w:r>
              <w:rPr>
                <w:b w:val="false"/>
                <w:bCs w:val="false"/>
                <w:i w:val="false"/>
                <w:iCs w:val="false"/>
              </w:rPr>
              <w:t xml:space="preserve">Manual entry or informational link only.</w:t>
            </w:r>
          </w:p>
        </w:tc>
      </w:tr>
      <w:tr>
        <w:tc>
          <w:tcPr>
            <w:tcW w:type="dxa" w:w="2080"/>
            <w:tcMar>
              <w:top w:type="dxa" w:w="80"/>
              <w:left w:type="dxa" w:w="100"/>
              <w:bottom w:type="dxa" w:w="80"/>
              <w:right w:type="dxa" w:w="100"/>
            </w:tcMar>
            <w:vAlign w:val="top"/>
          </w:tcPr>
          <w:p>
            <w:r>
              <w:rPr>
                <w:b w:val="false"/>
                <w:bCs w:val="false"/>
                <w:i w:val="false"/>
                <w:iCs w:val="false"/>
              </w:rPr>
              <w:t xml:space="preserve">Wide Area Workflow</w:t>
            </w:r>
          </w:p>
        </w:tc>
        <w:tc>
          <w:tcPr>
            <w:tcW w:type="dxa" w:w="3467"/>
            <w:tcMar>
              <w:top w:type="dxa" w:w="80"/>
              <w:left w:type="dxa" w:w="100"/>
              <w:bottom w:type="dxa" w:w="80"/>
              <w:right w:type="dxa" w:w="100"/>
            </w:tcMar>
            <w:vAlign w:val="top"/>
          </w:tcPr>
          <w:p>
            <w:r>
              <w:rPr>
                <w:b w:val="false"/>
                <w:bCs w:val="false"/>
                <w:i w:val="false"/>
                <w:iCs w:val="false"/>
              </w:rPr>
              <w:t xml:space="preserve">Likely blocked on NMCI — not confirmed [Confirm].</w:t>
            </w:r>
          </w:p>
        </w:tc>
        <w:tc>
          <w:tcPr>
            <w:tcW w:type="dxa" w:w="3813"/>
            <w:tcMar>
              <w:top w:type="dxa" w:w="80"/>
              <w:left w:type="dxa" w:w="100"/>
              <w:bottom w:type="dxa" w:w="80"/>
              <w:right w:type="dxa" w:w="100"/>
            </w:tcMar>
            <w:vAlign w:val="top"/>
          </w:tcPr>
          <w:p>
            <w:r>
              <w:rPr>
                <w:b w:val="false"/>
                <w:bCs w:val="false"/>
                <w:i w:val="false"/>
                <w:iCs w:val="false"/>
              </w:rPr>
              <w:t xml:space="preserve">Manual entry or informational link only.</w:t>
            </w:r>
          </w:p>
        </w:tc>
      </w:tr>
      <w:tr>
        <w:tc>
          <w:tcPr>
            <w:tcW w:type="dxa" w:w="2080"/>
            <w:tcMar>
              <w:top w:type="dxa" w:w="80"/>
              <w:left w:type="dxa" w:w="100"/>
              <w:bottom w:type="dxa" w:w="80"/>
              <w:right w:type="dxa" w:w="100"/>
            </w:tcMar>
            <w:vAlign w:val="top"/>
          </w:tcPr>
          <w:p>
            <w:r>
              <w:rPr>
                <w:b w:val="false"/>
                <w:bCs w:val="false"/>
                <w:i w:val="false"/>
                <w:iCs w:val="false"/>
              </w:rPr>
              <w:t xml:space="preserve">SAM.gov</w:t>
            </w:r>
          </w:p>
        </w:tc>
        <w:tc>
          <w:tcPr>
            <w:tcW w:type="dxa" w:w="3467"/>
            <w:tcMar>
              <w:top w:type="dxa" w:w="80"/>
              <w:left w:type="dxa" w:w="100"/>
              <w:bottom w:type="dxa" w:w="80"/>
              <w:right w:type="dxa" w:w="100"/>
            </w:tcMar>
            <w:vAlign w:val="top"/>
          </w:tcPr>
          <w:p>
            <w:r>
              <w:rPr>
                <w:b w:val="false"/>
                <w:bCs w:val="false"/>
                <w:i w:val="false"/>
                <w:iCs w:val="false"/>
              </w:rPr>
              <w:t xml:space="preserve">Likely blocked on NMCI — not confirmed [Confirm].</w:t>
            </w:r>
          </w:p>
        </w:tc>
        <w:tc>
          <w:tcPr>
            <w:tcW w:type="dxa" w:w="3813"/>
            <w:tcMar>
              <w:top w:type="dxa" w:w="80"/>
              <w:left w:type="dxa" w:w="100"/>
              <w:bottom w:type="dxa" w:w="80"/>
              <w:right w:type="dxa" w:w="100"/>
            </w:tcMar>
            <w:vAlign w:val="top"/>
          </w:tcPr>
          <w:p>
            <w:r>
              <w:rPr>
                <w:b w:val="false"/>
                <w:bCs w:val="false"/>
                <w:i w:val="false"/>
                <w:iCs w:val="false"/>
              </w:rPr>
              <w:t xml:space="preserve">Informational link only.</w:t>
            </w:r>
          </w:p>
        </w:tc>
      </w:tr>
      <w:tr>
        <w:tc>
          <w:tcPr>
            <w:tcW w:type="dxa" w:w="2080"/>
            <w:tcMar>
              <w:top w:type="dxa" w:w="80"/>
              <w:left w:type="dxa" w:w="100"/>
              <w:bottom w:type="dxa" w:w="80"/>
              <w:right w:type="dxa" w:w="100"/>
            </w:tcMar>
            <w:vAlign w:val="top"/>
          </w:tcPr>
          <w:p>
            <w:r>
              <w:rPr>
                <w:b w:val="false"/>
                <w:bCs w:val="false"/>
                <w:i w:val="false"/>
                <w:iCs w:val="false"/>
              </w:rPr>
              <w:t xml:space="preserve">Windchill</w:t>
            </w:r>
          </w:p>
        </w:tc>
        <w:tc>
          <w:tcPr>
            <w:tcW w:type="dxa" w:w="3467"/>
            <w:tcMar>
              <w:top w:type="dxa" w:w="80"/>
              <w:left w:type="dxa" w:w="100"/>
              <w:bottom w:type="dxa" w:w="80"/>
              <w:right w:type="dxa" w:w="100"/>
            </w:tcMar>
            <w:vAlign w:val="top"/>
          </w:tcPr>
          <w:p>
            <w:r>
              <w:rPr>
                <w:b w:val="false"/>
                <w:bCs w:val="false"/>
                <w:i w:val="false"/>
                <w:iCs w:val="false"/>
              </w:rPr>
              <w:t xml:space="preserve">Access and naming issues documented.</w:t>
            </w:r>
          </w:p>
        </w:tc>
        <w:tc>
          <w:tcPr>
            <w:tcW w:type="dxa" w:w="3813"/>
            <w:tcMar>
              <w:top w:type="dxa" w:w="80"/>
              <w:left w:type="dxa" w:w="100"/>
              <w:bottom w:type="dxa" w:w="80"/>
              <w:right w:type="dxa" w:w="100"/>
            </w:tcMar>
            <w:vAlign w:val="top"/>
          </w:tcPr>
          <w:p>
            <w:r>
              <w:rPr>
                <w:b w:val="false"/>
                <w:bCs w:val="false"/>
                <w:i w:val="false"/>
                <w:iCs w:val="false"/>
              </w:rPr>
              <w:t xml:space="preserve">Informational links where records can be located.</w:t>
            </w:r>
          </w:p>
        </w:tc>
      </w:tr>
    </w:tbl>
    <w:p>
      <w:pPr>
        <w:pStyle w:val="Heading2"/>
        <w:spacing w:after="120" w:before="260"/>
      </w:pPr>
      <w:r>
        <w:rPr>
          <w:b/>
          <w:bCs/>
        </w:rPr>
        <w:t xml:space="preserve">Application and Flow Ownership Continuity</w:t>
      </w:r>
    </w:p>
    <w:p>
      <w:pPr>
        <w:spacing w:after="160"/>
      </w:pPr>
      <w:r>
        <w:t xml:space="preserve">Power Automate flows are tied to the account of the user who created them. When that account is deactivated — including at the end of an internship — flows may break or stop running. The same continuity risk applies to any SharePoint list, Power App, or Firepit-hosted application configured under the intern's account. This has been identified as a known risk and should be addressed before the internship ends.</w:t>
      </w:r>
    </w:p>
    <w:p>
      <w:pPr>
        <w:spacing w:after="160"/>
      </w:pPr>
      <w:r>
        <w:t xml:space="preserve">Mitigation: All flows, lists, and applications should be co-owned by a permanent government employee account (Aimee Bloomberg is the recommended candidate) before the internship concludes. Rebuild documentation should be produced regardless of co-ownership status. For Firepit/Forge specifically, the editable Forge project folder (not just the compiled artifact deployed to SharePoint) is the critical handoff item — see Section 17 (Long Term — Sustained Ownership).</w:t>
      </w:r>
    </w:p>
    <w:p>
      <w:pPr>
        <w:pStyle w:val="Heading1"/>
        <w:spacing w:after="160" w:before="360"/>
      </w:pPr>
      <w:r>
        <w:rPr>
          <w:b/>
          <w:bCs/>
        </w:rPr>
        <w:t xml:space="preserve">20. Sustainment and Manpower Considerations</w:t>
      </w:r>
    </w:p>
    <w:p>
      <w:pPr>
        <w:pStyle w:val="Heading2"/>
        <w:spacing w:after="120" w:before="260"/>
      </w:pPr>
      <w:r>
        <w:rPr>
          <w:b/>
          <w:bCs/>
        </w:rPr>
        <w:t xml:space="preserve">Application Ownership After the Internship</w:t>
      </w:r>
    </w:p>
    <w:p>
      <w:pPr>
        <w:spacing w:after="160"/>
      </w:pPr>
      <w:r>
        <w:t xml:space="preserve">At the conclusion of the internship, every application, SharePoint list, and any Power Automate flow built during the engagement should have a named, active government account as owner. The Contracts Manager (Aimee Bloomberg) was identified as the most active technical stakeholder and the most appropriate candidate. This should be formally confirmed and she should be co-owner on all tools before the internship ends.</w:t>
      </w:r>
    </w:p>
    <w:p>
      <w:pPr>
        <w:pStyle w:val="Heading2"/>
        <w:spacing w:after="120" w:before="260"/>
      </w:pPr>
      <w:r>
        <w:rPr>
          <w:b/>
          <w:bCs/>
        </w:rPr>
        <w:t xml:space="preserve">Data Domain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3"/>
        <w:gridCol w:w="3467"/>
        <w:gridCol w:w="3120"/>
      </w:tblGrid>
      <w:tr>
        <w:trPr>
          <w:tblHeader/>
        </w:trPr>
        <w:tc>
          <w:tcPr>
            <w:tcW w:type="dxa" w:w="2773"/>
            <w:shd w:fill="D9D9D9" w:val="clear"/>
            <w:tcMar>
              <w:top w:type="dxa" w:w="80"/>
              <w:left w:type="dxa" w:w="100"/>
              <w:bottom w:type="dxa" w:w="80"/>
              <w:right w:type="dxa" w:w="100"/>
            </w:tcMar>
            <w:vAlign w:val="top"/>
          </w:tcPr>
          <w:p>
            <w:r>
              <w:rPr>
                <w:b/>
                <w:bCs/>
                <w:i w:val="false"/>
                <w:iCs w:val="false"/>
              </w:rPr>
              <w:t xml:space="preserve">Data Domain</w:t>
            </w:r>
          </w:p>
        </w:tc>
        <w:tc>
          <w:tcPr>
            <w:tcW w:type="dxa" w:w="3467"/>
            <w:shd w:fill="D9D9D9" w:val="clear"/>
            <w:tcMar>
              <w:top w:type="dxa" w:w="80"/>
              <w:left w:type="dxa" w:w="100"/>
              <w:bottom w:type="dxa" w:w="80"/>
              <w:right w:type="dxa" w:w="100"/>
            </w:tcMar>
            <w:vAlign w:val="top"/>
          </w:tcPr>
          <w:p>
            <w:r>
              <w:rPr>
                <w:b/>
                <w:bCs/>
                <w:i w:val="false"/>
                <w:iCs w:val="false"/>
              </w:rPr>
              <w:t xml:space="preserve">Recommended Owner</w:t>
            </w:r>
          </w:p>
        </w:tc>
        <w:tc>
          <w:tcPr>
            <w:tcW w:type="dxa" w:w="3120"/>
            <w:shd w:fill="D9D9D9" w:val="clear"/>
            <w:tcMar>
              <w:top w:type="dxa" w:w="80"/>
              <w:left w:type="dxa" w:w="100"/>
              <w:bottom w:type="dxa" w:w="80"/>
              <w:right w:type="dxa" w:w="100"/>
            </w:tcMar>
            <w:vAlign w:val="top"/>
          </w:tcPr>
          <w:p>
            <w:r>
              <w:rPr>
                <w:b/>
                <w:bCs/>
                <w:i w:val="false"/>
                <w:iCs w:val="false"/>
              </w:rPr>
              <w:t xml:space="preserve">Update Cadence</w:t>
            </w:r>
          </w:p>
        </w:tc>
      </w:tr>
      <w:tr>
        <w:tc>
          <w:tcPr>
            <w:tcW w:type="dxa" w:w="2773"/>
            <w:tcMar>
              <w:top w:type="dxa" w:w="80"/>
              <w:left w:type="dxa" w:w="100"/>
              <w:bottom w:type="dxa" w:w="80"/>
              <w:right w:type="dxa" w:w="100"/>
            </w:tcMar>
            <w:vAlign w:val="top"/>
          </w:tcPr>
          <w:p>
            <w:r>
              <w:rPr>
                <w:b w:val="false"/>
                <w:bCs w:val="false"/>
                <w:i w:val="false"/>
                <w:iCs w:val="false"/>
              </w:rPr>
              <w:t xml:space="preserve">Project status / narrative</w:t>
            </w:r>
          </w:p>
        </w:tc>
        <w:tc>
          <w:tcPr>
            <w:tcW w:type="dxa" w:w="3467"/>
            <w:tcMar>
              <w:top w:type="dxa" w:w="80"/>
              <w:left w:type="dxa" w:w="100"/>
              <w:bottom w:type="dxa" w:w="80"/>
              <w:right w:type="dxa" w:w="100"/>
            </w:tcMar>
            <w:vAlign w:val="top"/>
          </w:tcPr>
          <w:p>
            <w:r>
              <w:rPr>
                <w:b w:val="false"/>
                <w:bCs w:val="false"/>
                <w:i w:val="false"/>
                <w:iCs w:val="false"/>
              </w:rPr>
              <w:t xml:space="preserve">Project Managers</w:t>
            </w:r>
          </w:p>
        </w:tc>
        <w:tc>
          <w:tcPr>
            <w:tcW w:type="dxa" w:w="3120"/>
            <w:tcMar>
              <w:top w:type="dxa" w:w="80"/>
              <w:left w:type="dxa" w:w="100"/>
              <w:bottom w:type="dxa" w:w="80"/>
              <w:right w:type="dxa" w:w="100"/>
            </w:tcMar>
            <w:vAlign w:val="top"/>
          </w:tcPr>
          <w:p>
            <w:r>
              <w:rPr>
                <w:b w:val="false"/>
                <w:bCs w:val="false"/>
                <w:i w:val="false"/>
                <w:iCs w:val="false"/>
              </w:rPr>
              <w:t xml:space="preserve">Bi-weekly or monthly per reporting cycle</w:t>
            </w:r>
          </w:p>
        </w:tc>
      </w:tr>
      <w:tr>
        <w:tc>
          <w:tcPr>
            <w:tcW w:type="dxa" w:w="2773"/>
            <w:tcMar>
              <w:top w:type="dxa" w:w="80"/>
              <w:left w:type="dxa" w:w="100"/>
              <w:bottom w:type="dxa" w:w="80"/>
              <w:right w:type="dxa" w:w="100"/>
            </w:tcMar>
            <w:vAlign w:val="top"/>
          </w:tcPr>
          <w:p>
            <w:r>
              <w:rPr>
                <w:b w:val="false"/>
                <w:bCs w:val="false"/>
                <w:i w:val="false"/>
                <w:iCs w:val="false"/>
              </w:rPr>
              <w:t xml:space="preserve">Financial actuals</w:t>
            </w:r>
          </w:p>
        </w:tc>
        <w:tc>
          <w:tcPr>
            <w:tcW w:type="dxa" w:w="3467"/>
            <w:tcMar>
              <w:top w:type="dxa" w:w="80"/>
              <w:left w:type="dxa" w:w="100"/>
              <w:bottom w:type="dxa" w:w="80"/>
              <w:right w:type="dxa" w:w="100"/>
            </w:tcMar>
            <w:vAlign w:val="top"/>
          </w:tcPr>
          <w:p>
            <w:r>
              <w:rPr>
                <w:b w:val="false"/>
                <w:bCs w:val="false"/>
                <w:i w:val="false"/>
                <w:iCs w:val="false"/>
              </w:rPr>
              <w:t xml:space="preserve">BFM, supported by Contracts Manager</w:t>
            </w:r>
          </w:p>
        </w:tc>
        <w:tc>
          <w:tcPr>
            <w:tcW w:type="dxa" w:w="3120"/>
            <w:tcMar>
              <w:top w:type="dxa" w:w="80"/>
              <w:left w:type="dxa" w:w="100"/>
              <w:bottom w:type="dxa" w:w="80"/>
              <w:right w:type="dxa" w:w="100"/>
            </w:tcMar>
            <w:vAlign w:val="top"/>
          </w:tcPr>
          <w:p>
            <w:r>
              <w:rPr>
                <w:b w:val="false"/>
                <w:bCs w:val="false"/>
                <w:i w:val="false"/>
                <w:iCs w:val="false"/>
              </w:rPr>
              <w:t xml:space="preserve">Weekly (ERP extract); monthly (spend plan update)</w:t>
            </w:r>
          </w:p>
        </w:tc>
      </w:tr>
      <w:tr>
        <w:tc>
          <w:tcPr>
            <w:tcW w:type="dxa" w:w="2773"/>
            <w:tcMar>
              <w:top w:type="dxa" w:w="80"/>
              <w:left w:type="dxa" w:w="100"/>
              <w:bottom w:type="dxa" w:w="80"/>
              <w:right w:type="dxa" w:w="100"/>
            </w:tcMar>
            <w:vAlign w:val="top"/>
          </w:tcPr>
          <w:p>
            <w:r>
              <w:rPr>
                <w:b w:val="false"/>
                <w:bCs w:val="false"/>
                <w:i w:val="false"/>
                <w:iCs w:val="false"/>
              </w:rPr>
              <w:t xml:space="preserve">Contract / task order data</w:t>
            </w:r>
          </w:p>
        </w:tc>
        <w:tc>
          <w:tcPr>
            <w:tcW w:type="dxa" w:w="3467"/>
            <w:tcMar>
              <w:top w:type="dxa" w:w="80"/>
              <w:left w:type="dxa" w:w="100"/>
              <w:bottom w:type="dxa" w:w="80"/>
              <w:right w:type="dxa" w:w="100"/>
            </w:tcMar>
            <w:vAlign w:val="top"/>
          </w:tcPr>
          <w:p>
            <w:r>
              <w:rPr>
                <w:b w:val="false"/>
                <w:bCs w:val="false"/>
                <w:i w:val="false"/>
                <w:iCs w:val="false"/>
              </w:rPr>
              <w:t xml:space="preserve">Contracts team</w:t>
            </w:r>
          </w:p>
        </w:tc>
        <w:tc>
          <w:tcPr>
            <w:tcW w:type="dxa" w:w="3120"/>
            <w:tcMar>
              <w:top w:type="dxa" w:w="80"/>
              <w:left w:type="dxa" w:w="100"/>
              <w:bottom w:type="dxa" w:w="80"/>
              <w:right w:type="dxa" w:w="100"/>
            </w:tcMar>
            <w:vAlign w:val="top"/>
          </w:tcPr>
          <w:p>
            <w:r>
              <w:rPr>
                <w:b w:val="false"/>
                <w:bCs w:val="false"/>
                <w:i w:val="false"/>
                <w:iCs w:val="false"/>
              </w:rPr>
              <w:t xml:space="preserve">Per modification or invoice event</w:t>
            </w:r>
          </w:p>
        </w:tc>
      </w:tr>
      <w:tr>
        <w:tc>
          <w:tcPr>
            <w:tcW w:type="dxa" w:w="2773"/>
            <w:tcMar>
              <w:top w:type="dxa" w:w="80"/>
              <w:left w:type="dxa" w:w="100"/>
              <w:bottom w:type="dxa" w:w="80"/>
              <w:right w:type="dxa" w:w="100"/>
            </w:tcMar>
            <w:vAlign w:val="top"/>
          </w:tcPr>
          <w:p>
            <w:r>
              <w:rPr>
                <w:b w:val="false"/>
                <w:bCs w:val="false"/>
                <w:i w:val="false"/>
                <w:iCs w:val="false"/>
              </w:rPr>
              <w:t xml:space="preserve">Cyber compliance step</w:t>
            </w:r>
          </w:p>
        </w:tc>
        <w:tc>
          <w:tcPr>
            <w:tcW w:type="dxa" w:w="3467"/>
            <w:tcMar>
              <w:top w:type="dxa" w:w="80"/>
              <w:left w:type="dxa" w:w="100"/>
              <w:bottom w:type="dxa" w:w="80"/>
              <w:right w:type="dxa" w:w="100"/>
            </w:tcMar>
            <w:vAlign w:val="top"/>
          </w:tcPr>
          <w:p>
            <w:r>
              <w:rPr>
                <w:b w:val="false"/>
                <w:bCs w:val="false"/>
                <w:i w:val="false"/>
                <w:iCs w:val="false"/>
              </w:rPr>
              <w:t xml:space="preserve">Cyber team lead</w:t>
            </w:r>
          </w:p>
        </w:tc>
        <w:tc>
          <w:tcPr>
            <w:tcW w:type="dxa" w:w="3120"/>
            <w:tcMar>
              <w:top w:type="dxa" w:w="80"/>
              <w:left w:type="dxa" w:w="100"/>
              <w:bottom w:type="dxa" w:w="80"/>
              <w:right w:type="dxa" w:w="100"/>
            </w:tcMar>
            <w:vAlign w:val="top"/>
          </w:tcPr>
          <w:p>
            <w:r>
              <w:rPr>
                <w:b w:val="false"/>
                <w:bCs w:val="false"/>
                <w:i w:val="false"/>
                <w:iCs w:val="false"/>
              </w:rPr>
              <w:t xml:space="preserve">Per step change</w:t>
            </w:r>
          </w:p>
        </w:tc>
      </w:tr>
      <w:tr>
        <w:tc>
          <w:tcPr>
            <w:tcW w:type="dxa" w:w="2773"/>
            <w:tcMar>
              <w:top w:type="dxa" w:w="80"/>
              <w:left w:type="dxa" w:w="100"/>
              <w:bottom w:type="dxa" w:w="80"/>
              <w:right w:type="dxa" w:w="100"/>
            </w:tcMar>
            <w:vAlign w:val="top"/>
          </w:tcPr>
          <w:p>
            <w:r>
              <w:rPr>
                <w:b w:val="false"/>
                <w:bCs w:val="false"/>
                <w:i w:val="false"/>
                <w:iCs w:val="false"/>
              </w:rPr>
              <w:t xml:space="preserve">Schedule / milestones</w:t>
            </w:r>
          </w:p>
        </w:tc>
        <w:tc>
          <w:tcPr>
            <w:tcW w:type="dxa" w:w="3467"/>
            <w:tcMar>
              <w:top w:type="dxa" w:w="80"/>
              <w:left w:type="dxa" w:w="100"/>
              <w:bottom w:type="dxa" w:w="80"/>
              <w:right w:type="dxa" w:w="100"/>
            </w:tcMar>
            <w:vAlign w:val="top"/>
          </w:tcPr>
          <w:p>
            <w:r>
              <w:rPr>
                <w:b w:val="false"/>
                <w:bCs w:val="false"/>
                <w:i w:val="false"/>
                <w:iCs w:val="false"/>
              </w:rPr>
              <w:t xml:space="preserve">Project Scheduler</w:t>
            </w:r>
          </w:p>
        </w:tc>
        <w:tc>
          <w:tcPr>
            <w:tcW w:type="dxa" w:w="3120"/>
            <w:tcMar>
              <w:top w:type="dxa" w:w="80"/>
              <w:left w:type="dxa" w:w="100"/>
              <w:bottom w:type="dxa" w:w="80"/>
              <w:right w:type="dxa" w:w="100"/>
            </w:tcMar>
            <w:vAlign w:val="top"/>
          </w:tcPr>
          <w:p>
            <w:r>
              <w:rPr>
                <w:b w:val="false"/>
                <w:bCs w:val="false"/>
                <w:i w:val="false"/>
                <w:iCs w:val="false"/>
              </w:rPr>
              <w:t xml:space="preserve">Monthly or per status cycle</w:t>
            </w:r>
          </w:p>
        </w:tc>
      </w:tr>
      <w:tr>
        <w:tc>
          <w:tcPr>
            <w:tcW w:type="dxa" w:w="2773"/>
            <w:tcMar>
              <w:top w:type="dxa" w:w="80"/>
              <w:left w:type="dxa" w:w="100"/>
              <w:bottom w:type="dxa" w:w="80"/>
              <w:right w:type="dxa" w:w="100"/>
            </w:tcMar>
            <w:vAlign w:val="top"/>
          </w:tcPr>
          <w:p>
            <w:r>
              <w:rPr>
                <w:b w:val="false"/>
                <w:bCs w:val="false"/>
                <w:i w:val="false"/>
                <w:iCs w:val="false"/>
              </w:rPr>
              <w:t xml:space="preserve">Engineering checklist</w:t>
            </w:r>
          </w:p>
        </w:tc>
        <w:tc>
          <w:tcPr>
            <w:tcW w:type="dxa" w:w="3467"/>
            <w:tcMar>
              <w:top w:type="dxa" w:w="80"/>
              <w:left w:type="dxa" w:w="100"/>
              <w:bottom w:type="dxa" w:w="80"/>
              <w:right w:type="dxa" w:w="100"/>
            </w:tcMar>
            <w:vAlign w:val="top"/>
          </w:tcPr>
          <w:p>
            <w:r>
              <w:rPr>
                <w:b w:val="false"/>
                <w:bCs w:val="false"/>
                <w:i w:val="false"/>
                <w:iCs w:val="false"/>
              </w:rPr>
              <w:t xml:space="preserve">Engineering team</w:t>
            </w:r>
          </w:p>
        </w:tc>
        <w:tc>
          <w:tcPr>
            <w:tcW w:type="dxa" w:w="3120"/>
            <w:tcMar>
              <w:top w:type="dxa" w:w="80"/>
              <w:left w:type="dxa" w:w="100"/>
              <w:bottom w:type="dxa" w:w="80"/>
              <w:right w:type="dxa" w:w="100"/>
            </w:tcMar>
            <w:vAlign w:val="top"/>
          </w:tcPr>
          <w:p>
            <w:r>
              <w:rPr>
                <w:b w:val="false"/>
                <w:bCs w:val="false"/>
                <w:i w:val="false"/>
                <w:iCs w:val="false"/>
              </w:rPr>
              <w:t xml:space="preserve">Per project milestone or activity</w:t>
            </w:r>
          </w:p>
        </w:tc>
      </w:tr>
    </w:tbl>
    <w:p>
      <w:pPr>
        <w:pStyle w:val="Heading2"/>
        <w:spacing w:after="120" w:before="260"/>
      </w:pPr>
      <w:r>
        <w:rPr>
          <w:b/>
          <w:bCs/>
        </w:rPr>
        <w:t xml:space="preserve">Manpower Impact</w:t>
      </w:r>
    </w:p>
    <w:p>
      <w:pPr>
        <w:spacing w:after="160"/>
      </w:pPr>
      <w:r>
        <w:t xml:space="preserve">The application is intended to reduce, not increase, the time team members spend on reporting. The expected manpower savings are:</w:t>
      </w:r>
    </w:p>
    <w:p>
      <w:pPr>
        <w:pStyle w:val="ListParagraph"/>
        <w:numPr>
          <w:ilvl w:val="0"/>
          <w:numId w:val="1"/>
        </w:numPr>
        <w:spacing w:after="80"/>
      </w:pPr>
      <w:r>
        <w:t xml:space="preserve">Project Managers: estimated reduction of up to one day per month in manual report generation, once reporting automation is functional.</w:t>
      </w:r>
    </w:p>
    <w:p>
      <w:pPr>
        <w:pStyle w:val="ListParagraph"/>
        <w:numPr>
          <w:ilvl w:val="0"/>
          <w:numId w:val="1"/>
        </w:numPr>
        <w:spacing w:after="80"/>
      </w:pPr>
      <w:r>
        <w:t xml:space="preserve">IPT Lead: reduction in time spent manually collecting portfolio status before each briefing or data call.</w:t>
      </w:r>
    </w:p>
    <w:p>
      <w:pPr>
        <w:pStyle w:val="ListParagraph"/>
        <w:numPr>
          <w:ilvl w:val="0"/>
          <w:numId w:val="1"/>
        </w:numPr>
        <w:spacing w:after="80"/>
      </w:pPr>
      <w:r>
        <w:t xml:space="preserve">Contracts Manager: potential reduction in ad-hoc financial queries once financial data is visible in the application.</w:t>
      </w:r>
    </w:p>
    <w:p>
      <w:pPr>
        <w:spacing w:after="160"/>
      </w:pPr>
      <w:r>
        <w:t xml:space="preserve">The manpower cost to maintain the application after the internship is estimated to be modest if the system is designed simply. SharePoint list maintenance requires no specialized skills. If Firepit/Forge is used, ongoing screen-level changes require someone comfortable working in Forge — a meaningfully lower bar than a typical development environment, since Forge requires no install, no server, and no build toolchain, but it is still a skill the successor needs. The key risk, as with any option, is that maintenance falls to no one if no owner is designated.</w:t>
      </w:r>
    </w:p>
    <w:p>
      <w:pPr>
        <w:pStyle w:val="Heading2"/>
        <w:spacing w:after="120" w:before="260"/>
      </w:pPr>
      <w:r>
        <w:rPr>
          <w:b/>
          <w:bCs/>
        </w:rPr>
        <w:t xml:space="preserve">Future Developer Handoff Package</w:t>
      </w:r>
    </w:p>
    <w:p>
      <w:pPr>
        <w:spacing w:after="160"/>
      </w:pPr>
      <w:r>
        <w:t xml:space="preserve">The most durable output of the internship is a well-documented system that a future developer can understand and extend without starting from scratch. The handoff package should include at minimum:</w:t>
      </w:r>
    </w:p>
    <w:p>
      <w:pPr>
        <w:pStyle w:val="ListParagraph"/>
        <w:numPr>
          <w:ilvl w:val="0"/>
          <w:numId w:val="1"/>
        </w:numPr>
        <w:spacing w:after="80"/>
      </w:pPr>
      <w:r>
        <w:t xml:space="preserve">The finalized data schema document.</w:t>
      </w:r>
    </w:p>
    <w:p>
      <w:pPr>
        <w:pStyle w:val="ListParagraph"/>
        <w:numPr>
          <w:ilvl w:val="0"/>
          <w:numId w:val="1"/>
        </w:numPr>
        <w:spacing w:after="80"/>
      </w:pPr>
      <w:r>
        <w:t xml:space="preserve">SharePoint list structure documentation.</w:t>
      </w:r>
    </w:p>
    <w:p>
      <w:pPr>
        <w:pStyle w:val="ListParagraph"/>
        <w:numPr>
          <w:ilvl w:val="0"/>
          <w:numId w:val="1"/>
        </w:numPr>
        <w:spacing w:after="80"/>
      </w:pPr>
      <w:r>
        <w:t xml:space="preserve">The complete Forge project folder, including full checkpoint history — not just the compiled Firepit artifact — so a successor can reopen and edit the application directly.</w:t>
      </w:r>
    </w:p>
    <w:p>
      <w:pPr>
        <w:pStyle w:val="ListParagraph"/>
        <w:numPr>
          <w:ilvl w:val="0"/>
          <w:numId w:val="1"/>
        </w:numPr>
        <w:spacing w:after="80"/>
      </w:pPr>
      <w:r>
        <w:t xml:space="preserve">A written deployment guide covering the Forge compile step and the Firepit upload/configuration step.</w:t>
      </w:r>
    </w:p>
    <w:p>
      <w:pPr>
        <w:pStyle w:val="ListParagraph"/>
        <w:numPr>
          <w:ilvl w:val="0"/>
          <w:numId w:val="1"/>
        </w:numPr>
        <w:spacing w:after="80"/>
      </w:pPr>
      <w:r>
        <w:t xml:space="preserve">A pending features log.</w:t>
      </w:r>
    </w:p>
    <w:p>
      <w:pPr>
        <w:pStyle w:val="ListParagraph"/>
        <w:numPr>
          <w:ilvl w:val="0"/>
          <w:numId w:val="1"/>
        </w:numPr>
        <w:spacing w:after="80"/>
      </w:pPr>
      <w:r>
        <w:t xml:space="preserve">A recommended next steps memo for leadership.</w:t>
      </w:r>
    </w:p>
    <w:p>
      <w:pPr>
        <w:pStyle w:val="Heading1"/>
        <w:spacing w:after="160" w:before="360"/>
      </w:pPr>
      <w:r>
        <w:rPr>
          <w:b/>
          <w:bCs/>
        </w:rPr>
        <w:t xml:space="preserve">21. Open Decisions for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6"/>
        <w:gridCol w:w="1702"/>
        <w:gridCol w:w="2269"/>
        <w:gridCol w:w="2553"/>
      </w:tblGrid>
      <w:tr>
        <w:trPr>
          <w:tblHeader/>
        </w:trPr>
        <w:tc>
          <w:tcPr>
            <w:tcW w:type="dxa" w:w="2836"/>
            <w:shd w:fill="D9D9D9" w:val="clear"/>
            <w:tcMar>
              <w:top w:type="dxa" w:w="80"/>
              <w:left w:type="dxa" w:w="100"/>
              <w:bottom w:type="dxa" w:w="80"/>
              <w:right w:type="dxa" w:w="100"/>
            </w:tcMar>
            <w:vAlign w:val="top"/>
          </w:tcPr>
          <w:p>
            <w:r>
              <w:rPr>
                <w:b/>
                <w:bCs/>
                <w:i w:val="false"/>
                <w:iCs w:val="false"/>
              </w:rPr>
              <w:t xml:space="preserve">Question</w:t>
            </w:r>
          </w:p>
        </w:tc>
        <w:tc>
          <w:tcPr>
            <w:tcW w:type="dxa" w:w="1702"/>
            <w:shd w:fill="D9D9D9" w:val="clear"/>
            <w:tcMar>
              <w:top w:type="dxa" w:w="80"/>
              <w:left w:type="dxa" w:w="100"/>
              <w:bottom w:type="dxa" w:w="80"/>
              <w:right w:type="dxa" w:w="100"/>
            </w:tcMar>
            <w:vAlign w:val="top"/>
          </w:tcPr>
          <w:p>
            <w:r>
              <w:rPr>
                <w:b/>
                <w:bCs/>
                <w:i w:val="false"/>
                <w:iCs w:val="false"/>
              </w:rPr>
              <w:t xml:space="preserve">Decision Needed From</w:t>
            </w:r>
          </w:p>
        </w:tc>
        <w:tc>
          <w:tcPr>
            <w:tcW w:type="dxa" w:w="2269"/>
            <w:shd w:fill="D9D9D9" w:val="clear"/>
            <w:tcMar>
              <w:top w:type="dxa" w:w="80"/>
              <w:left w:type="dxa" w:w="100"/>
              <w:bottom w:type="dxa" w:w="80"/>
              <w:right w:type="dxa" w:w="100"/>
            </w:tcMar>
            <w:vAlign w:val="top"/>
          </w:tcPr>
          <w:p>
            <w:r>
              <w:rPr>
                <w:b/>
                <w:bCs/>
                <w:i w:val="false"/>
                <w:iCs w:val="false"/>
              </w:rPr>
              <w:t xml:space="preserve">Why It Matters</w:t>
            </w:r>
          </w:p>
        </w:tc>
        <w:tc>
          <w:tcPr>
            <w:tcW w:type="dxa" w:w="2553"/>
            <w:shd w:fill="D9D9D9" w:val="clear"/>
            <w:tcMar>
              <w:top w:type="dxa" w:w="80"/>
              <w:left w:type="dxa" w:w="100"/>
              <w:bottom w:type="dxa" w:w="80"/>
              <w:right w:type="dxa" w:w="100"/>
            </w:tcMar>
            <w:vAlign w:val="top"/>
          </w:tcPr>
          <w:p>
            <w:r>
              <w:rPr>
                <w:b/>
                <w:bCs/>
                <w:i w:val="false"/>
                <w:iCs w:val="false"/>
              </w:rPr>
              <w:t xml:space="preserve">Impact if Unresolved</w:t>
            </w:r>
          </w:p>
        </w:tc>
      </w:tr>
      <w:tr>
        <w:tc>
          <w:tcPr>
            <w:tcW w:type="dxa" w:w="2836"/>
            <w:tcMar>
              <w:top w:type="dxa" w:w="80"/>
              <w:left w:type="dxa" w:w="100"/>
              <w:bottom w:type="dxa" w:w="80"/>
              <w:right w:type="dxa" w:w="100"/>
            </w:tcMar>
            <w:vAlign w:val="top"/>
          </w:tcPr>
          <w:p>
            <w:r>
              <w:rPr>
                <w:b w:val="false"/>
                <w:bCs w:val="false"/>
                <w:i w:val="false"/>
                <w:iCs w:val="false"/>
              </w:rPr>
              <w:t xml:space="preserve">Which SharePoint app catalog (tenant-wide vs. site collection) will host the Firepit .sppkg package, and who approves that deployment?</w:t>
            </w:r>
          </w:p>
        </w:tc>
        <w:tc>
          <w:tcPr>
            <w:tcW w:type="dxa" w:w="1702"/>
            <w:tcMar>
              <w:top w:type="dxa" w:w="80"/>
              <w:left w:type="dxa" w:w="100"/>
              <w:bottom w:type="dxa" w:w="80"/>
              <w:right w:type="dxa" w:w="100"/>
            </w:tcMar>
            <w:vAlign w:val="top"/>
          </w:tcPr>
          <w:p>
            <w:r>
              <w:rPr>
                <w:b w:val="false"/>
                <w:bCs w:val="false"/>
                <w:i w:val="false"/>
                <w:iCs w:val="false"/>
              </w:rPr>
              <w:t xml:space="preserve">Aimee Bloomberg / NMCI POC</w:t>
            </w:r>
          </w:p>
        </w:tc>
        <w:tc>
          <w:tcPr>
            <w:tcW w:type="dxa" w:w="2269"/>
            <w:tcMar>
              <w:top w:type="dxa" w:w="80"/>
              <w:left w:type="dxa" w:w="100"/>
              <w:bottom w:type="dxa" w:w="80"/>
              <w:right w:type="dxa" w:w="100"/>
            </w:tcMar>
            <w:vAlign w:val="top"/>
          </w:tcPr>
          <w:p>
            <w:r>
              <w:rPr>
                <w:b w:val="false"/>
                <w:bCs w:val="false"/>
                <w:i w:val="false"/>
                <w:iCs w:val="false"/>
              </w:rPr>
              <w:t xml:space="preserve">Determines the realistic Phase 2 timeline for the recommended alternative.</w:t>
            </w:r>
          </w:p>
        </w:tc>
        <w:tc>
          <w:tcPr>
            <w:tcW w:type="dxa" w:w="2553"/>
            <w:tcMar>
              <w:top w:type="dxa" w:w="80"/>
              <w:left w:type="dxa" w:w="100"/>
              <w:bottom w:type="dxa" w:w="80"/>
              <w:right w:type="dxa" w:w="100"/>
            </w:tcMar>
            <w:vAlign w:val="top"/>
          </w:tcPr>
          <w:p>
            <w:r>
              <w:rPr>
                <w:b w:val="false"/>
                <w:bCs w:val="false"/>
                <w:i w:val="false"/>
                <w:iCs w:val="false"/>
              </w:rPr>
              <w:t xml:space="preserve">Development could stall waiting on a deployment path that was never confirmed up front.</w:t>
            </w:r>
          </w:p>
        </w:tc>
      </w:tr>
      <w:tr>
        <w:tc>
          <w:tcPr>
            <w:tcW w:type="dxa" w:w="2836"/>
            <w:tcMar>
              <w:top w:type="dxa" w:w="80"/>
              <w:left w:type="dxa" w:w="100"/>
              <w:bottom w:type="dxa" w:w="80"/>
              <w:right w:type="dxa" w:w="100"/>
            </w:tcMar>
            <w:vAlign w:val="top"/>
          </w:tcPr>
          <w:p>
            <w:r>
              <w:rPr>
                <w:b w:val="false"/>
                <w:bCs w:val="false"/>
                <w:i w:val="false"/>
                <w:iCs w:val="false"/>
              </w:rPr>
              <w:t xml:space="preserve">What specific metrics and data fields does the IPT Lead want in the application, in priority order?</w:t>
            </w:r>
          </w:p>
        </w:tc>
        <w:tc>
          <w:tcPr>
            <w:tcW w:type="dxa" w:w="1702"/>
            <w:tcMar>
              <w:top w:type="dxa" w:w="80"/>
              <w:left w:type="dxa" w:w="100"/>
              <w:bottom w:type="dxa" w:w="80"/>
              <w:right w:type="dxa" w:w="100"/>
            </w:tcMar>
            <w:vAlign w:val="top"/>
          </w:tcPr>
          <w:p>
            <w:r>
              <w:rPr>
                <w:b w:val="false"/>
                <w:bCs w:val="false"/>
                <w:i w:val="false"/>
                <w:iCs w:val="false"/>
              </w:rPr>
              <w:t xml:space="preserve">Linda Dodson</w:t>
            </w:r>
          </w:p>
        </w:tc>
        <w:tc>
          <w:tcPr>
            <w:tcW w:type="dxa" w:w="2269"/>
            <w:tcMar>
              <w:top w:type="dxa" w:w="80"/>
              <w:left w:type="dxa" w:w="100"/>
              <w:bottom w:type="dxa" w:w="80"/>
              <w:right w:type="dxa" w:w="100"/>
            </w:tcMar>
            <w:vAlign w:val="top"/>
          </w:tcPr>
          <w:p>
            <w:r>
              <w:rPr>
                <w:b w:val="false"/>
                <w:bCs w:val="false"/>
                <w:i w:val="false"/>
                <w:iCs w:val="false"/>
              </w:rPr>
              <w:t xml:space="preserve">Drives schema design and determines what gets built first.</w:t>
            </w:r>
          </w:p>
        </w:tc>
        <w:tc>
          <w:tcPr>
            <w:tcW w:type="dxa" w:w="2553"/>
            <w:tcMar>
              <w:top w:type="dxa" w:w="80"/>
              <w:left w:type="dxa" w:w="100"/>
              <w:bottom w:type="dxa" w:w="80"/>
              <w:right w:type="dxa" w:w="100"/>
            </w:tcMar>
            <w:vAlign w:val="top"/>
          </w:tcPr>
          <w:p>
            <w:r>
              <w:rPr>
                <w:b w:val="false"/>
                <w:bCs w:val="false"/>
                <w:i w:val="false"/>
                <w:iCs w:val="false"/>
              </w:rPr>
              <w:t xml:space="preserve">Development will proceed against assumptions; built features may not match actual needs.</w:t>
            </w:r>
          </w:p>
        </w:tc>
      </w:tr>
      <w:tr>
        <w:tc>
          <w:tcPr>
            <w:tcW w:type="dxa" w:w="2836"/>
            <w:tcMar>
              <w:top w:type="dxa" w:w="80"/>
              <w:left w:type="dxa" w:w="100"/>
              <w:bottom w:type="dxa" w:w="80"/>
              <w:right w:type="dxa" w:w="100"/>
            </w:tcMar>
            <w:vAlign w:val="top"/>
          </w:tcPr>
          <w:p>
            <w:r>
              <w:rPr>
                <w:b w:val="false"/>
                <w:bCs w:val="false"/>
                <w:i w:val="false"/>
                <w:iCs w:val="false"/>
              </w:rPr>
              <w:t xml:space="preserve">Who is designated as the data owner for each domain?</w:t>
            </w:r>
          </w:p>
        </w:tc>
        <w:tc>
          <w:tcPr>
            <w:tcW w:type="dxa" w:w="1702"/>
            <w:tcMar>
              <w:top w:type="dxa" w:w="80"/>
              <w:left w:type="dxa" w:w="100"/>
              <w:bottom w:type="dxa" w:w="80"/>
              <w:right w:type="dxa" w:w="100"/>
            </w:tcMar>
            <w:vAlign w:val="top"/>
          </w:tcPr>
          <w:p>
            <w:r>
              <w:rPr>
                <w:b w:val="false"/>
                <w:bCs w:val="false"/>
                <w:i w:val="false"/>
                <w:iCs w:val="false"/>
              </w:rPr>
              <w:t xml:space="preserve">Linda Dodson (direction)</w:t>
            </w:r>
          </w:p>
        </w:tc>
        <w:tc>
          <w:tcPr>
            <w:tcW w:type="dxa" w:w="2269"/>
            <w:tcMar>
              <w:top w:type="dxa" w:w="80"/>
              <w:left w:type="dxa" w:w="100"/>
              <w:bottom w:type="dxa" w:w="80"/>
              <w:right w:type="dxa" w:w="100"/>
            </w:tcMar>
            <w:vAlign w:val="top"/>
          </w:tcPr>
          <w:p>
            <w:r>
              <w:rPr>
                <w:b w:val="false"/>
                <w:bCs w:val="false"/>
                <w:i w:val="false"/>
                <w:iCs w:val="false"/>
              </w:rPr>
              <w:t xml:space="preserve">Data without owners becomes stale; application loses value.</w:t>
            </w:r>
          </w:p>
        </w:tc>
        <w:tc>
          <w:tcPr>
            <w:tcW w:type="dxa" w:w="2553"/>
            <w:tcMar>
              <w:top w:type="dxa" w:w="80"/>
              <w:left w:type="dxa" w:w="100"/>
              <w:bottom w:type="dxa" w:w="80"/>
              <w:right w:type="dxa" w:w="100"/>
            </w:tcMar>
            <w:vAlign w:val="top"/>
          </w:tcPr>
          <w:p>
            <w:r>
              <w:rPr>
                <w:b w:val="false"/>
                <w:bCs w:val="false"/>
                <w:i w:val="false"/>
                <w:iCs w:val="false"/>
              </w:rPr>
              <w:t xml:space="preserve">Application displays outdated data; stakeholder trust erodes; tool may be abandoned.</w:t>
            </w:r>
          </w:p>
        </w:tc>
      </w:tr>
      <w:tr>
        <w:tc>
          <w:tcPr>
            <w:tcW w:type="dxa" w:w="2836"/>
            <w:tcMar>
              <w:top w:type="dxa" w:w="80"/>
              <w:left w:type="dxa" w:w="100"/>
              <w:bottom w:type="dxa" w:w="80"/>
              <w:right w:type="dxa" w:w="100"/>
            </w:tcMar>
            <w:vAlign w:val="top"/>
          </w:tcPr>
          <w:p>
            <w:r>
              <w:rPr>
                <w:b w:val="false"/>
                <w:bCs w:val="false"/>
                <w:i w:val="false"/>
                <w:iCs w:val="false"/>
              </w:rPr>
              <w:t xml:space="preserve">Who will own the application, SharePoint lists, and any flows after the internship ends?</w:t>
            </w:r>
          </w:p>
        </w:tc>
        <w:tc>
          <w:tcPr>
            <w:tcW w:type="dxa" w:w="1702"/>
            <w:tcMar>
              <w:top w:type="dxa" w:w="80"/>
              <w:left w:type="dxa" w:w="100"/>
              <w:bottom w:type="dxa" w:w="80"/>
              <w:right w:type="dxa" w:w="100"/>
            </w:tcMar>
            <w:vAlign w:val="top"/>
          </w:tcPr>
          <w:p>
            <w:r>
              <w:rPr>
                <w:b w:val="false"/>
                <w:bCs w:val="false"/>
                <w:i w:val="false"/>
                <w:iCs w:val="false"/>
              </w:rPr>
              <w:t xml:space="preserve">Linda Dodson or Aimee Bloomberg</w:t>
            </w:r>
          </w:p>
        </w:tc>
        <w:tc>
          <w:tcPr>
            <w:tcW w:type="dxa" w:w="2269"/>
            <w:tcMar>
              <w:top w:type="dxa" w:w="80"/>
              <w:left w:type="dxa" w:w="100"/>
              <w:bottom w:type="dxa" w:w="80"/>
              <w:right w:type="dxa" w:w="100"/>
            </w:tcMar>
            <w:vAlign w:val="top"/>
          </w:tcPr>
          <w:p>
            <w:r>
              <w:rPr>
                <w:b w:val="false"/>
                <w:bCs w:val="false"/>
                <w:i w:val="false"/>
                <w:iCs w:val="false"/>
              </w:rPr>
              <w:t xml:space="preserve">Ownership gaps break continuity when the intern account is deactivated.</w:t>
            </w:r>
          </w:p>
        </w:tc>
        <w:tc>
          <w:tcPr>
            <w:tcW w:type="dxa" w:w="2553"/>
            <w:tcMar>
              <w:top w:type="dxa" w:w="80"/>
              <w:left w:type="dxa" w:w="100"/>
              <w:bottom w:type="dxa" w:w="80"/>
              <w:right w:type="dxa" w:w="100"/>
            </w:tcMar>
            <w:vAlign w:val="top"/>
          </w:tcPr>
          <w:p>
            <w:r>
              <w:rPr>
                <w:b w:val="false"/>
                <w:bCs w:val="false"/>
                <w:i w:val="false"/>
                <w:iCs w:val="false"/>
              </w:rPr>
              <w:t xml:space="preserve">Automation and access break with no responsible owner to maintain or repair it.</w:t>
            </w:r>
          </w:p>
        </w:tc>
      </w:tr>
      <w:tr>
        <w:tc>
          <w:tcPr>
            <w:tcW w:type="dxa" w:w="2836"/>
            <w:tcMar>
              <w:top w:type="dxa" w:w="80"/>
              <w:left w:type="dxa" w:w="100"/>
              <w:bottom w:type="dxa" w:w="80"/>
              <w:right w:type="dxa" w:w="100"/>
            </w:tcMar>
            <w:vAlign w:val="top"/>
          </w:tcPr>
          <w:p>
            <w:r>
              <w:rPr>
                <w:b w:val="false"/>
                <w:bCs w:val="false"/>
                <w:i w:val="false"/>
                <w:iCs w:val="false"/>
              </w:rPr>
              <w:t xml:space="preserve">Will the BFM provide weekly ERP extracts to a shared location?</w:t>
            </w:r>
          </w:p>
        </w:tc>
        <w:tc>
          <w:tcPr>
            <w:tcW w:type="dxa" w:w="1702"/>
            <w:tcMar>
              <w:top w:type="dxa" w:w="80"/>
              <w:left w:type="dxa" w:w="100"/>
              <w:bottom w:type="dxa" w:w="80"/>
              <w:right w:type="dxa" w:w="100"/>
            </w:tcMar>
            <w:vAlign w:val="top"/>
          </w:tcPr>
          <w:p>
            <w:r>
              <w:rPr>
                <w:b w:val="false"/>
                <w:bCs w:val="false"/>
                <w:i w:val="false"/>
                <w:iCs w:val="false"/>
              </w:rPr>
              <w:t xml:space="preserve">Aimee Bloomberg (escalate to Linda if needed)</w:t>
            </w:r>
          </w:p>
        </w:tc>
        <w:tc>
          <w:tcPr>
            <w:tcW w:type="dxa" w:w="2269"/>
            <w:tcMar>
              <w:top w:type="dxa" w:w="80"/>
              <w:left w:type="dxa" w:w="100"/>
              <w:bottom w:type="dxa" w:w="80"/>
              <w:right w:type="dxa" w:w="100"/>
            </w:tcMar>
            <w:vAlign w:val="top"/>
          </w:tcPr>
          <w:p>
            <w:r>
              <w:rPr>
                <w:b w:val="false"/>
                <w:bCs w:val="false"/>
                <w:i w:val="false"/>
                <w:iCs w:val="false"/>
              </w:rPr>
              <w:t xml:space="preserve">Required for any financial module automation.</w:t>
            </w:r>
          </w:p>
        </w:tc>
        <w:tc>
          <w:tcPr>
            <w:tcW w:type="dxa" w:w="2553"/>
            <w:tcMar>
              <w:top w:type="dxa" w:w="80"/>
              <w:left w:type="dxa" w:w="100"/>
              <w:bottom w:type="dxa" w:w="80"/>
              <w:right w:type="dxa" w:w="100"/>
            </w:tcMar>
            <w:vAlign w:val="top"/>
          </w:tcPr>
          <w:p>
            <w:r>
              <w:rPr>
                <w:b w:val="false"/>
                <w:bCs w:val="false"/>
                <w:i w:val="false"/>
                <w:iCs w:val="false"/>
              </w:rPr>
              <w:t xml:space="preserve">Financial data must be manually entered per record; significantly higher manual burden.</w:t>
            </w:r>
          </w:p>
        </w:tc>
      </w:tr>
      <w:tr>
        <w:tc>
          <w:tcPr>
            <w:tcW w:type="dxa" w:w="2836"/>
            <w:tcMar>
              <w:top w:type="dxa" w:w="80"/>
              <w:left w:type="dxa" w:w="100"/>
              <w:bottom w:type="dxa" w:w="80"/>
              <w:right w:type="dxa" w:w="100"/>
            </w:tcMar>
            <w:vAlign w:val="top"/>
          </w:tcPr>
          <w:p>
            <w:r>
              <w:rPr>
                <w:b w:val="false"/>
                <w:bCs w:val="false"/>
                <w:i w:val="false"/>
                <w:iCs w:val="false"/>
              </w:rPr>
              <w:t xml:space="preserve">Has AEWTTR's security team reviewed the plan for combining system identity with range/site location data?</w:t>
            </w:r>
          </w:p>
        </w:tc>
        <w:tc>
          <w:tcPr>
            <w:tcW w:type="dxa" w:w="1702"/>
            <w:tcMar>
              <w:top w:type="dxa" w:w="80"/>
              <w:left w:type="dxa" w:w="100"/>
              <w:bottom w:type="dxa" w:w="80"/>
              <w:right w:type="dxa" w:w="100"/>
            </w:tcMar>
            <w:vAlign w:val="top"/>
          </w:tcPr>
          <w:p>
            <w:r>
              <w:rPr>
                <w:b w:val="false"/>
                <w:bCs w:val="false"/>
                <w:i w:val="false"/>
                <w:iCs w:val="false"/>
              </w:rPr>
              <w:t xml:space="preserve">AEWTTR security team / Aimee Bloomberg</w:t>
            </w:r>
          </w:p>
        </w:tc>
        <w:tc>
          <w:tcPr>
            <w:tcW w:type="dxa" w:w="2269"/>
            <w:tcMar>
              <w:top w:type="dxa" w:w="80"/>
              <w:left w:type="dxa" w:w="100"/>
              <w:bottom w:type="dxa" w:w="80"/>
              <w:right w:type="dxa" w:w="100"/>
            </w:tcMar>
            <w:vAlign w:val="top"/>
          </w:tcPr>
          <w:p>
            <w:r>
              <w:rPr>
                <w:b w:val="false"/>
                <w:bCs w:val="false"/>
                <w:i w:val="false"/>
                <w:iCs w:val="false"/>
              </w:rPr>
              <w:t xml:space="preserve">Risk of inadvertently creating an unnecessarily sensitive combined data product.</w:t>
            </w:r>
          </w:p>
        </w:tc>
        <w:tc>
          <w:tcPr>
            <w:tcW w:type="dxa" w:w="2553"/>
            <w:tcMar>
              <w:top w:type="dxa" w:w="80"/>
              <w:left w:type="dxa" w:w="100"/>
              <w:bottom w:type="dxa" w:w="80"/>
              <w:right w:type="dxa" w:w="100"/>
            </w:tcMar>
            <w:vAlign w:val="top"/>
          </w:tcPr>
          <w:p>
            <w:r>
              <w:rPr>
                <w:b w:val="false"/>
                <w:bCs w:val="false"/>
                <w:i w:val="false"/>
                <w:iCs w:val="false"/>
              </w:rPr>
              <w:t xml:space="preserve">Fields may need to be redesigned after the fact if the combination is flagged.</w:t>
            </w:r>
          </w:p>
        </w:tc>
      </w:tr>
      <w:tr>
        <w:tc>
          <w:tcPr>
            <w:tcW w:type="dxa" w:w="2836"/>
            <w:tcMar>
              <w:top w:type="dxa" w:w="80"/>
              <w:left w:type="dxa" w:w="100"/>
              <w:bottom w:type="dxa" w:w="80"/>
              <w:right w:type="dxa" w:w="100"/>
            </w:tcMar>
            <w:vAlign w:val="top"/>
          </w:tcPr>
          <w:p>
            <w:r>
              <w:rPr>
                <w:b w:val="false"/>
                <w:bCs w:val="false"/>
                <w:i w:val="false"/>
                <w:iCs w:val="false"/>
              </w:rPr>
              <w:t xml:space="preserve">Are the PowerPoint and Word outputs required as automated outputs, or is a data export acceptable?</w:t>
            </w:r>
          </w:p>
        </w:tc>
        <w:tc>
          <w:tcPr>
            <w:tcW w:type="dxa" w:w="1702"/>
            <w:tcMar>
              <w:top w:type="dxa" w:w="80"/>
              <w:left w:type="dxa" w:w="100"/>
              <w:bottom w:type="dxa" w:w="80"/>
              <w:right w:type="dxa" w:w="100"/>
            </w:tcMar>
            <w:vAlign w:val="top"/>
          </w:tcPr>
          <w:p>
            <w:r>
              <w:rPr>
                <w:b w:val="false"/>
                <w:bCs w:val="false"/>
                <w:i w:val="false"/>
                <w:iCs w:val="false"/>
              </w:rPr>
              <w:t xml:space="preserve">Linda Dodson, Ashley, Haley</w:t>
            </w:r>
          </w:p>
        </w:tc>
        <w:tc>
          <w:tcPr>
            <w:tcW w:type="dxa" w:w="2269"/>
            <w:tcMar>
              <w:top w:type="dxa" w:w="80"/>
              <w:left w:type="dxa" w:w="100"/>
              <w:bottom w:type="dxa" w:w="80"/>
              <w:right w:type="dxa" w:w="100"/>
            </w:tcMar>
            <w:vAlign w:val="top"/>
          </w:tcPr>
          <w:p>
            <w:r>
              <w:rPr>
                <w:b w:val="false"/>
                <w:bCs w:val="false"/>
                <w:i w:val="false"/>
                <w:iCs w:val="false"/>
              </w:rPr>
              <w:t xml:space="preserve">XML-based generation is complex and constrained by NMCI; if a data export satisfies the need, scope is significantly simpler.</w:t>
            </w:r>
          </w:p>
        </w:tc>
        <w:tc>
          <w:tcPr>
            <w:tcW w:type="dxa" w:w="2553"/>
            <w:tcMar>
              <w:top w:type="dxa" w:w="80"/>
              <w:left w:type="dxa" w:w="100"/>
              <w:bottom w:type="dxa" w:w="80"/>
              <w:right w:type="dxa" w:w="100"/>
            </w:tcMar>
            <w:vAlign w:val="top"/>
          </w:tcPr>
          <w:p>
            <w:r>
              <w:rPr>
                <w:b w:val="false"/>
                <w:bCs w:val="false"/>
                <w:i w:val="false"/>
                <w:iCs w:val="false"/>
              </w:rPr>
              <w:t xml:space="preserve">If automated outputs are required but not delivered, a key reporting time-savings goal will not be met within the internship.</w:t>
            </w:r>
          </w:p>
        </w:tc>
      </w:tr>
    </w:tbl>
    <w:p>
      <w:pPr>
        <w:pStyle w:val="Heading1"/>
        <w:spacing w:after="160" w:before="360"/>
      </w:pPr>
      <w:r>
        <w:rPr>
          <w:b/>
          <w:bCs/>
        </w:rPr>
        <w:t xml:space="preserve">22. Acronyms and Terms Requiring Confirmation</w:t>
      </w:r>
    </w:p>
    <w:p>
      <w:pPr>
        <w:spacing w:after="160"/>
      </w:pPr>
      <w:r>
        <w:t xml:space="preserve">The following terms appear in this document and should be confirmed with the indicated party before this document is finalized for official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4524"/>
        <w:gridCol w:w="2652"/>
      </w:tblGrid>
      <w:tr>
        <w:trPr>
          <w:tblHeader/>
        </w:trPr>
        <w:tc>
          <w:tcPr>
            <w:tcW w:type="dxa" w:w="2184"/>
            <w:shd w:fill="D9D9D9" w:val="clear"/>
            <w:tcMar>
              <w:top w:type="dxa" w:w="80"/>
              <w:left w:type="dxa" w:w="100"/>
              <w:bottom w:type="dxa" w:w="80"/>
              <w:right w:type="dxa" w:w="100"/>
            </w:tcMar>
            <w:vAlign w:val="top"/>
          </w:tcPr>
          <w:p>
            <w:r>
              <w:rPr>
                <w:b/>
                <w:bCs/>
                <w:i w:val="false"/>
                <w:iCs w:val="false"/>
              </w:rPr>
              <w:t xml:space="preserve">Term / Acronym</w:t>
            </w:r>
          </w:p>
        </w:tc>
        <w:tc>
          <w:tcPr>
            <w:tcW w:type="dxa" w:w="4524"/>
            <w:shd w:fill="D9D9D9" w:val="clear"/>
            <w:tcMar>
              <w:top w:type="dxa" w:w="80"/>
              <w:left w:type="dxa" w:w="100"/>
              <w:bottom w:type="dxa" w:w="80"/>
              <w:right w:type="dxa" w:w="100"/>
            </w:tcMar>
            <w:vAlign w:val="top"/>
          </w:tcPr>
          <w:p>
            <w:r>
              <w:rPr>
                <w:b/>
                <w:bCs/>
                <w:i w:val="false"/>
                <w:iCs w:val="false"/>
              </w:rPr>
              <w:t xml:space="preserve">Appears As</w:t>
            </w:r>
          </w:p>
        </w:tc>
        <w:tc>
          <w:tcPr>
            <w:tcW w:type="dxa" w:w="2652"/>
            <w:shd w:fill="D9D9D9" w:val="clear"/>
            <w:tcMar>
              <w:top w:type="dxa" w:w="80"/>
              <w:left w:type="dxa" w:w="100"/>
              <w:bottom w:type="dxa" w:w="80"/>
              <w:right w:type="dxa" w:w="100"/>
            </w:tcMar>
            <w:vAlign w:val="top"/>
          </w:tcPr>
          <w:p>
            <w:r>
              <w:rPr>
                <w:b/>
                <w:bCs/>
                <w:i w:val="false"/>
                <w:iCs w:val="false"/>
              </w:rPr>
              <w:t xml:space="preserve">Confirm With</w:t>
            </w:r>
          </w:p>
        </w:tc>
      </w:tr>
      <w:tr>
        <w:tc>
          <w:tcPr>
            <w:tcW w:type="dxa" w:w="2184"/>
            <w:tcMar>
              <w:top w:type="dxa" w:w="80"/>
              <w:left w:type="dxa" w:w="100"/>
              <w:bottom w:type="dxa" w:w="80"/>
              <w:right w:type="dxa" w:w="100"/>
            </w:tcMar>
            <w:vAlign w:val="top"/>
          </w:tcPr>
          <w:p>
            <w:r>
              <w:rPr>
                <w:b w:val="false"/>
                <w:bCs w:val="false"/>
                <w:i w:val="false"/>
                <w:iCs w:val="false"/>
              </w:rPr>
              <w:t xml:space="preserve">SHRAM</w:t>
            </w:r>
          </w:p>
        </w:tc>
        <w:tc>
          <w:tcPr>
            <w:tcW w:type="dxa" w:w="4524"/>
            <w:tcMar>
              <w:top w:type="dxa" w:w="80"/>
              <w:left w:type="dxa" w:w="100"/>
              <w:bottom w:type="dxa" w:w="80"/>
              <w:right w:type="dxa" w:w="100"/>
            </w:tcMar>
            <w:vAlign w:val="top"/>
          </w:tcPr>
          <w:p>
            <w:r>
              <w:rPr>
                <w:b w:val="false"/>
                <w:bCs w:val="false"/>
                <w:i w:val="false"/>
                <w:iCs w:val="false"/>
              </w:rPr>
              <w:t xml:space="preserve">An acquisition project type referenced by the engineering team. Never fully spelled out.</w:t>
            </w:r>
          </w:p>
        </w:tc>
        <w:tc>
          <w:tcPr>
            <w:tcW w:type="dxa" w:w="2652"/>
            <w:tcMar>
              <w:top w:type="dxa" w:w="80"/>
              <w:left w:type="dxa" w:w="100"/>
              <w:bottom w:type="dxa" w:w="80"/>
              <w:right w:type="dxa" w:w="100"/>
            </w:tcMar>
            <w:vAlign w:val="top"/>
          </w:tcPr>
          <w:p>
            <w:r>
              <w:rPr>
                <w:b w:val="false"/>
                <w:bCs w:val="false"/>
                <w:i w:val="false"/>
                <w:iCs w:val="false"/>
              </w:rPr>
              <w:t xml:space="preserve">Engineering team / Patty</w:t>
            </w:r>
          </w:p>
        </w:tc>
      </w:tr>
      <w:tr>
        <w:tc>
          <w:tcPr>
            <w:tcW w:type="dxa" w:w="2184"/>
            <w:tcMar>
              <w:top w:type="dxa" w:w="80"/>
              <w:left w:type="dxa" w:w="100"/>
              <w:bottom w:type="dxa" w:w="80"/>
              <w:right w:type="dxa" w:w="100"/>
            </w:tcMar>
            <w:vAlign w:val="top"/>
          </w:tcPr>
          <w:p>
            <w:r>
              <w:rPr>
                <w:b w:val="false"/>
                <w:bCs w:val="false"/>
                <w:i w:val="false"/>
                <w:iCs w:val="false"/>
              </w:rPr>
              <w:t xml:space="preserve">CSDVD</w:t>
            </w:r>
          </w:p>
        </w:tc>
        <w:tc>
          <w:tcPr>
            <w:tcW w:type="dxa" w:w="4524"/>
            <w:tcMar>
              <w:top w:type="dxa" w:w="80"/>
              <w:left w:type="dxa" w:w="100"/>
              <w:bottom w:type="dxa" w:w="80"/>
              <w:right w:type="dxa" w:w="100"/>
            </w:tcMar>
            <w:vAlign w:val="top"/>
          </w:tcPr>
          <w:p>
            <w:r>
              <w:rPr>
                <w:b w:val="false"/>
                <w:bCs w:val="false"/>
                <w:i w:val="false"/>
                <w:iCs w:val="false"/>
              </w:rPr>
              <w:t xml:space="preserve">A deliverable distributed by the cyber team. Never expanded.</w:t>
            </w:r>
          </w:p>
        </w:tc>
        <w:tc>
          <w:tcPr>
            <w:tcW w:type="dxa" w:w="2652"/>
            <w:tcMar>
              <w:top w:type="dxa" w:w="80"/>
              <w:left w:type="dxa" w:w="100"/>
              <w:bottom w:type="dxa" w:w="80"/>
              <w:right w:type="dxa" w:w="100"/>
            </w:tcMar>
            <w:vAlign w:val="top"/>
          </w:tcPr>
          <w:p>
            <w:r>
              <w:rPr>
                <w:b w:val="false"/>
                <w:bCs w:val="false"/>
                <w:i w:val="false"/>
                <w:iCs w:val="false"/>
              </w:rPr>
              <w:t xml:space="preserve">Sam (cyber team lead)</w:t>
            </w:r>
          </w:p>
        </w:tc>
      </w:tr>
      <w:tr>
        <w:tc>
          <w:tcPr>
            <w:tcW w:type="dxa" w:w="2184"/>
            <w:tcMar>
              <w:top w:type="dxa" w:w="80"/>
              <w:left w:type="dxa" w:w="100"/>
              <w:bottom w:type="dxa" w:w="80"/>
              <w:right w:type="dxa" w:w="100"/>
            </w:tcMar>
            <w:vAlign w:val="top"/>
          </w:tcPr>
          <w:p>
            <w:r>
              <w:rPr>
                <w:b w:val="false"/>
                <w:bCs w:val="false"/>
                <w:i w:val="false"/>
                <w:iCs w:val="false"/>
              </w:rPr>
              <w:t xml:space="preserve">GPETE</w:t>
            </w:r>
          </w:p>
        </w:tc>
        <w:tc>
          <w:tcPr>
            <w:tcW w:type="dxa" w:w="4524"/>
            <w:tcMar>
              <w:top w:type="dxa" w:w="80"/>
              <w:left w:type="dxa" w:w="100"/>
              <w:bottom w:type="dxa" w:w="80"/>
              <w:right w:type="dxa" w:w="100"/>
            </w:tcMar>
            <w:vAlign w:val="top"/>
          </w:tcPr>
          <w:p>
            <w:r>
              <w:rPr>
                <w:b w:val="false"/>
                <w:bCs w:val="false"/>
                <w:i w:val="false"/>
                <w:iCs w:val="false"/>
              </w:rPr>
              <w:t xml:space="preserve">The peer IPT team whose Power Platform tool is referenced in this document. Acronym never expanded.</w:t>
            </w:r>
          </w:p>
        </w:tc>
        <w:tc>
          <w:tcPr>
            <w:tcW w:type="dxa" w:w="2652"/>
            <w:tcMar>
              <w:top w:type="dxa" w:w="80"/>
              <w:left w:type="dxa" w:w="100"/>
              <w:bottom w:type="dxa" w:w="80"/>
              <w:right w:type="dxa" w:w="100"/>
            </w:tcMar>
            <w:vAlign w:val="top"/>
          </w:tcPr>
          <w:p>
            <w:r>
              <w:rPr>
                <w:b w:val="false"/>
                <w:bCs w:val="false"/>
                <w:i w:val="false"/>
                <w:iCs w:val="false"/>
              </w:rPr>
              <w:t xml:space="preserve">Linda Dodson or Aimee Bloomberg</w:t>
            </w:r>
          </w:p>
        </w:tc>
      </w:tr>
      <w:tr>
        <w:tc>
          <w:tcPr>
            <w:tcW w:type="dxa" w:w="2184"/>
            <w:tcMar>
              <w:top w:type="dxa" w:w="80"/>
              <w:left w:type="dxa" w:w="100"/>
              <w:bottom w:type="dxa" w:w="80"/>
              <w:right w:type="dxa" w:w="100"/>
            </w:tcMar>
            <w:vAlign w:val="top"/>
          </w:tcPr>
          <w:p>
            <w:r>
              <w:rPr>
                <w:b w:val="false"/>
                <w:bCs w:val="false"/>
                <w:i w:val="false"/>
                <w:iCs w:val="false"/>
              </w:rPr>
              <w:t xml:space="preserve">SPFx</w:t>
            </w:r>
          </w:p>
        </w:tc>
        <w:tc>
          <w:tcPr>
            <w:tcW w:type="dxa" w:w="4524"/>
            <w:tcMar>
              <w:top w:type="dxa" w:w="80"/>
              <w:left w:type="dxa" w:w="100"/>
              <w:bottom w:type="dxa" w:w="80"/>
              <w:right w:type="dxa" w:w="100"/>
            </w:tcMar>
            <w:vAlign w:val="top"/>
          </w:tcPr>
          <w:p>
            <w:r>
              <w:rPr>
                <w:b w:val="false"/>
                <w:bCs w:val="false"/>
                <w:i w:val="false"/>
                <w:iCs w:val="false"/>
              </w:rPr>
              <w:t xml:space="preserve">SharePoint Framework — Microsoft's supported extensibility model for custom SharePoint web parts (used to build Firepit). Confirmed active and Microsoft-supported through 2026 via public roadmap.</w:t>
            </w:r>
          </w:p>
        </w:tc>
        <w:tc>
          <w:tcPr>
            <w:tcW w:type="dxa" w:w="2652"/>
            <w:tcMar>
              <w:top w:type="dxa" w:w="80"/>
              <w:left w:type="dxa" w:w="100"/>
              <w:bottom w:type="dxa" w:w="80"/>
              <w:right w:type="dxa" w:w="100"/>
            </w:tcMar>
            <w:vAlign w:val="top"/>
          </w:tcPr>
          <w:p>
            <w:r>
              <w:rPr>
                <w:b w:val="false"/>
                <w:bCs w:val="false"/>
                <w:i w:val="false"/>
                <w:iCs w:val="false"/>
              </w:rPr>
              <w:t xml:space="preserve">N/A — verified via public Microsoft documentation</w:t>
            </w:r>
          </w:p>
        </w:tc>
      </w:tr>
      <w:tr>
        <w:tc>
          <w:tcPr>
            <w:tcW w:type="dxa" w:w="2184"/>
            <w:tcMar>
              <w:top w:type="dxa" w:w="80"/>
              <w:left w:type="dxa" w:w="100"/>
              <w:bottom w:type="dxa" w:w="80"/>
              <w:right w:type="dxa" w:w="100"/>
            </w:tcMar>
            <w:vAlign w:val="top"/>
          </w:tcPr>
          <w:p>
            <w:r>
              <w:rPr>
                <w:b w:val="false"/>
                <w:bCs w:val="false"/>
                <w:i w:val="false"/>
                <w:iCs w:val="false"/>
              </w:rPr>
              <w:t xml:space="preserve">NAVWAR / PEO Digital</w:t>
            </w:r>
          </w:p>
        </w:tc>
        <w:tc>
          <w:tcPr>
            <w:tcW w:type="dxa" w:w="4524"/>
            <w:tcMar>
              <w:top w:type="dxa" w:w="80"/>
              <w:left w:type="dxa" w:w="100"/>
              <w:bottom w:type="dxa" w:w="80"/>
              <w:right w:type="dxa" w:w="100"/>
            </w:tcMar>
            <w:vAlign w:val="top"/>
          </w:tcPr>
          <w:p>
            <w:r>
              <w:rPr>
                <w:b w:val="false"/>
                <w:bCs w:val="false"/>
                <w:i w:val="false"/>
                <w:iCs w:val="false"/>
              </w:rPr>
              <w:t xml:space="preserve">Naval Information Warfare Systems Command, Program Executive Office Digital — the organization Firepit's SharePoint deployment path (/sites/NAVWAR_PEODIGITAL_SPFx/) points to.</w:t>
            </w:r>
          </w:p>
        </w:tc>
        <w:tc>
          <w:tcPr>
            <w:tcW w:type="dxa" w:w="2652"/>
            <w:tcMar>
              <w:top w:type="dxa" w:w="80"/>
              <w:left w:type="dxa" w:w="100"/>
              <w:bottom w:type="dxa" w:w="80"/>
              <w:right w:type="dxa" w:w="100"/>
            </w:tcMar>
            <w:vAlign w:val="top"/>
          </w:tcPr>
          <w:p>
            <w:r>
              <w:rPr>
                <w:b w:val="false"/>
                <w:bCs w:val="false"/>
                <w:i w:val="false"/>
                <w:iCs w:val="false"/>
              </w:rPr>
              <w:t xml:space="preserve">Aimee Bloomberg / NMCI POC, if a support relationship needs to be established</w:t>
            </w:r>
          </w:p>
        </w:tc>
      </w:tr>
      <w:tr>
        <w:tc>
          <w:tcPr>
            <w:tcW w:type="dxa" w:w="2184"/>
            <w:tcMar>
              <w:top w:type="dxa" w:w="80"/>
              <w:left w:type="dxa" w:w="100"/>
              <w:bottom w:type="dxa" w:w="80"/>
              <w:right w:type="dxa" w:w="100"/>
            </w:tcMar>
            <w:vAlign w:val="top"/>
          </w:tcPr>
          <w:p>
            <w:r>
              <w:rPr>
                <w:b w:val="false"/>
                <w:bCs w:val="false"/>
                <w:i w:val="false"/>
                <w:iCs w:val="false"/>
              </w:rPr>
              <w:t xml:space="preserve">SBOM</w:t>
            </w:r>
          </w:p>
        </w:tc>
        <w:tc>
          <w:tcPr>
            <w:tcW w:type="dxa" w:w="4524"/>
            <w:tcMar>
              <w:top w:type="dxa" w:w="80"/>
              <w:left w:type="dxa" w:w="100"/>
              <w:bottom w:type="dxa" w:w="80"/>
              <w:right w:type="dxa" w:w="100"/>
            </w:tcMar>
            <w:vAlign w:val="top"/>
          </w:tcPr>
          <w:p>
            <w:r>
              <w:rPr>
                <w:b w:val="false"/>
                <w:bCs w:val="false"/>
                <w:i w:val="false"/>
                <w:iCs w:val="false"/>
              </w:rPr>
              <w:t xml:space="preserve">Software Bill of Materials — a standard software supply-chain artifact generated by Forge's Security Reviewer.</w:t>
            </w:r>
          </w:p>
        </w:tc>
        <w:tc>
          <w:tcPr>
            <w:tcW w:type="dxa" w:w="2652"/>
            <w:tcMar>
              <w:top w:type="dxa" w:w="80"/>
              <w:left w:type="dxa" w:w="100"/>
              <w:bottom w:type="dxa" w:w="80"/>
              <w:right w:type="dxa" w:w="100"/>
            </w:tcMar>
            <w:vAlign w:val="top"/>
          </w:tcPr>
          <w:p>
            <w:r>
              <w:rPr>
                <w:b w:val="false"/>
                <w:bCs w:val="false"/>
                <w:i w:val="false"/>
                <w:iCs w:val="false"/>
              </w:rPr>
              <w:t xml:space="preserve">N/A — standard software engineering term</w:t>
            </w:r>
          </w:p>
        </w:tc>
      </w:tr>
      <w:tr>
        <w:tc>
          <w:tcPr>
            <w:tcW w:type="dxa" w:w="2184"/>
            <w:tcMar>
              <w:top w:type="dxa" w:w="80"/>
              <w:left w:type="dxa" w:w="100"/>
              <w:bottom w:type="dxa" w:w="80"/>
              <w:right w:type="dxa" w:w="100"/>
            </w:tcMar>
            <w:vAlign w:val="top"/>
          </w:tcPr>
          <w:p>
            <w:r>
              <w:rPr>
                <w:b w:val="false"/>
                <w:bCs w:val="false"/>
                <w:i w:val="false"/>
                <w:iCs w:val="false"/>
              </w:rPr>
              <w:t xml:space="preserve">EDA</w:t>
            </w:r>
          </w:p>
        </w:tc>
        <w:tc>
          <w:tcPr>
            <w:tcW w:type="dxa" w:w="4524"/>
            <w:tcMar>
              <w:top w:type="dxa" w:w="80"/>
              <w:left w:type="dxa" w:w="100"/>
              <w:bottom w:type="dxa" w:w="80"/>
              <w:right w:type="dxa" w:w="100"/>
            </w:tcMar>
            <w:vAlign w:val="top"/>
          </w:tcPr>
          <w:p>
            <w:r>
              <w:rPr>
                <w:b w:val="false"/>
                <w:bCs w:val="false"/>
                <w:i w:val="false"/>
                <w:iCs w:val="false"/>
              </w:rPr>
              <w:t xml:space="preserve">Electronic Document Access — DoD contract document repository. Confirm NMCI availability.</w:t>
            </w:r>
          </w:p>
        </w:tc>
        <w:tc>
          <w:tcPr>
            <w:tcW w:type="dxa" w:w="2652"/>
            <w:tcMar>
              <w:top w:type="dxa" w:w="80"/>
              <w:left w:type="dxa" w:w="100"/>
              <w:bottom w:type="dxa" w:w="80"/>
              <w:right w:type="dxa" w:w="100"/>
            </w:tcMar>
            <w:vAlign w:val="top"/>
          </w:tcPr>
          <w:p>
            <w:r>
              <w:rPr>
                <w:b w:val="false"/>
                <w:bCs w:val="false"/>
                <w:i w:val="false"/>
                <w:iCs w:val="false"/>
              </w:rPr>
              <w:t xml:space="preserve">NMCI POC / Aimee Bloomberg</w:t>
            </w:r>
          </w:p>
        </w:tc>
      </w:tr>
      <w:tr>
        <w:tc>
          <w:tcPr>
            <w:tcW w:type="dxa" w:w="2184"/>
            <w:tcMar>
              <w:top w:type="dxa" w:w="80"/>
              <w:left w:type="dxa" w:w="100"/>
              <w:bottom w:type="dxa" w:w="80"/>
              <w:right w:type="dxa" w:w="100"/>
            </w:tcMar>
            <w:vAlign w:val="top"/>
          </w:tcPr>
          <w:p>
            <w:r>
              <w:rPr>
                <w:b w:val="false"/>
                <w:bCs w:val="false"/>
                <w:i w:val="false"/>
                <w:iCs w:val="false"/>
              </w:rPr>
              <w:t xml:space="preserve">Wide Area Workflow (WAW)</w:t>
            </w:r>
          </w:p>
        </w:tc>
        <w:tc>
          <w:tcPr>
            <w:tcW w:type="dxa" w:w="4524"/>
            <w:tcMar>
              <w:top w:type="dxa" w:w="80"/>
              <w:left w:type="dxa" w:w="100"/>
              <w:bottom w:type="dxa" w:w="80"/>
              <w:right w:type="dxa" w:w="100"/>
            </w:tcMar>
            <w:vAlign w:val="top"/>
          </w:tcPr>
          <w:p>
            <w:r>
              <w:rPr>
                <w:b w:val="false"/>
                <w:bCs w:val="false"/>
                <w:i w:val="false"/>
                <w:iCs w:val="false"/>
              </w:rPr>
              <w:t xml:space="preserve">DoD invoicing system. Confirm NMCI availability for informational links.</w:t>
            </w:r>
          </w:p>
        </w:tc>
        <w:tc>
          <w:tcPr>
            <w:tcW w:type="dxa" w:w="2652"/>
            <w:tcMar>
              <w:top w:type="dxa" w:w="80"/>
              <w:left w:type="dxa" w:w="100"/>
              <w:bottom w:type="dxa" w:w="80"/>
              <w:right w:type="dxa" w:w="100"/>
            </w:tcMar>
            <w:vAlign w:val="top"/>
          </w:tcPr>
          <w:p>
            <w:r>
              <w:rPr>
                <w:b w:val="false"/>
                <w:bCs w:val="false"/>
                <w:i w:val="false"/>
                <w:iCs w:val="false"/>
              </w:rPr>
              <w:t xml:space="preserve">NMCI POC / Aimee Bloomberg</w:t>
            </w:r>
          </w:p>
        </w:tc>
      </w:tr>
      <w:tr>
        <w:tc>
          <w:tcPr>
            <w:tcW w:type="dxa" w:w="2184"/>
            <w:tcMar>
              <w:top w:type="dxa" w:w="80"/>
              <w:left w:type="dxa" w:w="100"/>
              <w:bottom w:type="dxa" w:w="80"/>
              <w:right w:type="dxa" w:w="100"/>
            </w:tcMar>
            <w:vAlign w:val="top"/>
          </w:tcPr>
          <w:p>
            <w:r>
              <w:rPr>
                <w:b w:val="false"/>
                <w:bCs w:val="false"/>
                <w:i w:val="false"/>
                <w:iCs w:val="false"/>
              </w:rPr>
              <w:t xml:space="preserve">TRAM</w:t>
            </w:r>
          </w:p>
        </w:tc>
        <w:tc>
          <w:tcPr>
            <w:tcW w:type="dxa" w:w="4524"/>
            <w:tcMar>
              <w:top w:type="dxa" w:w="80"/>
              <w:left w:type="dxa" w:w="100"/>
              <w:bottom w:type="dxa" w:w="80"/>
              <w:right w:type="dxa" w:w="100"/>
            </w:tcMar>
            <w:vAlign w:val="top"/>
          </w:tcPr>
          <w:p>
            <w:r>
              <w:rPr>
                <w:b w:val="false"/>
                <w:bCs w:val="false"/>
                <w:i w:val="false"/>
                <w:iCs w:val="false"/>
              </w:rPr>
              <w:t xml:space="preserve">A sponsor referenced by the project management team. Acronym never expanded.</w:t>
            </w:r>
          </w:p>
        </w:tc>
        <w:tc>
          <w:tcPr>
            <w:tcW w:type="dxa" w:w="2652"/>
            <w:tcMar>
              <w:top w:type="dxa" w:w="80"/>
              <w:left w:type="dxa" w:w="100"/>
              <w:bottom w:type="dxa" w:w="80"/>
              <w:right w:type="dxa" w:w="100"/>
            </w:tcMar>
            <w:vAlign w:val="top"/>
          </w:tcPr>
          <w:p>
            <w:r>
              <w:rPr>
                <w:b w:val="false"/>
                <w:bCs w:val="false"/>
                <w:i w:val="false"/>
                <w:iCs w:val="false"/>
              </w:rPr>
              <w:t xml:space="preserve">Ashley or Haley</w:t>
            </w:r>
          </w:p>
        </w:tc>
      </w:tr>
      <w:tr>
        <w:tc>
          <w:tcPr>
            <w:tcW w:type="dxa" w:w="2184"/>
            <w:tcMar>
              <w:top w:type="dxa" w:w="80"/>
              <w:left w:type="dxa" w:w="100"/>
              <w:bottom w:type="dxa" w:w="80"/>
              <w:right w:type="dxa" w:w="100"/>
            </w:tcMar>
            <w:vAlign w:val="top"/>
          </w:tcPr>
          <w:p>
            <w:r>
              <w:rPr>
                <w:b w:val="false"/>
                <w:bCs w:val="false"/>
                <w:i w:val="false"/>
                <w:iCs w:val="false"/>
              </w:rPr>
              <w:t xml:space="preserve">DREN</w:t>
            </w:r>
          </w:p>
        </w:tc>
        <w:tc>
          <w:tcPr>
            <w:tcW w:type="dxa" w:w="4524"/>
            <w:tcMar>
              <w:top w:type="dxa" w:w="80"/>
              <w:left w:type="dxa" w:w="100"/>
              <w:bottom w:type="dxa" w:w="80"/>
              <w:right w:type="dxa" w:w="100"/>
            </w:tcMar>
            <w:vAlign w:val="top"/>
          </w:tcPr>
          <w:p>
            <w:r>
              <w:rPr>
                <w:b w:val="false"/>
                <w:bCs w:val="false"/>
                <w:i w:val="false"/>
                <w:iCs w:val="false"/>
              </w:rPr>
              <w:t xml:space="preserve">A network referenced in the context of the custom web app alternative. Confirm status and relevance.</w:t>
            </w:r>
          </w:p>
        </w:tc>
        <w:tc>
          <w:tcPr>
            <w:tcW w:type="dxa" w:w="2652"/>
            <w:tcMar>
              <w:top w:type="dxa" w:w="80"/>
              <w:left w:type="dxa" w:w="100"/>
              <w:bottom w:type="dxa" w:w="80"/>
              <w:right w:type="dxa" w:w="100"/>
            </w:tcMar>
            <w:vAlign w:val="top"/>
          </w:tcPr>
          <w:p>
            <w:r>
              <w:rPr>
                <w:b w:val="false"/>
                <w:bCs w:val="false"/>
                <w:i w:val="false"/>
                <w:iCs w:val="false"/>
              </w:rPr>
              <w:t xml:space="preserve">IT support / Linda Dodson</w:t>
            </w:r>
          </w:p>
        </w:tc>
      </w:tr>
    </w:tbl>
    <w:p>
      <w:pPr>
        <w:pStyle w:val="Heading1"/>
        <w:spacing w:after="160" w:before="360"/>
      </w:pPr>
      <w:r>
        <w:rPr>
          <w:b/>
          <w:bCs/>
        </w:rPr>
        <w:t xml:space="preserve">23.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RECOMMENDED: Alternative 3 — Firepit/Forge. Build the Team Project Dashboard and the surrounding application suite as a single-shell application authored in Forge and deployed through the Firepit SPFx web part, using SharePoint Lists as the data backbone. If the SharePoint deployment path proves impractical during Phase 2, Alternative 2 (Power Apps / Power Platform) is the direct fallback and all Phase 1 schema work transfers without rework.</w:t>
            </w:r>
          </w:p>
        </w:tc>
      </w:tr>
    </w:tbl>
    <w:p>
      <w:pPr>
        <w:spacing w:after="120"/>
      </w:pPr>
    </w:p>
    <w:p>
      <w:pPr>
        <w:spacing w:after="160"/>
      </w:pPr>
      <w:r>
        <w:t xml:space="preserve">Recommended first step: Schedule a working session with the IPT Lead within the next week to confirm dashboard metrics, data field priorities, and data owner assignments, while confirming the SharePoint app catalog deployment path for Firepit in parallel. No development beyond the schema should proceed without the metrics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80"/>
              <w:left w:type="dxa" w:w="100"/>
              <w:bottom w:type="dxa" w:w="80"/>
              <w:right w:type="dxa" w:w="100"/>
            </w:tcMar>
            <w:vAlign w:val="top"/>
          </w:tcPr>
          <w:p>
            <w:r>
              <w:rPr>
                <w:b/>
                <w:bCs/>
                <w:i w:val="false"/>
                <w:iCs w:val="false"/>
              </w:rPr>
              <w:t xml:space="preserve">Area</w:t>
            </w:r>
          </w:p>
        </w:tc>
        <w:tc>
          <w:tcPr>
            <w:tcW w:type="dxa" w:w="6926"/>
            <w:shd w:fill="D9D9D9" w:val="clear"/>
            <w:tcMar>
              <w:top w:type="dxa" w:w="80"/>
              <w:left w:type="dxa" w:w="100"/>
              <w:bottom w:type="dxa" w:w="80"/>
              <w:right w:type="dxa" w:w="100"/>
            </w:tcMar>
            <w:vAlign w:val="top"/>
          </w:tcPr>
          <w:p>
            <w:r>
              <w:rPr>
                <w:b/>
                <w:bCs/>
                <w:i w:val="false"/>
                <w:iCs w:val="false"/>
              </w:rPr>
              <w:t xml:space="preserve">Recommendation</w:t>
            </w:r>
          </w:p>
        </w:tc>
      </w:tr>
      <w:tr>
        <w:tc>
          <w:tcPr>
            <w:tcW w:type="dxa" w:w="2434"/>
            <w:tcMar>
              <w:top w:type="dxa" w:w="80"/>
              <w:left w:type="dxa" w:w="100"/>
              <w:bottom w:type="dxa" w:w="80"/>
              <w:right w:type="dxa" w:w="100"/>
            </w:tcMar>
            <w:vAlign w:val="top"/>
          </w:tcPr>
          <w:p>
            <w:r>
              <w:rPr>
                <w:b w:val="false"/>
                <w:bCs w:val="false"/>
                <w:i w:val="false"/>
                <w:iCs w:val="false"/>
              </w:rPr>
              <w:t xml:space="preserve">Recommended alternative</w:t>
            </w:r>
          </w:p>
        </w:tc>
        <w:tc>
          <w:tcPr>
            <w:tcW w:type="dxa" w:w="6926"/>
            <w:tcMar>
              <w:top w:type="dxa" w:w="80"/>
              <w:left w:type="dxa" w:w="100"/>
              <w:bottom w:type="dxa" w:w="80"/>
              <w:right w:type="dxa" w:w="100"/>
            </w:tcMar>
            <w:vAlign w:val="top"/>
          </w:tcPr>
          <w:p>
            <w:r>
              <w:rPr>
                <w:b w:val="false"/>
                <w:bCs w:val="false"/>
                <w:i w:val="false"/>
                <w:iCs w:val="false"/>
              </w:rPr>
              <w:t xml:space="preserve">Alternative 3 — Firepit/Forge (fallback: Alternative 2 — Power Apps / Power Platform)</w:t>
            </w:r>
          </w:p>
        </w:tc>
      </w:tr>
      <w:tr>
        <w:tc>
          <w:tcPr>
            <w:tcW w:type="dxa" w:w="2434"/>
            <w:tcMar>
              <w:top w:type="dxa" w:w="80"/>
              <w:left w:type="dxa" w:w="100"/>
              <w:bottom w:type="dxa" w:w="80"/>
              <w:right w:type="dxa" w:w="100"/>
            </w:tcMar>
            <w:vAlign w:val="top"/>
          </w:tcPr>
          <w:p>
            <w:r>
              <w:rPr>
                <w:b w:val="false"/>
                <w:bCs w:val="false"/>
                <w:i w:val="false"/>
                <w:iCs w:val="false"/>
              </w:rPr>
              <w:t xml:space="preserve">Recommended first step</w:t>
            </w:r>
          </w:p>
        </w:tc>
        <w:tc>
          <w:tcPr>
            <w:tcW w:type="dxa" w:w="6926"/>
            <w:tcMar>
              <w:top w:type="dxa" w:w="80"/>
              <w:left w:type="dxa" w:w="100"/>
              <w:bottom w:type="dxa" w:w="80"/>
              <w:right w:type="dxa" w:w="100"/>
            </w:tcMar>
            <w:vAlign w:val="top"/>
          </w:tcPr>
          <w:p>
            <w:r>
              <w:rPr>
                <w:b w:val="false"/>
                <w:bCs w:val="false"/>
                <w:i w:val="false"/>
                <w:iCs w:val="false"/>
              </w:rPr>
              <w:t xml:space="preserve">Confirm metrics/data owners with the IPT Lead, and confirm the Firepit app catalog deployment path — both this week</w:t>
            </w:r>
          </w:p>
        </w:tc>
      </w:tr>
      <w:tr>
        <w:tc>
          <w:tcPr>
            <w:tcW w:type="dxa" w:w="2434"/>
            <w:tcMar>
              <w:top w:type="dxa" w:w="80"/>
              <w:left w:type="dxa" w:w="100"/>
              <w:bottom w:type="dxa" w:w="80"/>
              <w:right w:type="dxa" w:w="100"/>
            </w:tcMar>
            <w:vAlign w:val="top"/>
          </w:tcPr>
          <w:p>
            <w:r>
              <w:rPr>
                <w:b w:val="false"/>
                <w:bCs w:val="false"/>
                <w:i w:val="false"/>
                <w:iCs w:val="false"/>
              </w:rPr>
              <w:t xml:space="preserve">Primary deliverable</w:t>
            </w:r>
          </w:p>
        </w:tc>
        <w:tc>
          <w:tcPr>
            <w:tcW w:type="dxa" w:w="6926"/>
            <w:tcMar>
              <w:top w:type="dxa" w:w="80"/>
              <w:left w:type="dxa" w:w="100"/>
              <w:bottom w:type="dxa" w:w="80"/>
              <w:right w:type="dxa" w:w="100"/>
            </w:tcMar>
            <w:vAlign w:val="top"/>
          </w:tcPr>
          <w:p>
            <w:r>
              <w:rPr>
                <w:b w:val="false"/>
                <w:bCs w:val="false"/>
                <w:i w:val="false"/>
                <w:iCs w:val="false"/>
              </w:rPr>
              <w:t xml:space="preserve">Data Schema and Source Mapping document (the primary deliverable; front-end-agnostic)</w:t>
            </w:r>
          </w:p>
        </w:tc>
      </w:tr>
      <w:tr>
        <w:tc>
          <w:tcPr>
            <w:tcW w:type="dxa" w:w="2434"/>
            <w:tcMar>
              <w:top w:type="dxa" w:w="80"/>
              <w:left w:type="dxa" w:w="100"/>
              <w:bottom w:type="dxa" w:w="80"/>
              <w:right w:type="dxa" w:w="100"/>
            </w:tcMar>
            <w:vAlign w:val="top"/>
          </w:tcPr>
          <w:p>
            <w:r>
              <w:rPr>
                <w:b w:val="false"/>
                <w:bCs w:val="false"/>
                <w:i w:val="false"/>
                <w:iCs w:val="false"/>
              </w:rPr>
              <w:t xml:space="preserve">Secondary deliverable</w:t>
            </w:r>
          </w:p>
        </w:tc>
        <w:tc>
          <w:tcPr>
            <w:tcW w:type="dxa" w:w="6926"/>
            <w:tcMar>
              <w:top w:type="dxa" w:w="80"/>
              <w:left w:type="dxa" w:w="100"/>
              <w:bottom w:type="dxa" w:w="80"/>
              <w:right w:type="dxa" w:w="100"/>
            </w:tcMar>
            <w:vAlign w:val="top"/>
          </w:tcPr>
          <w:p>
            <w:r>
              <w:rPr>
                <w:b w:val="false"/>
                <w:bCs w:val="false"/>
                <w:i w:val="false"/>
                <w:iCs w:val="false"/>
              </w:rPr>
              <w:t xml:space="preserve">Minimum viable application shell (SharePoint list backbone + Firepit-hosted portfolio view, or Power Apps equivalent if the fallback applies)</w:t>
            </w:r>
          </w:p>
        </w:tc>
      </w:tr>
      <w:tr>
        <w:tc>
          <w:tcPr>
            <w:tcW w:type="dxa" w:w="2434"/>
            <w:tcMar>
              <w:top w:type="dxa" w:w="80"/>
              <w:left w:type="dxa" w:w="100"/>
              <w:bottom w:type="dxa" w:w="80"/>
              <w:right w:type="dxa" w:w="100"/>
            </w:tcMar>
            <w:vAlign w:val="top"/>
          </w:tcPr>
          <w:p>
            <w:r>
              <w:rPr>
                <w:b w:val="false"/>
                <w:bCs w:val="false"/>
                <w:i w:val="false"/>
                <w:iCs w:val="false"/>
              </w:rPr>
              <w:t xml:space="preserve">What should be deferred</w:t>
            </w:r>
          </w:p>
        </w:tc>
        <w:tc>
          <w:tcPr>
            <w:tcW w:type="dxa" w:w="6926"/>
            <w:tcMar>
              <w:top w:type="dxa" w:w="80"/>
              <w:left w:type="dxa" w:w="100"/>
              <w:bottom w:type="dxa" w:w="80"/>
              <w:right w:type="dxa" w:w="100"/>
            </w:tcMar>
            <w:vAlign w:val="top"/>
          </w:tcPr>
          <w:p>
            <w:r>
              <w:rPr>
                <w:b w:val="false"/>
                <w:bCs w:val="false"/>
                <w:i w:val="false"/>
                <w:iCs w:val="false"/>
              </w:rPr>
              <w:t xml:space="preserve">Dataverse backend migration (pending Echelon 2 approval); full report generation automation (pending NMCI feasibility confirmation); all standalone projects listed as out of scope in Section 6</w:t>
            </w:r>
          </w:p>
        </w:tc>
      </w:tr>
    </w:tbl>
    <w:p>
      <w:pPr>
        <w:spacing w:after="120"/>
      </w:pPr>
    </w:p>
    <w:p>
      <w:pPr>
        <w:spacing w:after="160"/>
      </w:pPr>
      <w:r>
        <w:t xml:space="preserve">Leadership should make one decision immediately: who will own the application and its data after the internship ends. This decision has a deadline — if it is not made before the internship concludes, work built during the engagement is at risk of being unusable or unmaintainable.</w:t>
      </w:r>
    </w:p>
    <w:p>
      <w:r>
        <w:br w:type="page"/>
      </w:r>
    </w:p>
    <w:p>
      <w:pPr>
        <w:pStyle w:val="Heading1"/>
        <w:spacing w:after="160" w:before="360"/>
      </w:pPr>
      <w:r>
        <w:rPr>
          <w:b/>
          <w:bCs/>
        </w:rPr>
        <w:t xml:space="preserve">Appendix A: Alternatives Detail</w:t>
      </w:r>
    </w:p>
    <w:p>
      <w:pPr>
        <w:pStyle w:val="Heading2"/>
        <w:spacing w:after="120" w:before="260"/>
      </w:pPr>
      <w:r>
        <w:rPr>
          <w:b/>
          <w:bCs/>
        </w:rPr>
        <w:t xml:space="preserve">Alternative 1 — Status Quo / Manual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No change. The IPT Lead continues to collect information manually from each team member. Reporting continues to require individual re-entry across multiple formats.</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Same as today. Each team member maintains their own data in their own format. The IPT Lead manually synthesizes the portfolio picture when needed.</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No implementation effort required. No risk of building the wrong thing.</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Does not solve the problem. Manual collection continues to consume leadership and PM time. Data quality remains inconsistent. Continuity remains at risk when team members leave.</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None.</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None on implementation. Ongoing time cost remains unchanged.</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No new cost.</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No change. Data remains dispersed across personal files.</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High — every manual process must be repeated indefinitely.</w:t>
            </w:r>
          </w:p>
        </w:tc>
      </w:tr>
      <w:tr>
        <w:tc>
          <w:tcPr>
            <w:tcW w:type="dxa" w:w="2229"/>
            <w:shd w:fill="F2F2F2" w:val="clear"/>
            <w:tcMar>
              <w:top w:type="dxa" w:w="80"/>
              <w:left w:type="dxa" w:w="100"/>
              <w:bottom w:type="dxa" w:w="80"/>
              <w:right w:type="dxa" w:w="100"/>
            </w:tcMar>
            <w:vAlign w:val="top"/>
          </w:tcPr>
          <w:p>
            <w:r>
              <w:rPr>
                <w:b/>
                <w:bCs/>
                <w:i w:val="false"/>
                <w:iCs w:val="false"/>
              </w:rPr>
              <w:t xml:space="preserve">Key risks</w:t>
            </w:r>
          </w:p>
        </w:tc>
        <w:tc>
          <w:tcPr>
            <w:tcW w:type="dxa" w:w="7131"/>
            <w:tcMar>
              <w:top w:type="dxa" w:w="80"/>
              <w:left w:type="dxa" w:w="100"/>
              <w:bottom w:type="dxa" w:w="80"/>
              <w:right w:type="dxa" w:w="100"/>
            </w:tcMar>
            <w:vAlign w:val="top"/>
          </w:tcPr>
          <w:p>
            <w:r>
              <w:rPr>
                <w:b w:val="false"/>
                <w:bCs w:val="false"/>
                <w:i w:val="false"/>
                <w:iCs w:val="false"/>
              </w:rPr>
              <w:t xml:space="preserve">The IPT Lead continues to operate without adequate portfolio visibility. Data continuity risk increases as team members turn over.</w:t>
            </w:r>
          </w:p>
        </w:tc>
      </w:tr>
    </w:tbl>
    <w:p>
      <w:pPr>
        <w:spacing w:after="120"/>
      </w:pPr>
    </w:p>
    <w:p>
      <w:pPr>
        <w:pStyle w:val="Heading2"/>
        <w:spacing w:after="120" w:before="260"/>
      </w:pPr>
      <w:r>
        <w:rPr>
          <w:b/>
          <w:bCs/>
        </w:rPr>
        <w:t xml:space="preserve">Alternative 2 — Power Apps / Power Platform (Native Microsoft Build)</w:t>
      </w:r>
    </w:p>
    <w:p>
      <w:pPr>
        <w:spacing w:after="160"/>
      </w:pPr>
      <w:r>
        <w:t xml:space="preserve">This alternative consolidates what earlier drafts of this document scored as five separate options (Excel, SharePoint Lists alone, Power BI alone, a Power Apps/SharePoint/Power BI hybrid, and Dataverse) into one alternative: the native Microsoft build path, in whichever combination of Power Platform components is needed. Dataverse is treated as a future-state backend migration within this same alternative rather than a separate numbered option, since it does not change the front-end tooling — it only changes where the data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SharePoint Online as the data backbone; Power Apps (Canvas) as the controlled data-entry and per-project detail interface; Power BI as the leadership reporting and visualization layer; Power Automate for notifications and workflow automation, limited to actions confirmed available in the NMCI environment.</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Project records, status fields, financial imports, milestone data, cyber compliance entries, and contract summaries live in SharePoint Lists. Power Apps provides a controlled front end for data entry. Power BI reads from the same lists to produce leadership-facing reports. Power Automate handles notifications and simple workflow steps where NMCI allows.</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Fully native to Flank Speed; runs inside the team's existing, already-approved environment automatically. The Contracts Manager has already begun a Power BI workspace for the financial module, and SharePoint project tracker lists are already in use, so the recommended path builds on what exists. Confirmed viable in NMCI by the GPETE [Confirm] peer-team demonstration. Maintainable — SharePoint lists can be updated by team members without developer access; Power BI reports can be refreshed by a data steward.</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Requires integrating three separate Microsoft tools (SharePoint, Power Apps, Power BI) into one coherent experience, which is real assembly work; each layer has its own NMCI feature restrictions that surface mid-build (as already happened with Power Automate's Word template action). Power Apps development effort for a full per-project detail experience is significant.</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Moderate — a minimum viable version is achievable within the internship timeline; a fully polished, integrated experience across all three tools is a larger effort.</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A minimum viable portfolio view can be produced within the internship. Additional modules can be added as data sources are confirmed.</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None above current Flank Speed entitlements. Dataverse migration, if pursued later, requires Echelon 2 approval and premium per-user licensing not currently available.</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Strong — native Power Platform role-based security model, CAC/PIV authentication inherited from Flank Speed.</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Moderate — SharePoint is maintainable by any user; Power Apps and Power BI changes require some Power Platform skill.</w:t>
            </w:r>
          </w:p>
        </w:tc>
      </w:tr>
      <w:tr>
        <w:tc>
          <w:tcPr>
            <w:tcW w:type="dxa" w:w="2229"/>
            <w:shd w:fill="F2F2F2" w:val="clear"/>
            <w:tcMar>
              <w:top w:type="dxa" w:w="80"/>
              <w:left w:type="dxa" w:w="100"/>
              <w:bottom w:type="dxa" w:w="80"/>
              <w:right w:type="dxa" w:w="100"/>
            </w:tcMar>
            <w:vAlign w:val="top"/>
          </w:tcPr>
          <w:p>
            <w:r>
              <w:rPr>
                <w:b/>
                <w:bCs/>
                <w:i w:val="false"/>
                <w:iCs w:val="false"/>
              </w:rPr>
              <w:t xml:space="preserve">Key risks</w:t>
            </w:r>
          </w:p>
        </w:tc>
        <w:tc>
          <w:tcPr>
            <w:tcW w:type="dxa" w:w="7131"/>
            <w:tcMar>
              <w:top w:type="dxa" w:w="80"/>
              <w:left w:type="dxa" w:w="100"/>
              <w:bottom w:type="dxa" w:w="80"/>
              <w:right w:type="dxa" w:w="100"/>
            </w:tcMar>
            <w:vAlign w:val="top"/>
          </w:tcPr>
          <w:p>
            <w:r>
              <w:rPr>
                <w:b w:val="false"/>
                <w:bCs w:val="false"/>
                <w:i w:val="false"/>
                <w:iCs w:val="false"/>
              </w:rPr>
              <w:t xml:space="preserve">Scope creep across three tools. Flow/app ownership after intern departure. NMCI feature restrictions discovered mid-build. Data owners not maintaining their fields.</w:t>
            </w:r>
          </w:p>
        </w:tc>
      </w:tr>
    </w:tbl>
    <w:p>
      <w:pPr>
        <w:spacing w:after="120"/>
      </w:pPr>
    </w:p>
    <w:p>
      <w:pPr>
        <w:pStyle w:val="Heading2"/>
        <w:spacing w:after="120" w:before="260"/>
      </w:pPr>
      <w:r>
        <w:rPr>
          <w:b/>
          <w:bCs/>
        </w:rPr>
        <w:t xml:space="preserve">Alternative 3 — Firepit/Forge (Navy-Built SharePoint Application Framework) — RECOMMENDED</w:t>
      </w:r>
    </w:p>
    <w:p>
      <w:pPr>
        <w:spacing w:after="160"/>
      </w:pPr>
      <w:r>
        <w:t xml:space="preserve">This alternative is based on a technical architecture review of four files: Forge.html (the authoring tool), firepit-prod.sppkg and firepit_7.0.7.0.sppkg (two production SharePoint deployment packages), and firepit-src-7.1.0.zip (TypeScript source for the underlying web part). All technical claims in this entry are drawn from that review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A two-part system built within Navy NAVWAR PEO Digital. Firepit is a SharePoint Framework (SPFx) web part — internally named "HtmlFileRendererWebPart," titled "Firepit: HTML Application Host" in the SharePoint web-part picker — that loads a single self-contained HTML file into a sandboxed iframe on a SharePoint page. Forge is a large (~8MB), single-file browser IDE that developers run entirely offline, providing a code editor, an AI coding agent ("Prometheus"), version checkpointing, a built-in security auditor, and a compiler that packages a multi-file project into the single file Firepit expects.</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A developer opens Forge.html locally, grants it access to a project folder via the browser's File System Access API, and edits HTML/CSS/JS files with optional AI assistance. Before shipping, the built-in Security Reviewer checks the project against a broad set of security best-practice control checks and can generate a detailed security summary and a Software Bill of Materials (SBOM). Forge's compiler then bundles the project into one self-contained .html file with security guards embedded, which is uploaded to a SharePoint document library (or pasted inline) and rendered by the Firepit web part on a SharePoint page. A companion decompiler can reverse this process, pulling a previously shipped file back into an editable multi-file project.</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Fully native to Flank Speed (deployed as a standard SPFx package to a SharePoint site); runs inside the team's existing, already-approved environment automatically, at zero additional cost. Already a real, fielded system — two production package versions (7.0.7.0 and 7.1.0.0) were found deployed to a NAVWAR PEO Digital SharePoint site, not a hypothetical option. Purpose-built security architecture: a five-layer guard family (Content-Security-Policy, a link-hint guard, a query-parameter/navigation guard aimed specifically at preventing exfiltration through URL parameters, a network guard that allow-lists every outbound fetch/XHR/WebSocket/EventSource/sendBeacon call, and context/bridge injection) is implemented independently at both build time (Forge) and render time (Firepit), so the protection applies whether or not a given file was actually produced by Forge. The AI coding agent is restricted, by default, to a small set of approved, government-appropriate backends, and gates any other provider behind an explicit certification step. A single application shell can host multiple screens/modules — the dashboard alongside the travel request tool, PM hub, and travel calendar — under one consistent deployment rather than several disconnected tools. The application front end can be authored in React and other standard JavaScript frameworks, compiled by Forge into the single-file package Firepit expects — giving the team access to an industry-standard, widely available developer talent pool rather than being limited to Power Apps' proprietary canvas-app skill set. Because Forge compiles to a self-contained package that auto-provisions its own SharePoint lists on deployment, the same build is not a one-off for AEWTTR: it is redeployable, with minor tweaks, to any IPT within TTSD, and potentially across NAVWAR more broadly.</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It is a niche, internally-built tool without a public support contract or documented SLA; sustainment depends on continued availability from its originating organization. Role-based, field-level data permissions are not provided by Firepit itself and must be implemented separately (via SharePoint list permissions or in-application logic). The optional built-in client-side data store (sharedrive-nosql.js) uses a last-write-wins merge model with no relational integrity, and is not an appropriate system of record for data multiple teams edit concurrently — SharePoint Lists should be used instead for those domains.</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Low to moderate for a developer already comfortable with HTML/JS — no server, no build toolchain, and no installation are required; Forge runs entirely in a browser tab. The main complexity is confirming the SharePoint deployment path (tenant vs. site-collection app catalog) and designing role-based access on top of SharePoint Lists, since Firepit does not provide that natively.</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Potentially the fastest of the viable alternatives to reach a working prototype, given AI-assisted authoring and a build that has already started, contingent on the SharePoint app catalog deployment path (Section 7) resolving quickly.</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None above current Flank Speed entitlements. Forge is a free, offline authoring tool with no server-side or subscription cost identified.</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Strong at the network/execution layer (see Advantages). CAC/PIV authentication is inherited from the host SharePoint site, consistent with the rest of Flank Speed. Field-level role permissions require additional design work, as noted above.</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Low to moderate — depends on continued sustainment of Forge/Firepit by NAVWAR PEO Digital or whichever organization maintains it, but this is materially offset by two factors: the application front end can be authored in React, an industry-standard framework with a much larger available developer pool than Power Apps' proprietary canvas-app tooling, and the built-in decompiler and checkpoint system together mean a shipped application is never a black box — it can always be reconstructed into an editable project, even without external version control.</w:t>
            </w:r>
          </w:p>
        </w:tc>
      </w:tr>
      <w:tr>
        <w:tc>
          <w:tcPr>
            <w:tcW w:type="dxa" w:w="2229"/>
            <w:shd w:fill="F2F2F2" w:val="clear"/>
            <w:tcMar>
              <w:top w:type="dxa" w:w="80"/>
              <w:left w:type="dxa" w:w="100"/>
              <w:bottom w:type="dxa" w:w="80"/>
              <w:right w:type="dxa" w:w="100"/>
            </w:tcMar>
            <w:vAlign w:val="top"/>
          </w:tcPr>
          <w:p>
            <w:r>
              <w:rPr>
                <w:b/>
                <w:bCs/>
                <w:i w:val="false"/>
                <w:iCs w:val="false"/>
              </w:rPr>
              <w:t xml:space="preserve">Key risks</w:t>
            </w:r>
          </w:p>
        </w:tc>
        <w:tc>
          <w:tcPr>
            <w:tcW w:type="dxa" w:w="7131"/>
            <w:tcMar>
              <w:top w:type="dxa" w:w="80"/>
              <w:left w:type="dxa" w:w="100"/>
              <w:bottom w:type="dxa" w:w="80"/>
              <w:right w:type="dxa" w:w="100"/>
            </w:tcMar>
            <w:vAlign w:val="top"/>
          </w:tcPr>
          <w:p>
            <w:r>
              <w:rPr>
                <w:b w:val="false"/>
                <w:bCs w:val="false"/>
                <w:i w:val="false"/>
                <w:iCs w:val="false"/>
              </w:rPr>
              <w:t xml:space="preserve">Long-term support relationship with the originating organization is unconfirmed. Requires the developer to build role-based access and most visualization work by hand rather than getting it for free, unlike Power BI.</w:t>
            </w:r>
          </w:p>
        </w:tc>
      </w:tr>
    </w:tbl>
    <w:p>
      <w:pPr>
        <w:spacing w:after="120"/>
      </w:pPr>
    </w:p>
    <w:p>
      <w:pPr>
        <w:pStyle w:val="Heading2"/>
        <w:spacing w:after="120" w:before="260"/>
      </w:pPr>
      <w:r>
        <w:rPr>
          <w:b/>
          <w:bCs/>
        </w:rPr>
        <w:t xml:space="preserve">Alternative 4 — Atlassian Confluence/Jira (Government Cloud)</w:t>
      </w:r>
    </w:p>
    <w:p>
      <w:pPr>
        <w:spacing w:after="160"/>
      </w:pPr>
      <w:r>
        <w:t xml:space="preserve">Researched at the preparer's request, including the self-hosted Jira-on-AWS option. Current product and licensing status was re-verified against Atlassian and AWS primary sources on July 22, 2026; the links and research basis appear in the Sources section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What it is</w:t>
            </w:r>
          </w:p>
        </w:tc>
        <w:tc>
          <w:tcPr>
            <w:tcW w:type="dxa" w:w="7131"/>
            <w:tcMar>
              <w:top w:type="dxa" w:w="80"/>
              <w:left w:type="dxa" w:w="100"/>
              <w:bottom w:type="dxa" w:w="80"/>
              <w:right w:type="dxa" w:w="100"/>
            </w:tcMar>
            <w:vAlign w:val="top"/>
          </w:tcPr>
          <w:p>
            <w:r>
              <w:rPr>
                <w:b w:val="false"/>
                <w:bCs w:val="false"/>
                <w:i w:val="false"/>
                <w:iCs w:val="false"/>
              </w:rPr>
              <w:t xml:space="preserve">A mature Jira/Confluence suite. The contractors already use Jira for support ticketing, giving this option a genuine familiarity advantage.</w:t>
            </w:r>
          </w:p>
        </w:tc>
      </w:tr>
      <w:tr>
        <w:tc>
          <w:tcPr>
            <w:tcW w:type="dxa" w:w="2229"/>
            <w:shd w:fill="F2F2F2" w:val="clear"/>
            <w:tcMar>
              <w:top w:type="dxa" w:w="80"/>
              <w:left w:type="dxa" w:w="100"/>
              <w:bottom w:type="dxa" w:w="80"/>
              <w:right w:type="dxa" w:w="100"/>
            </w:tcMar>
            <w:vAlign w:val="top"/>
          </w:tcPr>
          <w:p>
            <w:r>
              <w:rPr>
                <w:b/>
                <w:bCs/>
                <w:i w:val="false"/>
                <w:iCs w:val="false"/>
              </w:rPr>
              <w:t xml:space="preserve">Cloud-hosted path</w:t>
            </w:r>
          </w:p>
        </w:tc>
        <w:tc>
          <w:tcPr>
            <w:tcW w:type="dxa" w:w="7131"/>
            <w:tcMar>
              <w:top w:type="dxa" w:w="80"/>
              <w:left w:type="dxa" w:w="100"/>
              <w:bottom w:type="dxa" w:w="80"/>
              <w:right w:type="dxa" w:w="100"/>
            </w:tcMar>
            <w:vAlign w:val="top"/>
          </w:tcPr>
          <w:p>
            <w:r>
              <w:rPr>
                <w:b w:val="false"/>
                <w:bCs w:val="false"/>
                <w:i w:val="false"/>
                <w:iCs w:val="false"/>
              </w:rPr>
              <w:t xml:space="preserve">License and configure Atlassian Government Cloud through a government reseller. This is a separately hosted, separately licensed environment outside the Flank Speed tenant.</w:t>
            </w:r>
          </w:p>
        </w:tc>
      </w:tr>
      <w:tr>
        <w:tc>
          <w:tcPr>
            <w:tcW w:type="dxa" w:w="2229"/>
            <w:shd w:fill="F2F2F2" w:val="clear"/>
            <w:tcMar>
              <w:top w:type="dxa" w:w="80"/>
              <w:left w:type="dxa" w:w="100"/>
              <w:bottom w:type="dxa" w:w="80"/>
              <w:right w:type="dxa" w:w="100"/>
            </w:tcMar>
            <w:vAlign w:val="top"/>
          </w:tcPr>
          <w:p>
            <w:r>
              <w:rPr>
                <w:b/>
                <w:bCs/>
                <w:i w:val="false"/>
                <w:iCs w:val="false"/>
              </w:rPr>
              <w:t xml:space="preserve">Why it was considered</w:t>
            </w:r>
          </w:p>
        </w:tc>
        <w:tc>
          <w:tcPr>
            <w:tcW w:type="dxa" w:w="7131"/>
            <w:tcMar>
              <w:top w:type="dxa" w:w="80"/>
              <w:left w:type="dxa" w:w="100"/>
              <w:bottom w:type="dxa" w:w="80"/>
              <w:right w:type="dxa" w:w="100"/>
            </w:tcMar>
            <w:vAlign w:val="top"/>
          </w:tcPr>
          <w:p>
            <w:r>
              <w:rPr>
                <w:b w:val="false"/>
                <w:bCs w:val="false"/>
                <w:i w:val="false"/>
                <w:iCs w:val="false"/>
              </w:rPr>
              <w:t xml:space="preserve">Strong project, knowledge-management, reporting, and ticketing capabilities with commercial support and little custom development.</w:t>
            </w:r>
          </w:p>
        </w:tc>
      </w:tr>
      <w:tr>
        <w:tc>
          <w:tcPr>
            <w:tcW w:type="dxa" w:w="2229"/>
            <w:shd w:fill="F2F2F2" w:val="clear"/>
            <w:tcMar>
              <w:top w:type="dxa" w:w="80"/>
              <w:left w:type="dxa" w:w="100"/>
              <w:bottom w:type="dxa" w:w="80"/>
              <w:right w:type="dxa" w:w="100"/>
            </w:tcMar>
            <w:vAlign w:val="top"/>
          </w:tcPr>
          <w:p>
            <w:r>
              <w:rPr>
                <w:b/>
                <w:bCs/>
                <w:i w:val="false"/>
                <w:iCs w:val="false"/>
              </w:rPr>
              <w:t xml:space="preserve">Disposition</w:t>
            </w:r>
          </w:p>
        </w:tc>
        <w:tc>
          <w:tcPr>
            <w:tcW w:type="dxa" w:w="7131"/>
            <w:tcMar>
              <w:top w:type="dxa" w:w="80"/>
              <w:left w:type="dxa" w:w="100"/>
              <w:bottom w:type="dxa" w:w="80"/>
              <w:right w:type="dxa" w:w="100"/>
            </w:tcMar>
            <w:vAlign w:val="top"/>
          </w:tcPr>
          <w:p>
            <w:r>
              <w:rPr>
                <w:b w:val="false"/>
                <w:bCs w:val="false"/>
                <w:i w:val="false"/>
                <w:iCs w:val="false"/>
              </w:rPr>
              <w:t xml:space="preserve">Screened out for the near term. The cloud-hosted path would introduce a second system, security review, identity model, and recurring license cost for a team whose stated objective is consolidation inside Flank Speed.</w:t>
            </w:r>
          </w:p>
        </w:tc>
      </w:tr>
    </w:tbl>
    <w:p>
      <w:pPr>
        <w:pStyle w:val="Heading3"/>
        <w:spacing w:after="90" w:before="200"/>
      </w:pPr>
      <w:r>
        <w:rPr>
          <w:b/>
          <w:bCs/>
        </w:rPr>
        <w:t xml:space="preserve">Self-hosted Jira Data Center on AWS —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Not viable as a new AEWTTR deployment. Self-hosting was considered because it could place Jira in a customer-controlled AWS/GovCloud boundary, rather than a vendor-hosted environment. Product lifecycle and operating responsibility make it an unattractive path.</w:t>
            </w:r>
          </w:p>
        </w:tc>
      </w:tr>
    </w:tbl>
    <w:p>
      <w:pPr>
        <w:pStyle w:val="ListParagraph"/>
        <w:numPr>
          <w:ilvl w:val="0"/>
          <w:numId w:val="1"/>
        </w:numPr>
        <w:spacing w:after="80"/>
      </w:pPr>
      <w:r>
        <w:t xml:space="preserve">Discontinued product path: new customers could no longer purchase new Jira Data Center subscriptions after March 30, 2026. Atlassian will end the impacted Data Center product line on March 28, 2029.</w:t>
      </w:r>
    </w:p>
    <w:p>
      <w:pPr>
        <w:pStyle w:val="ListParagraph"/>
        <w:numPr>
          <w:ilvl w:val="0"/>
          <w:numId w:val="1"/>
        </w:numPr>
        <w:spacing w:after="80"/>
      </w:pPr>
      <w:r>
        <w:t xml:space="preserve">Existing-customer exception does not change the decision: an existing Data Center customer may have a limited renewal or expansion path before later milestones, but that does not create a viable new AEWTTR deployment.</w:t>
      </w:r>
    </w:p>
    <w:p>
      <w:pPr>
        <w:pStyle w:val="ListParagraph"/>
        <w:numPr>
          <w:ilvl w:val="0"/>
          <w:numId w:val="1"/>
        </w:numPr>
        <w:spacing w:after="80"/>
      </w:pPr>
      <w:r>
        <w:t xml:space="preserve">Same ownership burden as a custom web app: on AWS infrastructure, the team remains responsible for securing, patching, configuring, monitoring, and operating the guest operating system, Jira application, and network controls.</w:t>
      </w:r>
    </w:p>
    <w:p>
      <w:pPr>
        <w:pStyle w:val="Heading3"/>
        <w:spacing w:after="90" w:before="200"/>
      </w:pPr>
      <w:r>
        <w:rPr>
          <w:b/>
          <w:bCs/>
        </w:rPr>
        <w:t xml:space="preserve">IL5 environment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00"/>
              <w:bottom w:type="dxa" w:w="80"/>
              <w:right w:type="dxa" w:w="100"/>
            </w:tcMar>
            <w:vAlign w:val="top"/>
          </w:tcPr>
          <w:p>
            <w:r>
              <w:rPr>
                <w:b w:val="false"/>
                <w:bCs w:val="false"/>
                <w:i/>
                <w:iCs/>
              </w:rPr>
              <w:t xml:space="preserve">IL5 describes the target cloud-environment authorization level, not a classification or handling marking for this document. If the proposed Jira workload were assessed to require DoD SRG Impact Level 5, it would need to run in an IL5-capable environment such as AWS GovCloud (US) and receive the appropriate system-level authorization. AWS GovCloud's IL5 provisional authorization is a hosting baseline; it does not itself authorize a new self-hosted Jira application or remove the team's operational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Schedule</w:t>
            </w:r>
          </w:p>
        </w:tc>
        <w:tc>
          <w:tcPr>
            <w:tcW w:type="dxa" w:w="7131"/>
            <w:tcMar>
              <w:top w:type="dxa" w:w="80"/>
              <w:left w:type="dxa" w:w="100"/>
              <w:bottom w:type="dxa" w:w="80"/>
              <w:right w:type="dxa" w:w="100"/>
            </w:tcMar>
            <w:vAlign w:val="top"/>
          </w:tcPr>
          <w:p>
            <w:r>
              <w:rPr>
                <w:b w:val="false"/>
                <w:bCs w:val="false"/>
                <w:i w:val="false"/>
                <w:iCs w:val="false"/>
              </w:rPr>
              <w:t xml:space="preserve">Neither the cloud-hosted nor self-hosted path is likely to close inside the eight-week internship timeline.</w:t>
            </w:r>
          </w:p>
        </w:tc>
      </w:tr>
      <w:tr>
        <w:tc>
          <w:tcPr>
            <w:tcW w:type="dxa" w:w="2229"/>
            <w:shd w:fill="F2F2F2" w:val="clear"/>
            <w:tcMar>
              <w:top w:type="dxa" w:w="80"/>
              <w:left w:type="dxa" w:w="100"/>
              <w:bottom w:type="dxa" w:w="80"/>
              <w:right w:type="dxa" w:w="100"/>
            </w:tcMar>
            <w:vAlign w:val="top"/>
          </w:tcPr>
          <w:p>
            <w:r>
              <w:rPr>
                <w:b/>
                <w:bCs/>
                <w:i w:val="false"/>
                <w:iCs w:val="false"/>
              </w:rPr>
              <w:t xml:space="preserve">Cost</w:t>
            </w:r>
          </w:p>
        </w:tc>
        <w:tc>
          <w:tcPr>
            <w:tcW w:type="dxa" w:w="7131"/>
            <w:tcMar>
              <w:top w:type="dxa" w:w="80"/>
              <w:left w:type="dxa" w:w="100"/>
              <w:bottom w:type="dxa" w:w="80"/>
              <w:right w:type="dxa" w:w="100"/>
            </w:tcMar>
            <w:vAlign w:val="top"/>
          </w:tcPr>
          <w:p>
            <w:r>
              <w:rPr>
                <w:b w:val="false"/>
                <w:bCs w:val="false"/>
                <w:i w:val="false"/>
                <w:iCs w:val="false"/>
              </w:rPr>
              <w:t xml:space="preserve">Cloud hosting requires new recurring licensing. Self-hosting would additionally require infrastructure and sustained operations.</w:t>
            </w:r>
          </w:p>
        </w:tc>
      </w:tr>
      <w:tr>
        <w:tc>
          <w:tcPr>
            <w:tcW w:type="dxa" w:w="2229"/>
            <w:shd w:fill="F2F2F2" w:val="clear"/>
            <w:tcMar>
              <w:top w:type="dxa" w:w="80"/>
              <w:left w:type="dxa" w:w="100"/>
              <w:bottom w:type="dxa" w:w="80"/>
              <w:right w:type="dxa" w:w="100"/>
            </w:tcMar>
            <w:vAlign w:val="top"/>
          </w:tcPr>
          <w:p>
            <w:r>
              <w:rPr>
                <w:b/>
                <w:bCs/>
                <w:i w:val="false"/>
                <w:iCs w:val="false"/>
              </w:rPr>
              <w:t xml:space="preserve">Decision</w:t>
            </w:r>
          </w:p>
        </w:tc>
        <w:tc>
          <w:tcPr>
            <w:tcW w:type="dxa" w:w="7131"/>
            <w:tcMar>
              <w:top w:type="dxa" w:w="80"/>
              <w:left w:type="dxa" w:w="100"/>
              <w:bottom w:type="dxa" w:w="80"/>
              <w:right w:type="dxa" w:w="100"/>
            </w:tcMar>
            <w:vAlign w:val="top"/>
          </w:tcPr>
          <w:p>
            <w:r>
              <w:rPr>
                <w:b w:val="false"/>
                <w:bCs w:val="false"/>
                <w:i w:val="false"/>
                <w:iCs w:val="false"/>
              </w:rPr>
              <w:t xml:space="preserve">Retain Jira as an existing contractor ticketing integration point; do not adopt Atlassian Government Cloud or self-hosted Jira Data Center as the dashboard platform.</w:t>
            </w:r>
          </w:p>
        </w:tc>
      </w:tr>
    </w:tbl>
    <w:p>
      <w:pPr>
        <w:spacing w:after="120"/>
      </w:pPr>
    </w:p>
    <w:p>
      <w:pPr>
        <w:pStyle w:val="Heading2"/>
        <w:spacing w:after="120" w:before="260"/>
      </w:pPr>
      <w:r>
        <w:rPr>
          <w:b/>
          <w:bCs/>
        </w:rPr>
        <w:t xml:space="preserve">Alternative 5 — Custom Web Application (External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A custom-built web application developed outside the Microsoft 365 / Flank Speed environment, using a framework such as Python/Django, React, or similar technology, hosted on infrastructure such as Azure Government (DoD regions) or AWS GovCloud.</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A developer builds and hosts a custom web application with its own database, user interface, and API integrations. Even on solid commercial government-cloud infrastructure (e.g., AWS GovCloud or Azure Government), the application deployed on top of it is a distinct system that requires its own independent security review before it can be trusted with program data — infrastructure-level security credentials do not transfer automatically to an application built on that infrastructure.</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Maximum flexibility. No dependency on Microsoft 365 feature availability. Can be designed precisely to requirements.</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Requires an approved hosting environment (not standard NMCI) and a separate, independent security review process, on top of infrastructure that may already be redundant with what Flank Speed provides at no additional cost (Section 5). Requires a dedicated developer with appropriate access and clearance to operate the system. DREN account access was described as uncertain within the internship timeline. Higher long-term maintenance cost. No partial work exists to build on.</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Very high. Not feasible within the internship timeline.</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Cannot realistically be implemented within the internship. Security review and hosting-approval processes alone could exceed the remaining internship duration.</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Highest of all options. Requires hosting infrastructure, ongoing developer support, and a new security review — largely duplicating what Flank Speed's existing, already-approved environment already covers.</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Depends entirely on implementation. Starting from scratch introduces significant security review requirements even when the underlying cloud region is itself a solid, well-secured commercial environment.</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Highest of all options. Requires a dedicated developer to maintain, patch, and update.</w:t>
            </w:r>
          </w:p>
        </w:tc>
      </w:tr>
      <w:tr>
        <w:tc>
          <w:tcPr>
            <w:tcW w:type="dxa" w:w="2229"/>
            <w:shd w:fill="F2F2F2" w:val="clear"/>
            <w:tcMar>
              <w:top w:type="dxa" w:w="80"/>
              <w:left w:type="dxa" w:w="100"/>
              <w:bottom w:type="dxa" w:w="80"/>
              <w:right w:type="dxa" w:w="100"/>
            </w:tcMar>
            <w:vAlign w:val="top"/>
          </w:tcPr>
          <w:p>
            <w:r>
              <w:rPr>
                <w:b/>
                <w:bCs/>
                <w:i w:val="false"/>
                <w:iCs w:val="false"/>
              </w:rPr>
              <w:t xml:space="preserve">Key risks</w:t>
            </w:r>
          </w:p>
        </w:tc>
        <w:tc>
          <w:tcPr>
            <w:tcW w:type="dxa" w:w="7131"/>
            <w:tcMar>
              <w:top w:type="dxa" w:w="80"/>
              <w:left w:type="dxa" w:w="100"/>
              <w:bottom w:type="dxa" w:w="80"/>
              <w:right w:type="dxa" w:w="100"/>
            </w:tcMar>
            <w:vAlign w:val="top"/>
          </w:tcPr>
          <w:p>
            <w:r>
              <w:rPr>
                <w:b w:val="false"/>
                <w:bCs w:val="false"/>
                <w:i w:val="false"/>
                <w:iCs w:val="false"/>
              </w:rPr>
              <w:t xml:space="preserve">All risks of the other alternatives, plus: hosting approval, an independent security review, and the absence of any existing internal capability to maintain a custom app — for a capability Flank Speed already provides.</w:t>
            </w:r>
          </w:p>
        </w:tc>
      </w:tr>
    </w:tbl>
    <w:p>
      <w:pPr>
        <w:spacing w:after="120"/>
      </w:pPr>
    </w:p>
    <w:p>
      <w:pPr>
        <w:pStyle w:val="Heading2"/>
        <w:spacing w:after="120" w:before="260"/>
      </w:pPr>
      <w:r>
        <w:rPr>
          <w:b/>
          <w:bCs/>
        </w:rPr>
        <w:t xml:space="preserve">Alternative 6 — ServiceNow National Security Cloud (External SaaS Platform)</w:t>
      </w:r>
    </w:p>
    <w:p>
      <w:pPr>
        <w:spacing w:after="160"/>
      </w:pPr>
      <w:r>
        <w:t xml:space="preserve">Added in this revision as the strongest available representative of the external-SaaS category, following research into the broader external platform landscape (Section 5). Product and licensing status verified via public ServiceNow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ServiceNow National Security Cloud (NSC) is a government-focused SaaS/PaaS offering, hosted on Microsoft Azure Government, built for defense and national-security customers. Its Strategic Portfolio Management (SPM) capability covers portfolio and project tracking, per-project detail views, workflows, dashboards, and reporting — a direct functional match for this need. Its IT Service Management (ITSM) capability provides enterprise ticketing, which is directly relevant given that the team's contractors currently work out of a Jira ticketing system.</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The organization would license NSC through a government procurement vehicle, identify a sponsor willing to approve standing up this environment for this use, and configure SPM (and optionally ITSM) modules to the team's portfolio structure. Data entry, dashboards, ticketing, and reporting would all live inside the NSC environment, outside the Flank Speed tenant.</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A mature, government-focused platform — the strongest external option evaluated for this need. Purpose-built for exactly this problem: portfolio management, per-project views, and executive reporting are core product, not custom builds. Built-in enterprise ticketing could eventually absorb or replace the contractor Jira workflow, unifying ticketing with the portfolio view. Commercially supported with regular updates; no in-house development or sustainment skill required. Mature role-based access control out of the box.</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Quote-based enterprise licensing with no identified AEWTTR budget line; ServiceNow pricing is opaque and generally sized for enterprise-scale deployments, making it disproportionate for an IPT of roughly fifteen people. Procurement through a government reseller adds lead time. Use by a specific team still requires a sponsor and an approval decision for the deployment. Introduces a second, separately-governed data environment outside Flank Speed, duplicating identity, access, and data governance overhead. Data would live outside the SharePoint environment where every other team data source already resides, working against the consolidation goal that motivates this effort.</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Low-to-moderate configuration effort once licensed — but the licensing and approval steps dominate the timeline, not the configuration.</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Cannot realistically be adopted within the internship. The procurement cycle and sponsorship process alone would very likely exceed the remaining internship duration, before any configuration begins.</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High. New recurring enterprise licensing, procurement costs, and ongoing contract management — for capability the team can build inside Flank Speed at zero marginal platform cost.</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Strong — mature RBAC and commercial security operations. The case against it is not weakness but redundancy: it duplicates an environment the team already has.</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Low if adopted — commercially supported SaaS shifts the burden from technical maintenance to license and contract management, which itself requires an owner and a budget line indefinitely.</w:t>
            </w:r>
          </w:p>
        </w:tc>
      </w:tr>
      <w:tr>
        <w:tc>
          <w:tcPr>
            <w:tcW w:type="dxa" w:w="2229"/>
            <w:shd w:fill="F2F2F2" w:val="clear"/>
            <w:tcMar>
              <w:top w:type="dxa" w:w="80"/>
              <w:left w:type="dxa" w:w="100"/>
              <w:bottom w:type="dxa" w:w="80"/>
              <w:right w:type="dxa" w:w="100"/>
            </w:tcMar>
            <w:vAlign w:val="top"/>
          </w:tcPr>
          <w:p>
            <w:r>
              <w:rPr>
                <w:b/>
                <w:bCs/>
                <w:i w:val="false"/>
                <w:iCs w:val="false"/>
              </w:rPr>
              <w:t xml:space="preserve">Key risks</w:t>
            </w:r>
          </w:p>
        </w:tc>
        <w:tc>
          <w:tcPr>
            <w:tcW w:type="dxa" w:w="7131"/>
            <w:tcMar>
              <w:top w:type="dxa" w:w="80"/>
              <w:left w:type="dxa" w:w="100"/>
              <w:bottom w:type="dxa" w:w="80"/>
              <w:right w:type="dxa" w:w="100"/>
            </w:tcMar>
            <w:vAlign w:val="top"/>
          </w:tcPr>
          <w:p>
            <w:r>
              <w:rPr>
                <w:b w:val="false"/>
                <w:bCs w:val="false"/>
                <w:i w:val="false"/>
                <w:iCs w:val="false"/>
              </w:rPr>
              <w:t xml:space="preserve">Recurring licensing cost outlives any single budget cycle and requires permanent contract ownership. Vendor lock-in for portfolio data. Organizational appetite for a second governed environment is unproven. If licensing lapses, the team loses its system of record — a risk the in-Flank-Speed alternatives do not carry.</w:t>
            </w:r>
          </w:p>
        </w:tc>
      </w:tr>
    </w:tbl>
    <w:p>
      <w:pPr>
        <w:spacing w:after="120"/>
      </w:pPr>
    </w:p>
    <w:p>
      <w:pPr>
        <w:pStyle w:val="Heading2"/>
        <w:spacing w:after="120" w:before="260"/>
      </w:pPr>
      <w:r>
        <w:rPr>
          <w:b/>
          <w:bCs/>
        </w:rPr>
        <w:t xml:space="preserve">Alternative 7 — Salesforce Government Cloud Plus (External SaaS Platform)</w:t>
      </w:r>
    </w:p>
    <w:p>
      <w:pPr>
        <w:spacing w:after="160"/>
      </w:pPr>
      <w:r>
        <w:t xml:space="preserve">Added in this revision (v2.3) as a second non-Microsoft reference point, so the external-SaaS category is not judged against a single vendor. Product and licensing status verified via public Salesforce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c>
          <w:tcPr>
            <w:tcW w:type="dxa" w:w="2229"/>
            <w:shd w:fill="F2F2F2" w:val="clear"/>
            <w:tcMar>
              <w:top w:type="dxa" w:w="80"/>
              <w:left w:type="dxa" w:w="100"/>
              <w:bottom w:type="dxa" w:w="80"/>
              <w:right w:type="dxa" w:w="100"/>
            </w:tcMar>
            <w:vAlign w:val="top"/>
          </w:tcPr>
          <w:p>
            <w:r>
              <w:rPr>
                <w:b/>
                <w:bCs/>
                <w:i w:val="false"/>
                <w:iCs w:val="false"/>
              </w:rPr>
              <w:t xml:space="preserve">Description</w:t>
            </w:r>
          </w:p>
        </w:tc>
        <w:tc>
          <w:tcPr>
            <w:tcW w:type="dxa" w:w="7131"/>
            <w:tcMar>
              <w:top w:type="dxa" w:w="80"/>
              <w:left w:type="dxa" w:w="100"/>
              <w:bottom w:type="dxa" w:w="80"/>
              <w:right w:type="dxa" w:w="100"/>
            </w:tcMar>
            <w:vAlign w:val="top"/>
          </w:tcPr>
          <w:p>
            <w:r>
              <w:rPr>
                <w:b w:val="false"/>
                <w:bCs w:val="false"/>
                <w:i w:val="false"/>
                <w:iCs w:val="false"/>
              </w:rPr>
              <w:t xml:space="preserve">Salesforce Government Cloud Plus is Salesforce's U.S. government cloud offering, built on the core Salesforce CRM platform. It is evaluated here as a second non-Microsoft reference point, alongside Alternative 6, so the external-SaaS category is judged against more than one vendor. Its native strength is customer/case relationship management; project or portfolio tracking would be built on top of that CRM data model via custom objects and configuration, not delivered as a purpose-built feature the way ServiceNow's SPM module is.</w:t>
            </w:r>
          </w:p>
        </w:tc>
      </w:tr>
      <w:tr>
        <w:tc>
          <w:tcPr>
            <w:tcW w:type="dxa" w:w="2229"/>
            <w:shd w:fill="F2F2F2" w:val="clear"/>
            <w:tcMar>
              <w:top w:type="dxa" w:w="80"/>
              <w:left w:type="dxa" w:w="100"/>
              <w:bottom w:type="dxa" w:w="80"/>
              <w:right w:type="dxa" w:w="100"/>
            </w:tcMar>
            <w:vAlign w:val="top"/>
          </w:tcPr>
          <w:p>
            <w:r>
              <w:rPr>
                <w:b/>
                <w:bCs/>
                <w:i w:val="false"/>
                <w:iCs w:val="false"/>
              </w:rPr>
              <w:t xml:space="preserve">How it would work</w:t>
            </w:r>
          </w:p>
        </w:tc>
        <w:tc>
          <w:tcPr>
            <w:tcW w:type="dxa" w:w="7131"/>
            <w:tcMar>
              <w:top w:type="dxa" w:w="80"/>
              <w:left w:type="dxa" w:w="100"/>
              <w:bottom w:type="dxa" w:w="80"/>
              <w:right w:type="dxa" w:w="100"/>
            </w:tcMar>
            <w:vAlign w:val="top"/>
          </w:tcPr>
          <w:p>
            <w:r>
              <w:rPr>
                <w:b w:val="false"/>
                <w:bCs w:val="false"/>
                <w:i w:val="false"/>
                <w:iCs w:val="false"/>
              </w:rPr>
              <w:t xml:space="preserve">The organization would license Salesforce Government Cloud Plus through a government reseller, then a developer or administrator would build custom objects, fields, and layouts to represent projects, milestones, and status, and configure Salesforce's native dashboard and reporting tools (e.g., Salesforce Analytics) to visualize them. This is meaningfully more configuration and custom-object design work than standing up ServiceNow's Strategic Portfolio Management module, which already models projects and portfolios natively.</w:t>
            </w:r>
          </w:p>
        </w:tc>
      </w:tr>
      <w:tr>
        <w:tc>
          <w:tcPr>
            <w:tcW w:type="dxa" w:w="2229"/>
            <w:shd w:fill="F2F2F2" w:val="clear"/>
            <w:tcMar>
              <w:top w:type="dxa" w:w="80"/>
              <w:left w:type="dxa" w:w="100"/>
              <w:bottom w:type="dxa" w:w="80"/>
              <w:right w:type="dxa" w:w="100"/>
            </w:tcMar>
            <w:vAlign w:val="top"/>
          </w:tcPr>
          <w:p>
            <w:r>
              <w:rPr>
                <w:b/>
                <w:bCs/>
                <w:i w:val="false"/>
                <w:iCs w:val="false"/>
              </w:rPr>
              <w:t xml:space="preserve">Advantages</w:t>
            </w:r>
          </w:p>
        </w:tc>
        <w:tc>
          <w:tcPr>
            <w:tcW w:type="dxa" w:w="7131"/>
            <w:tcMar>
              <w:top w:type="dxa" w:w="80"/>
              <w:left w:type="dxa" w:w="100"/>
              <w:bottom w:type="dxa" w:w="80"/>
              <w:right w:type="dxa" w:w="100"/>
            </w:tcMar>
            <w:vAlign w:val="top"/>
          </w:tcPr>
          <w:p>
            <w:r>
              <w:rPr>
                <w:b w:val="false"/>
                <w:bCs w:val="false"/>
                <w:i w:val="false"/>
                <w:iCs w:val="false"/>
              </w:rPr>
              <w:t xml:space="preserve">Mature enterprise security, CAC/PIV-compatible authentication options, and role-based access control out of the box, all commercially supported. Strong native reporting and dashboard tooling once data is modeled. A very large commercial administrator and developer talent pool exists for Salesforce generally, more so than for a niche internal tool, though this does not offset the platform-fit problem below.</w:t>
            </w:r>
          </w:p>
        </w:tc>
      </w:tr>
      <w:tr>
        <w:tc>
          <w:tcPr>
            <w:tcW w:type="dxa" w:w="2229"/>
            <w:shd w:fill="F2F2F2" w:val="clear"/>
            <w:tcMar>
              <w:top w:type="dxa" w:w="80"/>
              <w:left w:type="dxa" w:w="100"/>
              <w:bottom w:type="dxa" w:w="80"/>
              <w:right w:type="dxa" w:w="100"/>
            </w:tcMar>
            <w:vAlign w:val="top"/>
          </w:tcPr>
          <w:p>
            <w:r>
              <w:rPr>
                <w:b/>
                <w:bCs/>
                <w:i w:val="false"/>
                <w:iCs w:val="false"/>
              </w:rPr>
              <w:t xml:space="preserve">Disadvantages</w:t>
            </w:r>
          </w:p>
        </w:tc>
        <w:tc>
          <w:tcPr>
            <w:tcW w:type="dxa" w:w="7131"/>
            <w:tcMar>
              <w:top w:type="dxa" w:w="80"/>
              <w:left w:type="dxa" w:w="100"/>
              <w:bottom w:type="dxa" w:w="80"/>
              <w:right w:type="dxa" w:w="100"/>
            </w:tcMar>
            <w:vAlign w:val="top"/>
          </w:tcPr>
          <w:p>
            <w:r>
              <w:rPr>
                <w:b w:val="false"/>
                <w:bCs w:val="false"/>
                <w:i w:val="false"/>
                <w:iCs w:val="false"/>
              </w:rPr>
              <w:t xml:space="preserve">Fundamentally a CRM platform, not a project or portfolio management tool — unlike ServiceNow NSC, there is no purpose-built portfolio module; the team would be paying to configure project tracking on top of a data model designed for customer and case records. Premium licensing tiers sit above the Government Cloud Plus base cost for the reporting and customization capability this use case would need. Introduces the same second, separately-governed environment problem as Alternative 6, outside Flank Speed.</w:t>
            </w:r>
          </w:p>
        </w:tc>
      </w:tr>
      <w:tr>
        <w:tc>
          <w:tcPr>
            <w:tcW w:type="dxa" w:w="2229"/>
            <w:shd w:fill="F2F2F2" w:val="clear"/>
            <w:tcMar>
              <w:top w:type="dxa" w:w="80"/>
              <w:left w:type="dxa" w:w="100"/>
              <w:bottom w:type="dxa" w:w="80"/>
              <w:right w:type="dxa" w:w="100"/>
            </w:tcMar>
            <w:vAlign w:val="top"/>
          </w:tcPr>
          <w:p>
            <w:r>
              <w:rPr>
                <w:b/>
                <w:bCs/>
                <w:i w:val="false"/>
                <w:iCs w:val="false"/>
              </w:rPr>
              <w:t xml:space="preserve">Implementation complexity</w:t>
            </w:r>
          </w:p>
        </w:tc>
        <w:tc>
          <w:tcPr>
            <w:tcW w:type="dxa" w:w="7131"/>
            <w:tcMar>
              <w:top w:type="dxa" w:w="80"/>
              <w:left w:type="dxa" w:w="100"/>
              <w:bottom w:type="dxa" w:w="80"/>
              <w:right w:type="dxa" w:w="100"/>
            </w:tcMar>
            <w:vAlign w:val="top"/>
          </w:tcPr>
          <w:p>
            <w:r>
              <w:rPr>
                <w:b w:val="false"/>
                <w:bCs w:val="false"/>
                <w:i w:val="false"/>
                <w:iCs w:val="false"/>
              </w:rPr>
              <w:t xml:space="preserve">Moderate to high — beyond licensing and setup steps, this alternative uniquely requires custom object and data-model design before any dashboard or workflow can be configured, since project tracking is not a native Salesforce concept the way it is in ServiceNow SPM.</w:t>
            </w:r>
          </w:p>
        </w:tc>
      </w:tr>
      <w:tr>
        <w:tc>
          <w:tcPr>
            <w:tcW w:type="dxa" w:w="2229"/>
            <w:shd w:fill="F2F2F2" w:val="clear"/>
            <w:tcMar>
              <w:top w:type="dxa" w:w="80"/>
              <w:left w:type="dxa" w:w="100"/>
              <w:bottom w:type="dxa" w:w="80"/>
              <w:right w:type="dxa" w:w="100"/>
            </w:tcMar>
            <w:vAlign w:val="top"/>
          </w:tcPr>
          <w:p>
            <w:r>
              <w:rPr>
                <w:b/>
                <w:bCs/>
                <w:i w:val="false"/>
                <w:iCs w:val="false"/>
              </w:rPr>
              <w:t xml:space="preserve">Schedule impact</w:t>
            </w:r>
          </w:p>
        </w:tc>
        <w:tc>
          <w:tcPr>
            <w:tcW w:type="dxa" w:w="7131"/>
            <w:tcMar>
              <w:top w:type="dxa" w:w="80"/>
              <w:left w:type="dxa" w:w="100"/>
              <w:bottom w:type="dxa" w:w="80"/>
              <w:right w:type="dxa" w:w="100"/>
            </w:tcMar>
            <w:vAlign w:val="top"/>
          </w:tcPr>
          <w:p>
            <w:r>
              <w:rPr>
                <w:b w:val="false"/>
                <w:bCs w:val="false"/>
                <w:i w:val="false"/>
                <w:iCs w:val="false"/>
              </w:rPr>
              <w:t xml:space="preserve">Cannot realistically be adopted within the internship. Procurement and sponsorship alone would likely exceed the remaining internship duration, before the additional custom-object configuration work even begins.</w:t>
            </w:r>
          </w:p>
        </w:tc>
      </w:tr>
      <w:tr>
        <w:tc>
          <w:tcPr>
            <w:tcW w:type="dxa" w:w="2229"/>
            <w:shd w:fill="F2F2F2" w:val="clear"/>
            <w:tcMar>
              <w:top w:type="dxa" w:w="80"/>
              <w:left w:type="dxa" w:w="100"/>
              <w:bottom w:type="dxa" w:w="80"/>
              <w:right w:type="dxa" w:w="100"/>
            </w:tcMar>
            <w:vAlign w:val="top"/>
          </w:tcPr>
          <w:p>
            <w:r>
              <w:rPr>
                <w:b/>
                <w:bCs/>
                <w:i w:val="false"/>
                <w:iCs w:val="false"/>
              </w:rPr>
              <w:t xml:space="preserve">Cost / licensing</w:t>
            </w:r>
          </w:p>
        </w:tc>
        <w:tc>
          <w:tcPr>
            <w:tcW w:type="dxa" w:w="7131"/>
            <w:tcMar>
              <w:top w:type="dxa" w:w="80"/>
              <w:left w:type="dxa" w:w="100"/>
              <w:bottom w:type="dxa" w:w="80"/>
              <w:right w:type="dxa" w:w="100"/>
            </w:tcMar>
            <w:vAlign w:val="top"/>
          </w:tcPr>
          <w:p>
            <w:r>
              <w:rPr>
                <w:b w:val="false"/>
                <w:bCs w:val="false"/>
                <w:i w:val="false"/>
                <w:iCs w:val="false"/>
              </w:rPr>
              <w:t xml:space="preserve">High. New recurring licensing above the Government Cloud Plus base tier for the customization and reporting capability needed, plus procurement and ongoing contract management — for capability the team can build inside Flank Speed at zero marginal platform cost.</w:t>
            </w:r>
          </w:p>
        </w:tc>
      </w:tr>
      <w:tr>
        <w:tc>
          <w:tcPr>
            <w:tcW w:type="dxa" w:w="2229"/>
            <w:shd w:fill="F2F2F2" w:val="clear"/>
            <w:tcMar>
              <w:top w:type="dxa" w:w="80"/>
              <w:left w:type="dxa" w:w="100"/>
              <w:bottom w:type="dxa" w:w="80"/>
              <w:right w:type="dxa" w:w="100"/>
            </w:tcMar>
            <w:vAlign w:val="top"/>
          </w:tcPr>
          <w:p>
            <w:r>
              <w:rPr>
                <w:b/>
                <w:bCs/>
                <w:i w:val="false"/>
                <w:iCs w:val="false"/>
              </w:rPr>
              <w:t xml:space="preserve">Security / access</w:t>
            </w:r>
          </w:p>
        </w:tc>
        <w:tc>
          <w:tcPr>
            <w:tcW w:type="dxa" w:w="7131"/>
            <w:tcMar>
              <w:top w:type="dxa" w:w="80"/>
              <w:left w:type="dxa" w:w="100"/>
              <w:bottom w:type="dxa" w:w="80"/>
              <w:right w:type="dxa" w:w="100"/>
            </w:tcMar>
            <w:vAlign w:val="top"/>
          </w:tcPr>
          <w:p>
            <w:r>
              <w:rPr>
                <w:b w:val="false"/>
                <w:bCs w:val="false"/>
                <w:i w:val="false"/>
                <w:iCs w:val="false"/>
              </w:rPr>
              <w:t xml:space="preserve">Strong — mature commercial RBAC and security operations. As with Alternative 6, the case against it is redundancy, not weakness: it duplicates an environment the team already has.</w:t>
            </w:r>
          </w:p>
        </w:tc>
      </w:tr>
      <w:tr>
        <w:tc>
          <w:tcPr>
            <w:tcW w:type="dxa" w:w="2229"/>
            <w:shd w:fill="F2F2F2" w:val="clear"/>
            <w:tcMar>
              <w:top w:type="dxa" w:w="80"/>
              <w:left w:type="dxa" w:w="100"/>
              <w:bottom w:type="dxa" w:w="80"/>
              <w:right w:type="dxa" w:w="100"/>
            </w:tcMar>
            <w:vAlign w:val="top"/>
          </w:tcPr>
          <w:p>
            <w:r>
              <w:rPr>
                <w:b/>
                <w:bCs/>
                <w:i w:val="false"/>
                <w:iCs w:val="false"/>
              </w:rPr>
              <w:t xml:space="preserve">Sustainment burden</w:t>
            </w:r>
          </w:p>
        </w:tc>
        <w:tc>
          <w:tcPr>
            <w:tcW w:type="dxa" w:w="7131"/>
            <w:tcMar>
              <w:top w:type="dxa" w:w="80"/>
              <w:left w:type="dxa" w:w="100"/>
              <w:bottom w:type="dxa" w:w="80"/>
              <w:right w:type="dxa" w:w="100"/>
            </w:tcMar>
            <w:vAlign w:val="top"/>
          </w:tcPr>
          <w:p>
            <w:r>
              <w:rPr>
                <w:b w:val="false"/>
                <w:bCs w:val="false"/>
                <w:i w:val="false"/>
                <w:iCs w:val="false"/>
              </w:rPr>
              <w:t xml:space="preserve">Moderate if adopted — commercially supported SaaS, but the custom project/portfolio data model built on top of the CRM would need an owner with Salesforce administration skill, in addition to the license and contract management burden Alternative 6 also carries.</w:t>
            </w:r>
          </w:p>
        </w:tc>
      </w:tr>
    </w:tbl>
    <w:p>
      <w:r>
        <w:br w:type="page"/>
      </w:r>
    </w:p>
    <w:p>
      <w:pPr>
        <w:pStyle w:val="Heading1"/>
        <w:spacing w:after="160" w:before="360"/>
      </w:pPr>
      <w:r>
        <w:rPr>
          <w:b/>
          <w:bCs/>
        </w:rPr>
        <w:t xml:space="preserve">Sources and Research Basis</w:t>
      </w:r>
    </w:p>
    <w:p>
      <w:pPr>
        <w:spacing w:after="160"/>
      </w:pPr>
      <w:r>
        <w:t xml:space="preserve">This Analysis of Alternatives combines internal operational discovery with public product research. Internal findings were gathered from AEWTTR IPT working sessions, stakeholder discussions, observed team processes, available project artifacts, and the technical review of the Firepit/Forge materials described in Appendix A. They are organization-specific planning inputs, not public sources; items still requiring independent confirmation remain labeled [Confirm] in the report.</w:t>
      </w:r>
    </w:p>
    <w:p>
      <w:pPr>
        <w:pStyle w:val="Heading2"/>
        <w:spacing w:after="120" w:before="260"/>
      </w:pPr>
      <w:r>
        <w:rPr>
          <w:b/>
          <w:bCs/>
        </w:rPr>
        <w:t xml:space="preserve">Public sources used to validate the Jira/AWS assessment</w:t>
      </w:r>
    </w:p>
    <w:p>
      <w:pPr>
        <w:spacing w:after="120"/>
      </w:pPr>
      <w:r>
        <w:rPr>
          <w:b/>
          <w:bCs/>
        </w:rPr>
        <w:t xml:space="preserve">Atlassian — Data Center End of Life. </w:t>
      </w:r>
      <w:r>
        <w:t xml:space="preserve">Primary product-lifecycle source. It states that new customers could no longer purchase new Data Center subscriptions after March 30, 2026, and that the impacted Data Center products reach end of life on March 28, 2029. Accessed July 22, 2026. </w:t>
      </w:r>
      <w:hyperlink w:history="1" r:id="rId_nmgyzgykz62o8l9qxwlm">
        <w:r>
          <w:rPr>
            <w:color w:val="0563C1"/>
            <w:u w:val="single"/>
          </w:rPr>
          <w:t xml:space="preserve">Open official source</w:t>
        </w:r>
      </w:hyperlink>
    </w:p>
    <w:p>
      <w:pPr>
        <w:spacing w:after="120"/>
      </w:pPr>
      <w:r>
        <w:rPr>
          <w:b/>
          <w:bCs/>
        </w:rPr>
        <w:t xml:space="preserve">Atlassian — Data Center Security Checklist: Shared Responsibility. </w:t>
      </w:r>
      <w:r>
        <w:t xml:space="preserve">Vendor security guidance for self-managed Data Center deployments; used to distinguish Atlassian's product responsibilities from the customer's responsibility for the self-managed environment. Accessed July 22, 2026. </w:t>
      </w:r>
      <w:hyperlink w:history="1" r:id="rId5tppjnvexlsbqysj8s7bw">
        <w:r>
          <w:rPr>
            <w:color w:val="0563C1"/>
            <w:u w:val="single"/>
          </w:rPr>
          <w:t xml:space="preserve">Open official source</w:t>
        </w:r>
      </w:hyperlink>
    </w:p>
    <w:p>
      <w:pPr>
        <w:spacing w:after="120"/>
      </w:pPr>
      <w:r>
        <w:rPr>
          <w:b/>
          <w:bCs/>
        </w:rPr>
        <w:t xml:space="preserve">Amazon Web Services — Shared Responsibility Model. </w:t>
      </w:r>
      <w:r>
        <w:t xml:space="preserve">Primary AWS guidance. For EC2-style self-hosting, it assigns the customer responsibility for the guest OS, updates and security patches, application software, and security-group configuration. Accessed July 22, 2026. </w:t>
      </w:r>
      <w:hyperlink w:history="1" r:id="rId67xlsntrdsqp5avffp136">
        <w:r>
          <w:rPr>
            <w:color w:val="0563C1"/>
            <w:u w:val="single"/>
          </w:rPr>
          <w:t xml:space="preserve">Open official source</w:t>
        </w:r>
      </w:hyperlink>
    </w:p>
    <w:p>
      <w:pPr>
        <w:spacing w:after="120"/>
      </w:pPr>
      <w:r>
        <w:rPr>
          <w:b/>
          <w:bCs/>
        </w:rPr>
        <w:t xml:space="preserve">Amazon Web Services — AWS GovCloud (US) Compliance. </w:t>
      </w:r>
      <w:r>
        <w:t xml:space="preserve">AWS documentation identifying AWS GovCloud (US) as capable of supporting DoD Cloud Computing SRG Impact Levels 2, 4, and 5. Used to distinguish an IL5-capable hosting baseline from system-level authorization for an individual workload. Accessed July 22, 2026. </w:t>
      </w:r>
      <w:hyperlink w:history="1" r:id="rId2pqvob2bvacwyt-qr4svo">
        <w:r>
          <w:rPr>
            <w:color w:val="0563C1"/>
            <w:u w:val="single"/>
          </w:rPr>
          <w:t xml:space="preserve">Open official source</w:t>
        </w:r>
      </w:hyperlink>
    </w:p>
    <w:p>
      <w:pPr>
        <w:spacing w:after="160"/>
      </w:pPr>
      <w:r>
        <w:t xml:space="preserve">Scope note: these public sources validate the lifecycle and operational-responsibility conclusions for the self-hosted Jira-on-AWS option. They do not replace the AEWTTR-specific facts, constraints, and leadership inputs documented elsewhere in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AEWTTR Team Project Dashboard — AoA v2.8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nmgyzgykz62o8l9qxwlm" Type="http://schemas.openxmlformats.org/officeDocument/2006/relationships/hyperlink" Target="https://www.atlassian.com/licensing/data-center-end-of-life" TargetMode="External"/><Relationship Id="rId5tppjnvexlsbqysj8s7bw" Type="http://schemas.openxmlformats.org/officeDocument/2006/relationships/hyperlink" Target="https://confluence.atlassian.com/security/files/1388158655/1520370073/1/1740341834778/Data-Center-Security-Checklist-Shared%2BResponsibility.pdf" TargetMode="External"/><Relationship Id="rId67xlsntrdsqp5avffp136" Type="http://schemas.openxmlformats.org/officeDocument/2006/relationships/hyperlink" Target="https://aws.amazon.com/compliance/shared-responsibility-model/" TargetMode="External"/><Relationship Id="rId2pqvob2bvacwyt-qr4svo" Type="http://schemas.openxmlformats.org/officeDocument/2006/relationships/hyperlink" Target="https://docs.aws.amazon.com/govcloud-us/latest/UserGuide/govcloud-compliance.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2026-07-22T17:20:17.611Z</dcterms:created>
  <dcterms:modified xsi:type="dcterms:W3CDTF">2026-07-22T17:20:17.615Z</dcterms:modified>
</cp:coreProperties>
</file>

<file path=docProps/custom.xml><?xml version="1.0" encoding="utf-8"?>
<Properties xmlns="http://schemas.openxmlformats.org/officeDocument/2006/custom-properties" xmlns:vt="http://schemas.openxmlformats.org/officeDocument/2006/docPropsVTypes"/>
</file>