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 Display" w:hAnsi="Aptos Display"/>
          <w:b/>
          <w:color w:val="002040"/>
          <w:sz w:val="50"/>
        </w:rPr>
        <w:t>AEWTTR PULSE Workspace</w:t>
      </w:r>
    </w:p>
    <w:p>
      <w:pPr>
        <w:spacing w:after="280"/>
      </w:pPr>
      <w:r>
        <w:rPr>
          <w:color w:val="5B6573"/>
          <w:sz w:val="20"/>
        </w:rPr>
        <w:t>Project map and working guide  |  Updated July 21, 2026</w:t>
      </w:r>
    </w:p>
    <w:p>
      <w:pPr>
        <w:pStyle w:val="Heading1"/>
      </w:pPr>
      <w:r>
        <w:t>Purpose</w:t>
      </w:r>
    </w:p>
    <w:p>
      <w:pPr>
        <w:spacing w:after="120"/>
      </w:pPr>
      <w:r>
        <w:t>PULSE is the primary working tool in this workspace. The surrounding applications, generated artifacts, and reference material support that tool: a compact travel-calendar companion and a production-oriented SharePoint Framework (SPFx) implementation. This guide is a navigation map—not a replacement for the detailed product, technical, and implementation documentation already in the project.</w:t>
      </w:r>
    </w:p>
    <w:p>
      <w:pPr>
        <w:pStyle w:val="Heading1"/>
      </w:pPr>
      <w:r>
        <w:t>At a glance</w:t>
      </w:r>
    </w:p>
    <w:p>
      <w:pPr>
        <w:pStyle w:val="ListBullet"/>
        <w:spacing w:after="80"/>
      </w:pPr>
      <w:r>
        <w:t>Primary working tool: apps/PULSE/ (plain HTML, CSS, and JavaScript application). Start with its README.md for developer handoff.</w:t>
      </w:r>
    </w:p>
    <w:p>
      <w:pPr>
        <w:pStyle w:val="ListBullet"/>
        <w:spacing w:after="80"/>
      </w:pPr>
      <w:r>
        <w:t>Primary production implementation: apps/spfx-pulse-workspace/ (React, TypeScript, Fluent UI, and PnPjs).</w:t>
      </w:r>
    </w:p>
    <w:p>
      <w:pPr>
        <w:pStyle w:val="ListBullet"/>
        <w:spacing w:after="80"/>
      </w:pPr>
      <w:r>
        <w:t>Companion application: apps/PULSE-TRAVEL-CALENDAR/ (standalone SharePoint-ready calendar).</w:t>
      </w:r>
    </w:p>
    <w:p>
      <w:pPr>
        <w:pStyle w:val="ListBullet"/>
        <w:spacing w:after="80"/>
      </w:pPr>
      <w:r>
        <w:t>Generated deliverables belong in artifacts/generated/; preserved historical material belongs in archive/.</w:t>
      </w:r>
    </w:p>
    <w:p>
      <w:pPr>
        <w:pStyle w:val="Heading1"/>
      </w:pPr>
      <w:r>
        <w:t>Top-level folder map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</w:tblPr>
      <w:tblGrid>
        <w:gridCol w:w="2050"/>
        <w:gridCol w:w="1900"/>
        <w:gridCol w:w="5050"/>
      </w:tblGrid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b/>
                <w:color w:val="002040"/>
              </w:rPr>
              <w:t>Location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b/>
                <w:color w:val="002040"/>
              </w:rPr>
              <w:t>Role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b/>
                <w:color w:val="002040"/>
              </w:rPr>
              <w:t>How to use it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apps/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sz w:val="18"/>
              </w:rPr>
              <w:t>Application source</w:t>
            </w:r>
          </w:p>
        </w:tc>
        <w:tc>
          <w:tcPr>
            <w:tcW w:type="dxa" w:w="5050"/>
            <w:vAlign w:val="center"/>
          </w:tcPr>
          <w:p>
            <w:pPr>
              <w:spacing w:after="0"/>
            </w:pPr>
            <w:r>
              <w:rPr>
                <w:sz w:val="18"/>
              </w:rPr>
              <w:t>All runnable applications. Start with apps/PULSE/; the other folders are supporting or future-facing implementations.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apps/PULSE/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sz w:val="18"/>
              </w:rPr>
              <w:t>Primary PULSE tool</w:t>
            </w:r>
          </w:p>
        </w:tc>
        <w:tc>
          <w:tcPr>
            <w:tcW w:type="dxa" w:w="5050"/>
            <w:vAlign w:val="center"/>
          </w:tcPr>
          <w:p>
            <w:pPr>
              <w:spacing w:after="0"/>
            </w:pPr>
            <w:r>
              <w:rPr>
                <w:sz w:val="18"/>
              </w:rPr>
              <w:t>Open README.md, then index.html. This is the active application and feature reference; preserve its internal relative-path layout.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apps/spfx-pulse-workspace/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sz w:val="18"/>
              </w:rPr>
              <w:t>Active SPFx solution</w:t>
            </w:r>
          </w:p>
        </w:tc>
        <w:tc>
          <w:tcPr>
            <w:tcW w:type="dxa" w:w="5050"/>
            <w:vAlign w:val="center"/>
          </w:tcPr>
          <w:p>
            <w:pPr>
              <w:spacing w:after="0"/>
            </w:pPr>
            <w:r>
              <w:rPr>
                <w:sz w:val="18"/>
              </w:rPr>
              <w:t>The maintainable SharePoint implementation. Source lives in src/; generated build material stays in lib/, dist/, temp/, and release/.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apps/PULSE-TRAVEL-CALENDAR/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sz w:val="18"/>
              </w:rPr>
              <w:t>Active companion app</w:t>
            </w:r>
          </w:p>
        </w:tc>
        <w:tc>
          <w:tcPr>
            <w:tcW w:type="dxa" w:w="5050"/>
            <w:vAlign w:val="center"/>
          </w:tcPr>
          <w:p>
            <w:pPr>
              <w:spacing w:after="0"/>
            </w:pPr>
            <w:r>
              <w:rPr>
                <w:sz w:val="18"/>
              </w:rPr>
              <w:t>A focused calendar web part/package for travel and leave visibility.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docs/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sz w:val="18"/>
              </w:rPr>
              <w:t>Reference documentation</w:t>
            </w:r>
          </w:p>
        </w:tc>
        <w:tc>
          <w:tcPr>
            <w:tcW w:type="dxa" w:w="5050"/>
            <w:vAlign w:val="center"/>
          </w:tcPr>
          <w:p>
            <w:pPr>
              <w:spacing w:after="0"/>
            </w:pPr>
            <w:r>
              <w:rPr>
                <w:sz w:val="18"/>
              </w:rPr>
              <w:t>Contains the root product overview, prototype technical README, and this Word project map.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tools/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sz w:val="18"/>
              </w:rPr>
              <w:t>Repeatable helpers</w:t>
            </w:r>
          </w:p>
        </w:tc>
        <w:tc>
          <w:tcPr>
            <w:tcW w:type="dxa" w:w="5050"/>
            <w:vAlign w:val="center"/>
          </w:tcPr>
          <w:p>
            <w:pPr>
              <w:spacing w:after="0"/>
            </w:pPr>
            <w:r>
              <w:rPr>
                <w:sz w:val="18"/>
              </w:rPr>
              <w:t>SharePoint template generators and diagram/render scripts. These write their results to artifacts/generated/.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artifacts/generated/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sz w:val="18"/>
              </w:rPr>
              <w:t>Generated artifacts</w:t>
            </w:r>
          </w:p>
        </w:tc>
        <w:tc>
          <w:tcPr>
            <w:tcW w:type="dxa" w:w="5050"/>
            <w:vAlign w:val="center"/>
          </w:tcPr>
          <w:p>
            <w:pPr>
              <w:spacing w:after="0"/>
            </w:pPr>
            <w:r>
              <w:rPr>
                <w:sz w:val="18"/>
              </w:rPr>
              <w:t>SharePoint list templates, schema CSVs, web diagrams, and render assets. Regenerate rather than hand-edit where a matching tool exists.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assets/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sz w:val="18"/>
              </w:rPr>
              <w:t>Reusable visual inputs</w:t>
            </w:r>
          </w:p>
        </w:tc>
        <w:tc>
          <w:tcPr>
            <w:tcW w:type="dxa" w:w="5050"/>
            <w:vAlign w:val="center"/>
          </w:tcPr>
          <w:p>
            <w:pPr>
              <w:spacing w:after="0"/>
            </w:pPr>
            <w:r>
              <w:rPr>
                <w:sz w:val="18"/>
              </w:rPr>
              <w:t>Branding files and presentation screenshots used to create or support deliverables.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deliverables/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sz w:val="18"/>
              </w:rPr>
              <w:t>Hand-off files</w:t>
            </w:r>
          </w:p>
        </w:tc>
        <w:tc>
          <w:tcPr>
            <w:tcW w:type="dxa" w:w="5050"/>
            <w:vAlign w:val="center"/>
          </w:tcPr>
          <w:p>
            <w:pPr>
              <w:spacing w:after="0"/>
            </w:pPr>
            <w:r>
              <w:rPr>
                <w:sz w:val="18"/>
              </w:rPr>
              <w:t>The final internship presentation and packaged report screenshots.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experiments/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sz w:val="18"/>
              </w:rPr>
              <w:t>Non-production concepts</w:t>
            </w:r>
          </w:p>
        </w:tc>
        <w:tc>
          <w:tcPr>
            <w:tcW w:type="dxa" w:w="5050"/>
            <w:vAlign w:val="center"/>
          </w:tcPr>
          <w:p>
            <w:pPr>
              <w:spacing w:after="0"/>
            </w:pPr>
            <w:r>
              <w:rPr>
                <w:sz w:val="18"/>
              </w:rPr>
              <w:t>Standalone visual or SharePoint test pages; useful for exploration but not a source of record.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archive/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sz w:val="18"/>
              </w:rPr>
              <w:t>Historical preservation</w:t>
            </w:r>
          </w:p>
        </w:tc>
        <w:tc>
          <w:tcPr>
            <w:tcW w:type="dxa" w:w="5050"/>
            <w:vAlign w:val="center"/>
          </w:tcPr>
          <w:p>
            <w:pPr>
              <w:spacing w:after="0"/>
            </w:pPr>
            <w:r>
              <w:rPr>
                <w:sz w:val="18"/>
              </w:rPr>
              <w:t>Timestamped PULSE prototype backup. Keep read-only unless a rollback/reference is needed.</w:t>
            </w:r>
          </w:p>
        </w:tc>
      </w:tr>
    </w:tbl>
    <w:p>
      <w:r>
        <w:br w:type="page"/>
      </w:r>
    </w:p>
    <w:p>
      <w:pPr>
        <w:pStyle w:val="Heading1"/>
      </w:pPr>
      <w:r>
        <w:t>How the applications fit together</w:t>
      </w:r>
    </w:p>
    <w:p>
      <w:pPr>
        <w:spacing w:after="120"/>
      </w:pPr>
      <w:r>
        <w:t>PULSE is the primary working tool. It demonstrates the workflows and interaction design using seeded browser data; the SPFx solution turns that model into a typed, SharePoint-backed architecture. The travel calendar is a smaller, independently deployable experience that complements the travel workflow.</w:t>
      </w:r>
    </w:p>
    <w:p>
      <w:pPr>
        <w:pStyle w:val="ListBullet"/>
        <w:spacing w:after="80"/>
      </w:pPr>
      <w:r>
        <w:t>Prototype flow: apps/PULSE/index.html → assets/js/app.js → page modules in assets/js/pages/ → mock/local browser data and SharePoint-adapter utilities.</w:t>
      </w:r>
    </w:p>
    <w:p>
      <w:pPr>
        <w:pStyle w:val="ListBullet"/>
        <w:spacing w:after="80"/>
      </w:pPr>
      <w:r>
        <w:t>SPFx flow: web part entry point → React pages/components → hooks and context → typed services → SharePoint lists, libraries, permissions, and provisioning definitions.</w:t>
      </w:r>
    </w:p>
    <w:p>
      <w:pPr>
        <w:pStyle w:val="ListBullet"/>
        <w:spacing w:after="80"/>
      </w:pPr>
      <w:r>
        <w:t>Calendar flow: apps/PULSE-TRAVEL-CALENDAR/index.html → assets/css/calendar.css and assets/js/calendar.js → SharePoint-ready package in FS packages/.</w:t>
      </w:r>
    </w:p>
    <w:p>
      <w:pPr>
        <w:pStyle w:val="Heading1"/>
      </w:pPr>
      <w:r>
        <w:t>Key files and subfolders</w:t>
      </w:r>
    </w:p>
    <w:p>
      <w:pPr>
        <w:spacing w:after="80"/>
      </w:pPr>
      <w:r>
        <w:rPr>
          <w:b/>
          <w:color w:val="002040"/>
        </w:rPr>
        <w:t xml:space="preserve">apps/PULSE/README.md — </w:t>
      </w:r>
      <w:r>
        <w:t>Developer handoff: where to edit, package, and find maintenance guidance.</w:t>
      </w:r>
    </w:p>
    <w:p>
      <w:pPr>
        <w:spacing w:after="80"/>
      </w:pPr>
      <w:r>
        <w:rPr>
          <w:b/>
          <w:color w:val="002040"/>
        </w:rPr>
        <w:t xml:space="preserve">apps/PULSE/index.html — </w:t>
      </w:r>
      <w:r>
        <w:t>Primary PULSE entry page.</w:t>
      </w:r>
    </w:p>
    <w:p>
      <w:pPr>
        <w:spacing w:after="80"/>
      </w:pPr>
      <w:r>
        <w:rPr>
          <w:b/>
          <w:color w:val="002040"/>
        </w:rPr>
        <w:t xml:space="preserve">apps/PULSE/assets/js/app.js — </w:t>
      </w:r>
      <w:r>
        <w:t>Shell, hash routing, navigation, and page composition.</w:t>
      </w:r>
    </w:p>
    <w:p>
      <w:pPr>
        <w:spacing w:after="80"/>
      </w:pPr>
      <w:r>
        <w:rPr>
          <w:b/>
          <w:color w:val="002040"/>
        </w:rPr>
        <w:t xml:space="preserve">apps/PULSE/assets/js/pages/ — </w:t>
      </w:r>
      <w:r>
        <w:t>Feature-specific screens: projects, meetings, travel, document review, tickets, admin, and related views.</w:t>
      </w:r>
    </w:p>
    <w:p>
      <w:pPr>
        <w:spacing w:after="80"/>
      </w:pPr>
      <w:r>
        <w:rPr>
          <w:b/>
          <w:color w:val="002040"/>
        </w:rPr>
        <w:t xml:space="preserve">apps/PULSE/assets/js/sharepoint-schema.js — </w:t>
      </w:r>
      <w:r>
        <w:t>List definitions used by the prototype and by the template-generation tools.</w:t>
      </w:r>
    </w:p>
    <w:p>
      <w:pPr>
        <w:spacing w:after="80"/>
      </w:pPr>
      <w:r>
        <w:rPr>
          <w:b/>
          <w:color w:val="002040"/>
        </w:rPr>
        <w:t xml:space="preserve">apps/PULSE/docs/ — </w:t>
      </w:r>
      <w:r>
        <w:t>Handoff, architecture, guides, requirements, diagrams, and code analysis.</w:t>
      </w:r>
    </w:p>
    <w:p>
      <w:pPr>
        <w:spacing w:after="80"/>
      </w:pPr>
      <w:r>
        <w:rPr>
          <w:b/>
          <w:color w:val="002040"/>
        </w:rPr>
        <w:t xml:space="preserve">apps/PULSE/FS packages/ — </w:t>
      </w:r>
      <w:r>
        <w:t>Preferred SharePoint/Firepit ship artifacts.</w:t>
      </w:r>
    </w:p>
    <w:p>
      <w:pPr>
        <w:spacing w:after="80"/>
      </w:pPr>
      <w:r>
        <w:rPr>
          <w:b/>
          <w:color w:val="002040"/>
        </w:rPr>
        <w:t xml:space="preserve">apps/PULSE/releases/ — </w:t>
      </w:r>
      <w:r>
        <w:t>Forge builds and known-good reference packages; do not edit as source.</w:t>
      </w:r>
    </w:p>
    <w:p>
      <w:pPr>
        <w:spacing w:after="80"/>
      </w:pPr>
      <w:r>
        <w:rPr>
          <w:b/>
          <w:color w:val="002040"/>
        </w:rPr>
        <w:t xml:space="preserve">apps/PULSE/validation/ — </w:t>
      </w:r>
      <w:r>
        <w:t>Verification outputs such as engineering PDF samples; not runtime code.</w:t>
      </w:r>
    </w:p>
    <w:p>
      <w:pPr>
        <w:spacing w:after="80"/>
      </w:pPr>
      <w:r>
        <w:rPr>
          <w:b/>
          <w:color w:val="002040"/>
        </w:rPr>
        <w:t xml:space="preserve">apps/PULSE/scripts/ — </w:t>
      </w:r>
      <w:r>
        <w:t>Packaging, export, capture, and maintenance helpers.</w:t>
      </w:r>
    </w:p>
    <w:p>
      <w:pPr>
        <w:spacing w:after="80"/>
      </w:pPr>
      <w:r>
        <w:rPr>
          <w:b/>
          <w:color w:val="002040"/>
        </w:rPr>
        <w:t xml:space="preserve">apps/spfx-pulse-workspace/src/ — </w:t>
      </w:r>
      <w:r>
        <w:t>Authoritative TypeScript source: components, pages, services, models, schema, provisioning, and configuration.</w:t>
      </w:r>
    </w:p>
    <w:p>
      <w:pPr>
        <w:spacing w:after="80"/>
      </w:pPr>
      <w:r>
        <w:rPr>
          <w:b/>
          <w:color w:val="002040"/>
        </w:rPr>
        <w:t xml:space="preserve">apps/spfx-pulse-workspace/config/ — </w:t>
      </w:r>
      <w:r>
        <w:t>SPFx package, serve, manifest, and copy configuration.</w:t>
      </w:r>
    </w:p>
    <w:p>
      <w:pPr>
        <w:spacing w:after="80"/>
      </w:pPr>
      <w:r>
        <w:rPr>
          <w:b/>
          <w:color w:val="002040"/>
        </w:rPr>
        <w:t xml:space="preserve">apps/spfx-pulse-workspace/sharepoint/ — </w:t>
      </w:r>
      <w:r>
        <w:t>SharePoint deployment/provisioning assets.</w:t>
      </w:r>
    </w:p>
    <w:p>
      <w:pPr>
        <w:spacing w:after="80"/>
      </w:pPr>
      <w:r>
        <w:rPr>
          <w:b/>
          <w:color w:val="002040"/>
        </w:rPr>
        <w:t xml:space="preserve">apps/spfx-pulse-workspace/lib/, dist/, temp/, release/ — </w:t>
      </w:r>
      <w:r>
        <w:t>Generated build/package outputs; do not use as the editing source.</w:t>
      </w:r>
    </w:p>
    <w:p>
      <w:pPr>
        <w:spacing w:after="80"/>
      </w:pPr>
      <w:r>
        <w:rPr>
          <w:b/>
          <w:color w:val="002040"/>
        </w:rPr>
        <w:t xml:space="preserve">tools/sharepoint/ — </w:t>
      </w:r>
      <w:r>
        <w:t>Build and verify list-template and column-schema exports from the PULSE SharePoint schema.</w:t>
      </w:r>
    </w:p>
    <w:p>
      <w:pPr>
        <w:spacing w:after="80"/>
      </w:pPr>
      <w:r>
        <w:rPr>
          <w:b/>
          <w:color w:val="002040"/>
        </w:rPr>
        <w:t xml:space="preserve">tools/visualization/ — </w:t>
      </w:r>
      <w:r>
        <w:t>Creates diagram SVG/PNG/HTML assets and animated graph/flow GIFs in artifacts/generated/data-web-diagrams-20260712/.</w:t>
      </w:r>
    </w:p>
    <w:p>
      <w:pPr>
        <w:pStyle w:val="Heading1"/>
      </w:pPr>
      <w:r>
        <w:t>Safe working conventions</w:t>
      </w:r>
    </w:p>
    <w:p>
      <w:pPr>
        <w:pStyle w:val="ListBullet"/>
        <w:spacing w:after="80"/>
      </w:pPr>
      <w:r>
        <w:t>For PULSE feature work, edit apps/PULSE/ first. Use apps/spfx-pulse-workspace/src only when working on the production-oriented SPFx implementation.</w:t>
      </w:r>
    </w:p>
    <w:p>
      <w:pPr>
        <w:pStyle w:val="ListBullet"/>
        <w:spacing w:after="80"/>
      </w:pPr>
      <w:r>
        <w:t>Treat artifacts/generated/ as generated material. If a matching tool exists in tools/, rerun it instead of manually changing the generated file.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>AEWTTR PULSE • Project 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204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