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drawing>
          <wp:inline xmlns:a="http://schemas.openxmlformats.org/drawingml/2006/main" xmlns:pic="http://schemas.openxmlformats.org/drawingml/2006/picture">
            <wp:extent cx="1097280" cy="10775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97280" cy="1077509"/>
                    </a:xfrm>
                    <a:prstGeom prst="rect"/>
                  </pic:spPr>
                </pic:pic>
              </a:graphicData>
            </a:graphic>
          </wp:inline>
        </w:drawing>
      </w:r>
    </w:p>
    <w:p>
      <w:pPr>
        <w:widowControl/>
        <w:spacing w:after="80" w:before="0"/>
        <w:jc w:val="center"/>
      </w:pPr>
      <w:r>
        <w:rPr>
          <w:rFonts w:ascii="Arial" w:cs="Arial" w:eastAsia="Arial" w:hAnsi="Arial"/>
          <w:b/>
          <w:bCs/>
          <w:caps/>
          <w:color w:val="1B2A47"/>
          <w:sz w:val="48"/>
          <w:szCs w:val="48"/>
        </w:rPr>
        <w:t>ANALYSIS OF ALTERNATIVES</w:t>
      </w:r>
    </w:p>
    <w:p>
      <w:pPr>
        <w:widowControl/>
        <w:pBdr>
          <w:bottom w:val="single" w:color="BF9000" w:sz="8" w:space="4"/>
        </w:pBdr>
        <w:spacing w:after="200" w:before="0"/>
        <w:jc w:val="center"/>
      </w:pPr>
      <w:r>
        <w:rPr>
          <w:rFonts w:ascii="Arial" w:cs="Arial" w:eastAsia="Arial" w:hAnsi="Arial"/>
          <w:b/>
          <w:bCs/>
          <w:caps/>
          <w:color w:val="2E5F8A"/>
          <w:sz w:val="24"/>
          <w:szCs w:val="24"/>
        </w:rPr>
        <w:t>TEAM PROJECT DASHBOARD &amp; WORKFLOW AUTOMATION PLATFORM</w:t>
      </w:r>
    </w:p>
    <w:p>
      <w:pPr>
        <w:spacing w:after="160" w:before="160"/>
      </w:pPr>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rPr/>
        <w:tc>
          <w:tcPr>
            <w:tcW w:type="dxa" w:w="3000"/>
            <w:tcBorders>
              <w:top w:val="none" w:color="FFFFFF" w:sz="0"/>
              <w:left w:val="none" w:color="FFFFFF" w:sz="0"/>
              <w:bottom w:val="single" w:color="DDDDDD" w:sz="4"/>
              <w:right w:val="none" w:color="FFFFFF" w:sz="0"/>
            </w:tcBorders>
            <w:shd w:fill="F2F1EC" w:val="clear"/>
            <w:tcMar>
              <w:top w:type="dxa" w:w="80"/>
              <w:left w:type="dxa" w:w="0"/>
              <w:bottom w:type="dxa" w:w="80"/>
              <w:right w:type="dxa" w:w="120"/>
            </w:tcMar>
            <w:vAlign w:val="center"/>
          </w:tcPr>
          <w:p>
            <w:pPr>
              <w:spacing w:before="0" w:after="30" w:line="240" w:lineRule="auto"/>
            </w:pPr>
            <w:r>
              <w:rPr>
                <w:rFonts w:ascii="Arial" w:cs="Arial" w:eastAsia="Arial" w:hAnsi="Arial"/>
                <w:b/>
                <w:bCs/>
                <w:color w:val="1B2A47"/>
                <w:sz w:val="18"/>
                <w:szCs w:val="18"/>
              </w:rPr>
              <w:t>PREPARED BY:</w:t>
            </w:r>
          </w:p>
        </w:tc>
        <w:tc>
          <w:tcPr>
            <w:tcW w:type="dxa" w:w="4200"/>
            <w:tcBorders>
              <w:top w:val="none" w:color="FFFFFF" w:sz="0"/>
              <w:left w:val="none" w:color="FFFFFF" w:sz="0"/>
              <w:bottom w:val="single" w:color="DDDDDD" w:sz="4"/>
              <w:right w:val="none" w:color="FFFFFF" w:sz="0"/>
            </w:tcBorders>
            <w:shd w:fill="F2F1EC" w:val="clear"/>
            <w:tcMar>
              <w:top w:type="dxa" w:w="80"/>
              <w:left w:type="dxa" w:w="120"/>
              <w:bottom w:type="dxa" w:w="80"/>
              <w:right w:type="dxa" w:w="0"/>
            </w:tcMar>
            <w:vAlign w:val="center"/>
          </w:tcPr>
          <w:p>
            <w:pPr>
              <w:spacing w:before="0" w:after="30" w:line="240" w:lineRule="auto"/>
            </w:pPr>
            <w:r>
              <w:rPr>
                <w:rFonts w:ascii="Arial" w:cs="Arial" w:eastAsia="Arial" w:hAnsi="Arial"/>
                <w:sz w:val="18"/>
                <w:szCs w:val="18"/>
              </w:rPr>
              <w:t>Data Analytics Intern (Viceroy Envoy Program)</w:t>
            </w:r>
          </w:p>
        </w:tc>
      </w:tr>
      <w:tr>
        <w:trPr/>
        <w:tc>
          <w:tcPr>
            <w:tcW w:type="dxa" w:w="3000"/>
            <w:tcBorders>
              <w:top w:val="none" w:color="FFFFFF" w:sz="0"/>
              <w:left w:val="none" w:color="FFFFFF" w:sz="0"/>
              <w:bottom w:val="single" w:color="DDDDDD" w:sz="4"/>
              <w:right w:val="none" w:color="FFFFFF" w:sz="0"/>
            </w:tcBorders>
            <w:shd w:fill="F2F1EC" w:val="clear"/>
            <w:tcMar>
              <w:top w:type="dxa" w:w="80"/>
              <w:left w:type="dxa" w:w="0"/>
              <w:bottom w:type="dxa" w:w="80"/>
              <w:right w:type="dxa" w:w="120"/>
            </w:tcMar>
            <w:vAlign w:val="center"/>
          </w:tcPr>
          <w:p>
            <w:pPr>
              <w:spacing w:before="0" w:after="30" w:line="240" w:lineRule="auto"/>
            </w:pPr>
            <w:r>
              <w:rPr>
                <w:rFonts w:ascii="Arial" w:cs="Arial" w:eastAsia="Arial" w:hAnsi="Arial"/>
                <w:b/>
                <w:bCs/>
                <w:color w:val="1B2A47"/>
                <w:sz w:val="18"/>
                <w:szCs w:val="18"/>
              </w:rPr>
              <w:t xml:space="preserve">ORGANIZATION:</w:t>
            </w:r>
          </w:p>
        </w:tc>
        <w:tc>
          <w:tcPr>
            <w:tcW w:type="dxa" w:w="4200"/>
            <w:tcBorders>
              <w:top w:val="none" w:color="FFFFFF" w:sz="0"/>
              <w:left w:val="none" w:color="FFFFFF" w:sz="0"/>
              <w:bottom w:val="single" w:color="DDDDDD" w:sz="4"/>
              <w:right w:val="none" w:color="FFFFFF" w:sz="0"/>
            </w:tcBorders>
            <w:shd w:fill="F2F1EC" w:val="clear"/>
            <w:tcMar>
              <w:top w:type="dxa" w:w="80"/>
              <w:left w:type="dxa" w:w="120"/>
              <w:bottom w:type="dxa" w:w="80"/>
              <w:right w:type="dxa" w:w="0"/>
            </w:tcMar>
            <w:vAlign w:val="center"/>
          </w:tcPr>
          <w:p>
            <w:pPr>
              <w:spacing w:before="0" w:after="30" w:line="240" w:lineRule="auto"/>
            </w:pPr>
            <w:r>
              <w:rPr>
                <w:rFonts w:ascii="Arial" w:cs="Arial" w:eastAsia="Arial" w:hAnsi="Arial"/>
                <w:sz w:val="18"/>
                <w:szCs w:val="18"/>
              </w:rPr>
              <w:t>Aircrew Electronic Warfare Tactical Training Ranges (AEWTTR) IPT</w:t>
            </w:r>
          </w:p>
        </w:tc>
      </w:tr>
      <w:tr>
        <w:trPr/>
        <w:tc>
          <w:tcPr>
            <w:tcW w:type="dxa" w:w="3000"/>
            <w:tcBorders>
              <w:top w:val="none" w:color="FFFFFF" w:sz="0"/>
              <w:left w:val="none" w:color="FFFFFF" w:sz="0"/>
              <w:bottom w:val="single" w:color="DDDDDD" w:sz="4"/>
              <w:right w:val="none" w:color="FFFFFF" w:sz="0"/>
            </w:tcBorders>
            <w:shd w:fill="FFFFFF" w:val="clear"/>
            <w:tcMar>
              <w:top w:type="dxa" w:w="80"/>
              <w:left w:type="dxa" w:w="0"/>
              <w:bottom w:type="dxa" w:w="80"/>
              <w:right w:type="dxa" w:w="120"/>
            </w:tcMar>
            <w:vAlign w:val="center"/>
          </w:tcPr>
          <w:p>
            <w:pPr>
              <w:spacing w:before="0" w:after="30" w:line="240" w:lineRule="auto"/>
            </w:pPr>
            <w:r>
              <w:rPr>
                <w:rFonts w:ascii="Arial" w:cs="Arial" w:eastAsia="Arial" w:hAnsi="Arial"/>
                <w:b/>
                <w:bCs/>
                <w:color w:val="1B2A47"/>
                <w:sz w:val="18"/>
                <w:szCs w:val="18"/>
              </w:rPr>
              <w:t xml:space="preserve">INSTALLATION:</w:t>
            </w:r>
          </w:p>
        </w:tc>
        <w:tc>
          <w:tcPr>
            <w:tcW w:type="dxa" w:w="4200"/>
            <w:tcBorders>
              <w:top w:val="none" w:color="FFFFFF" w:sz="0"/>
              <w:left w:val="none" w:color="FFFFFF" w:sz="0"/>
              <w:bottom w:val="single" w:color="DDDDDD" w:sz="4"/>
              <w:right w:val="none" w:color="FFFFFF" w:sz="0"/>
            </w:tcBorders>
            <w:shd w:fill="FFFFFF" w:val="clear"/>
            <w:tcMar>
              <w:top w:type="dxa" w:w="80"/>
              <w:left w:type="dxa" w:w="120"/>
              <w:bottom w:type="dxa" w:w="80"/>
              <w:right w:type="dxa" w:w="0"/>
            </w:tcMar>
            <w:vAlign w:val="center"/>
          </w:tcPr>
          <w:p>
            <w:pPr>
              <w:spacing w:before="0" w:after="30" w:line="240" w:lineRule="auto"/>
            </w:pPr>
            <w:r>
              <w:rPr>
                <w:rFonts w:ascii="Arial" w:cs="Arial" w:eastAsia="Arial" w:hAnsi="Arial"/>
                <w:sz w:val="18"/>
                <w:szCs w:val="18"/>
              </w:rPr>
              <w:t>NAWCWD China Lake, CA</w:t>
            </w:r>
          </w:p>
        </w:tc>
      </w:tr>
      <w:tr>
        <w:trPr/>
        <w:tc>
          <w:tcPr>
            <w:tcW w:type="dxa" w:w="3000"/>
            <w:tcBorders>
              <w:top w:val="none" w:color="FFFFFF" w:sz="0"/>
              <w:left w:val="none" w:color="FFFFFF" w:sz="0"/>
              <w:bottom w:val="single" w:color="DDDDDD" w:sz="4"/>
              <w:right w:val="none" w:color="FFFFFF" w:sz="0"/>
            </w:tcBorders>
            <w:shd w:fill="F2F1EC" w:val="clear"/>
            <w:tcMar>
              <w:top w:type="dxa" w:w="80"/>
              <w:left w:type="dxa" w:w="0"/>
              <w:bottom w:type="dxa" w:w="80"/>
              <w:right w:type="dxa" w:w="120"/>
            </w:tcMar>
            <w:vAlign w:val="center"/>
          </w:tcPr>
          <w:p>
            <w:pPr>
              <w:spacing w:before="0" w:after="30" w:line="240" w:lineRule="auto"/>
            </w:pPr>
            <w:r>
              <w:rPr>
                <w:rFonts w:ascii="Arial" w:cs="Arial" w:eastAsia="Arial" w:hAnsi="Arial"/>
                <w:b/>
                <w:bCs/>
                <w:color w:val="1B2A47"/>
                <w:sz w:val="18"/>
                <w:szCs w:val="18"/>
              </w:rPr>
              <w:t xml:space="preserve">DATE:</w:t>
            </w:r>
          </w:p>
        </w:tc>
        <w:tc>
          <w:tcPr>
            <w:tcW w:type="dxa" w:w="4200"/>
            <w:tcBorders>
              <w:top w:val="none" w:color="FFFFFF" w:sz="0"/>
              <w:left w:val="none" w:color="FFFFFF" w:sz="0"/>
              <w:bottom w:val="single" w:color="DDDDDD" w:sz="4"/>
              <w:right w:val="none" w:color="FFFFFF" w:sz="0"/>
            </w:tcBorders>
            <w:shd w:fill="F2F1EC" w:val="clear"/>
            <w:tcMar>
              <w:top w:type="dxa" w:w="80"/>
              <w:left w:type="dxa" w:w="120"/>
              <w:bottom w:type="dxa" w:w="80"/>
              <w:right w:type="dxa" w:w="0"/>
            </w:tcMar>
            <w:vAlign w:val="center"/>
          </w:tcPr>
          <w:p>
            <w:pPr>
              <w:spacing w:before="0" w:after="30" w:line="240" w:lineRule="auto"/>
            </w:pPr>
            <w:r>
              <w:rPr>
                <w:rFonts w:ascii="Arial" w:cs="Arial" w:eastAsia="Arial" w:hAnsi="Arial"/>
                <w:sz w:val="18"/>
                <w:szCs w:val="18"/>
              </w:rPr>
              <w:t xml:space="preserve">July 2026</w:t>
            </w:r>
          </w:p>
        </w:tc>
      </w:tr>
      <w:tr>
        <w:trPr/>
        <w:tc>
          <w:tcPr>
            <w:tcW w:type="dxa" w:w="3000"/>
            <w:tcBorders>
              <w:top w:val="none" w:color="FFFFFF" w:sz="0"/>
              <w:left w:val="none" w:color="FFFFFF" w:sz="0"/>
              <w:bottom w:val="single" w:color="DDDDDD" w:sz="4"/>
              <w:right w:val="none" w:color="FFFFFF" w:sz="0"/>
            </w:tcBorders>
            <w:shd w:fill="FFFFFF" w:val="clear"/>
            <w:tcMar>
              <w:top w:type="dxa" w:w="80"/>
              <w:left w:type="dxa" w:w="0"/>
              <w:bottom w:type="dxa" w:w="80"/>
              <w:right w:type="dxa" w:w="120"/>
            </w:tcMar>
            <w:vAlign w:val="center"/>
          </w:tcPr>
          <w:p>
            <w:pPr>
              <w:spacing w:before="0" w:after="30" w:line="240" w:lineRule="auto"/>
            </w:pPr>
            <w:r>
              <w:rPr>
                <w:rFonts w:ascii="Arial" w:cs="Arial" w:eastAsia="Arial" w:hAnsi="Arial"/>
                <w:b/>
                <w:bCs/>
                <w:color w:val="1B2A47"/>
                <w:sz w:val="18"/>
                <w:szCs w:val="18"/>
              </w:rPr>
              <w:t xml:space="preserve">VERSION:</w:t>
            </w:r>
          </w:p>
        </w:tc>
        <w:tc>
          <w:tcPr>
            <w:tcW w:type="dxa" w:w="4200"/>
            <w:tcBorders>
              <w:top w:val="none" w:color="FFFFFF" w:sz="0"/>
              <w:left w:val="none" w:color="FFFFFF" w:sz="0"/>
              <w:bottom w:val="single" w:color="DDDDDD" w:sz="4"/>
              <w:right w:val="none" w:color="FFFFFF" w:sz="0"/>
            </w:tcBorders>
            <w:shd w:fill="FFFFFF" w:val="clear"/>
            <w:tcMar>
              <w:top w:type="dxa" w:w="80"/>
              <w:left w:type="dxa" w:w="120"/>
              <w:bottom w:type="dxa" w:w="80"/>
              <w:right w:type="dxa" w:w="0"/>
            </w:tcMar>
            <w:vAlign w:val="center"/>
          </w:tcPr>
          <w:p>
            <w:pPr>
              <w:spacing w:before="0" w:after="30" w:line="240" w:lineRule="auto"/>
            </w:pPr>
            <w:r>
              <w:rPr>
                <w:rFonts w:ascii="Arial" w:cs="Arial" w:eastAsia="Arial" w:hAnsi="Arial"/>
                <w:sz w:val="18"/>
                <w:szCs w:val="18"/>
              </w:rPr>
              <w:t xml:space="preserve">Final</w:t>
            </w:r>
          </w:p>
        </w:tc>
      </w:tr>
      <w:tr>
        <w:trPr/>
        <w:tc>
          <w:tcPr>
            <w:tcW w:type="dxa" w:w="3000"/>
            <w:tcBorders>
              <w:top w:val="none" w:color="FFFFFF" w:sz="0"/>
              <w:left w:val="none" w:color="FFFFFF" w:sz="0"/>
              <w:bottom w:val="single" w:color="DDDDDD" w:sz="4"/>
              <w:right w:val="none" w:color="FFFFFF" w:sz="0"/>
            </w:tcBorders>
            <w:shd w:fill="F2F1EC" w:val="clear"/>
            <w:tcMar>
              <w:top w:type="dxa" w:w="80"/>
              <w:left w:type="dxa" w:w="0"/>
              <w:bottom w:type="dxa" w:w="80"/>
              <w:right w:type="dxa" w:w="120"/>
            </w:tcMar>
            <w:vAlign w:val="center"/>
          </w:tcPr>
          <w:p>
            <w:pPr>
              <w:spacing w:before="0" w:after="30" w:line="240" w:lineRule="auto"/>
            </w:pPr>
            <w:r>
              <w:rPr>
                <w:rFonts w:ascii="Arial" w:cs="Arial" w:eastAsia="Arial" w:hAnsi="Arial"/>
                <w:b/>
                <w:bCs/>
                <w:color w:val="1B2A47"/>
                <w:sz w:val="18"/>
                <w:szCs w:val="18"/>
              </w:rPr>
              <w:t xml:space="preserve">DOCUMENT STATUS:</w:t>
            </w:r>
          </w:p>
        </w:tc>
        <w:tc>
          <w:tcPr>
            <w:tcW w:type="dxa" w:w="4200"/>
            <w:tcBorders>
              <w:top w:val="none" w:color="FFFFFF" w:sz="0"/>
              <w:left w:val="none" w:color="FFFFFF" w:sz="0"/>
              <w:bottom w:val="single" w:color="DDDDDD" w:sz="4"/>
              <w:right w:val="none" w:color="FFFFFF" w:sz="0"/>
            </w:tcBorders>
            <w:shd w:fill="F2F1EC" w:val="clear"/>
            <w:tcMar>
              <w:top w:type="dxa" w:w="80"/>
              <w:left w:type="dxa" w:w="120"/>
              <w:bottom w:type="dxa" w:w="80"/>
              <w:right w:type="dxa" w:w="0"/>
            </w:tcMar>
            <w:vAlign w:val="center"/>
          </w:tcPr>
          <w:p>
            <w:pPr>
              <w:spacing w:before="0" w:after="30" w:line="240" w:lineRule="auto"/>
            </w:pPr>
            <w:r>
              <w:rPr>
                <w:rFonts w:ascii="Arial" w:cs="Arial" w:eastAsia="Arial" w:hAnsi="Arial"/>
                <w:sz w:val="18"/>
                <w:szCs w:val="18"/>
              </w:rPr>
              <w:t>UNCLASSIFIED</w:t>
            </w:r>
          </w:p>
        </w:tc>
      </w:tr>
      <w:tr>
        <w:trPr/>
        <w:tc>
          <w:tcPr>
            <w:tcW w:type="dxa" w:w="3000"/>
            <w:tcBorders>
              <w:top w:val="none" w:color="FFFFFF" w:sz="0"/>
              <w:left w:val="none" w:color="FFFFFF" w:sz="0"/>
              <w:bottom w:val="single" w:color="DDDDDD" w:sz="4"/>
              <w:right w:val="none" w:color="FFFFFF" w:sz="0"/>
            </w:tcBorders>
            <w:shd w:fill="FFFFFF" w:val="clear"/>
            <w:tcMar>
              <w:top w:type="dxa" w:w="80"/>
              <w:left w:type="dxa" w:w="0"/>
              <w:bottom w:type="dxa" w:w="80"/>
              <w:right w:type="dxa" w:w="120"/>
            </w:tcMar>
            <w:vAlign w:val="center"/>
          </w:tcPr>
          <w:p>
            <w:pPr>
              <w:spacing w:before="0" w:after="30" w:line="240" w:lineRule="auto"/>
            </w:pPr>
            <w:r>
              <w:rPr>
                <w:rFonts w:ascii="Arial" w:cs="Arial" w:eastAsia="Arial" w:hAnsi="Arial"/>
                <w:b/>
                <w:bCs/>
                <w:color w:val="1B2A47"/>
                <w:sz w:val="18"/>
                <w:szCs w:val="18"/>
              </w:rPr>
              <w:t xml:space="preserve">REFERENCE AUTHORITY:</w:t>
            </w:r>
          </w:p>
        </w:tc>
        <w:tc>
          <w:tcPr>
            <w:tcW w:type="dxa" w:w="4200"/>
            <w:tcBorders>
              <w:top w:val="none" w:color="FFFFFF" w:sz="0"/>
              <w:left w:val="none" w:color="FFFFFF" w:sz="0"/>
              <w:bottom w:val="single" w:color="DDDDDD" w:sz="4"/>
              <w:right w:val="none" w:color="FFFFFF" w:sz="0"/>
            </w:tcBorders>
            <w:shd w:fill="FFFFFF" w:val="clear"/>
            <w:tcMar>
              <w:top w:type="dxa" w:w="80"/>
              <w:left w:type="dxa" w:w="120"/>
              <w:bottom w:type="dxa" w:w="80"/>
              <w:right w:type="dxa" w:w="0"/>
            </w:tcMar>
            <w:vAlign w:val="center"/>
          </w:tcPr>
          <w:p>
            <w:pPr>
              <w:spacing w:before="0" w:after="30" w:line="240" w:lineRule="auto"/>
            </w:pPr>
            <w:r>
              <w:rPr>
                <w:rFonts w:ascii="Arial" w:cs="Arial" w:eastAsia="Arial" w:hAnsi="Arial"/>
                <w:sz w:val="18"/>
                <w:szCs w:val="18"/>
              </w:rPr>
              <w:t xml:space="preserve">DoDI 5000.84, August 4, 2020 | Adaptive Acquisition Framework</w:t>
            </w:r>
          </w:p>
        </w:tc>
      </w:tr>
    </w:tbl>
    <w:p>
      <w:pPr>
        <w:spacing w:after="240" w:before="240"/>
      </w:pPr>
      <w:r/>
    </w:p>
    <w:p>
      <w:r/>
    </w:p>
    <w:p>
      <w:pPr>
        <w:sectPr>
          <w:headerReference w:type="default" r:id="rId11"/>
          <w:footerReference w:type="default" r:id="rId12"/>
          <w:headerReference w:type="first" r:id="rId13"/>
          <w:footerReference w:type="first" r:id="rId14"/>
          <w:headerReference w:type="even" r:id="rId15"/>
          <w:footerReference w:type="even" r:id="rId16"/>
          <w:pgSz w:w="12240" w:h="15840" w:orient="portrait"/>
          <w:pgMar w:top="792" w:right="1080" w:bottom="792" w:left="1080" w:header="317" w:footer="317" w:gutter="0"/>
          <w:pgNumType/>
          <w:docGrid w:linePitch="360"/>
        </w:sectPr>
      </w:pPr>
    </w:p>
    <w:p>
      <w:pPr>
        <w:widowControl/>
        <w:pBdr>
          <w:bottom w:val="single" w:color="BF9000" w:sz="8" w:space="4"/>
        </w:pBdr>
        <w:spacing w:after="0" w:before="360"/>
      </w:pPr>
      <w:r>
        <w:rPr>
          <w:rFonts w:ascii="Arial" w:cs="Arial" w:eastAsia="Arial" w:hAnsi="Arial"/>
          <w:b/>
          <w:bCs/>
          <w:caps/>
          <w:color w:val="1B2A47"/>
          <w:sz w:val="28"/>
          <w:szCs w:val="28"/>
        </w:rPr>
        <w:t>1. Executive Summary</w:t>
      </w:r>
    </w:p>
    <w:p>
      <w:pPr>
        <w:spacing w:after="80" w:before="80"/>
      </w:pPr>
      <w:r/>
    </w:p>
    <w:p>
      <w:pPr>
        <w:widowControl/>
        <w:spacing w:after="80" w:before="240"/>
      </w:pPr>
      <w:r>
        <w:rPr>
          <w:rFonts w:ascii="Arial" w:cs="Arial" w:eastAsia="Arial" w:hAnsi="Arial"/>
          <w:b/>
          <w:bCs/>
          <w:color w:val="2E5F8A"/>
          <w:sz w:val="24"/>
          <w:szCs w:val="24"/>
        </w:rPr>
        <w:t>1.1 The Operational Problem</w:t>
      </w:r>
    </w:p>
    <w:p>
      <w:pPr>
        <w:widowControl/>
        <w:spacing w:after="80" w:before="40"/>
      </w:pPr>
      <w:r>
        <w:rPr>
          <w:rFonts w:ascii="Arial" w:cs="Arial" w:eastAsia="Arial" w:hAnsi="Arial"/>
          <w:sz w:val="20"/>
          <w:szCs w:val="20"/>
        </w:rPr>
        <w:t>The Aircrew Electronic Warfare Tactical Training Ranges (AEWTTR) IPT manages a complex portfolio spanning engineering, project management, contracts, finance, logistics, and cybersecurity. Data is fragmented across SharePoint lists, personal Excel files, email, and standalone applications, leaving leadership without a single authoritative view.</w:t>
      </w:r>
    </w:p>
    <w:p>
      <w:pPr>
        <w:widowControl/>
        <w:spacing w:after="80" w:before="40"/>
      </w:pPr>
      <w:r>
        <w:rPr>
          <w:rFonts w:ascii="Arial" w:cs="Arial" w:eastAsia="Arial" w:hAnsi="Arial"/>
          <w:sz w:val="20"/>
          <w:szCs w:val="20"/>
        </w:rPr>
        <w:t>The IPT Lead must collect and reconcile information from individual team members to understand the portfolio. This slows decisions, sponsor responses, and data governance.</w:t>
      </w:r>
    </w:p>
    <w:p>
      <w:pPr>
        <w:spacing w:after="60" w:before="60"/>
      </w:pPr>
      <w:r/>
    </w:p>
    <w:p>
      <w:pPr>
        <w:widowControl/>
        <w:spacing w:after="80" w:before="240"/>
      </w:pPr>
      <w:r>
        <w:rPr>
          <w:rFonts w:ascii="Arial" w:cs="Arial" w:eastAsia="Arial" w:hAnsi="Arial"/>
          <w:b/>
          <w:bCs/>
          <w:color w:val="2E5F8A"/>
          <w:sz w:val="24"/>
          <w:szCs w:val="24"/>
        </w:rPr>
        <w:t>1.2 Summary of Alternatives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00"/>
        <w:gridCol w:w="2800"/>
        <w:gridCol w:w="3060"/>
      </w:tblGrid>
      <w:tr>
        <w:trPr/>
        <w:tc>
          <w:tcPr>
            <w:tcW w:type="dxa" w:w="4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w:t>
            </w:r>
          </w:p>
        </w:tc>
        <w:tc>
          <w:tcPr>
            <w:tcW w:type="dxa" w:w="31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Alternative</w:t>
            </w:r>
          </w:p>
        </w:tc>
        <w:tc>
          <w:tcPr>
            <w:tcW w:type="dxa" w:w="2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Score (of 500)</w:t>
            </w:r>
          </w:p>
        </w:tc>
        <w:tc>
          <w:tcPr>
            <w:tcW w:type="dxa" w:w="30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Disposition</w:t>
            </w:r>
          </w:p>
        </w:tc>
      </w:tr>
      <w:tr>
        <w:trPr/>
        <w:tc>
          <w:tcPr>
            <w:tcW w:type="dxa" w:w="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1</w:t>
            </w:r>
          </w:p>
        </w:tc>
        <w:tc>
          <w:tcPr>
            <w:tcW w:type="dxa" w:w="31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Status Quo — No Change</w:t>
            </w:r>
          </w:p>
        </w:tc>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300 / 500</w:t>
            </w:r>
          </w:p>
        </w:tc>
        <w:tc>
          <w:tcPr>
            <w:tcW w:type="dxa" w:w="30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Baseline (Not Viable)</w:t>
            </w:r>
          </w:p>
        </w:tc>
      </w:tr>
      <w:tr>
        <w:trPr/>
        <w:tc>
          <w:tcPr>
            <w:tcW w:type="dxa" w:w="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2</w:t>
            </w:r>
          </w:p>
        </w:tc>
        <w:tc>
          <w:tcPr>
            <w:tcW w:type="dxa" w:w="31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Power Apps / Power Platform</w:t>
            </w:r>
          </w:p>
        </w:tc>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405 / 500</w:t>
            </w:r>
          </w:p>
        </w:tc>
        <w:tc>
          <w:tcPr>
            <w:tcW w:type="dxa" w:w="30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Viable — Fallback</w:t>
            </w:r>
          </w:p>
        </w:tc>
      </w:tr>
      <w:tr>
        <w:trPr/>
        <w:tc>
          <w:tcPr>
            <w:tcW w:type="dxa" w:w="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3</w:t>
            </w:r>
          </w:p>
        </w:tc>
        <w:tc>
          <w:tcPr>
            <w:tcW w:type="dxa" w:w="31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Firepit/Forge (RECOMMENDED)</w:t>
            </w:r>
          </w:p>
        </w:tc>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455 / 500</w:t>
            </w:r>
          </w:p>
        </w:tc>
        <w:tc>
          <w:tcPr>
            <w:tcW w:type="dxa" w:w="30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RECOMMENDED</w:t>
            </w:r>
          </w:p>
        </w:tc>
      </w:tr>
      <w:tr>
        <w:trPr/>
        <w:tc>
          <w:tcPr>
            <w:tcW w:type="dxa" w:w="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4</w:t>
            </w:r>
          </w:p>
        </w:tc>
        <w:tc>
          <w:tcPr>
            <w:tcW w:type="dxa" w:w="31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Atlassian Confluence/Jira (Gov Cloud)</w:t>
            </w:r>
          </w:p>
        </w:tc>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300 / 500</w:t>
            </w:r>
          </w:p>
        </w:tc>
        <w:tc>
          <w:tcPr>
            <w:tcW w:type="dxa" w:w="30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Screened Out</w:t>
            </w:r>
          </w:p>
        </w:tc>
      </w:tr>
      <w:tr>
        <w:trPr/>
        <w:tc>
          <w:tcPr>
            <w:tcW w:type="dxa" w:w="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5</w:t>
            </w:r>
          </w:p>
        </w:tc>
        <w:tc>
          <w:tcPr>
            <w:tcW w:type="dxa" w:w="31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Custom Web Application (External Hosting)</w:t>
            </w:r>
          </w:p>
        </w:tc>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240 / 500</w:t>
            </w:r>
          </w:p>
        </w:tc>
        <w:tc>
          <w:tcPr>
            <w:tcW w:type="dxa" w:w="30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Screened Out</w:t>
            </w:r>
          </w:p>
        </w:tc>
      </w:tr>
      <w:tr>
        <w:trPr/>
        <w:tc>
          <w:tcPr>
            <w:tcW w:type="dxa" w:w="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6</w:t>
            </w:r>
          </w:p>
        </w:tc>
        <w:tc>
          <w:tcPr>
            <w:tcW w:type="dxa" w:w="31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ServiceNow National Security Cloud</w:t>
            </w:r>
          </w:p>
        </w:tc>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375 / 500</w:t>
            </w:r>
          </w:p>
        </w:tc>
        <w:tc>
          <w:tcPr>
            <w:tcW w:type="dxa" w:w="30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Screened Out</w:t>
            </w:r>
          </w:p>
        </w:tc>
      </w:tr>
      <w:tr>
        <w:trPr/>
        <w:tc>
          <w:tcPr>
            <w:tcW w:type="dxa" w:w="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7</w:t>
            </w:r>
          </w:p>
        </w:tc>
        <w:tc>
          <w:tcPr>
            <w:tcW w:type="dxa" w:w="31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Salesforce Government Cloud Plus</w:t>
            </w:r>
          </w:p>
        </w:tc>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280 / 500</w:t>
            </w:r>
          </w:p>
        </w:tc>
        <w:tc>
          <w:tcPr>
            <w:tcW w:type="dxa" w:w="30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Screened Out</w:t>
            </w:r>
          </w:p>
        </w:tc>
      </w:tr>
    </w:tbl>
    <w:p>
      <w:pPr>
        <w:spacing w:after="80" w:before="80"/>
      </w:pPr>
      <w:r/>
    </w:p>
    <w:p>
      <w:pPr>
        <w:widowControl/>
        <w:spacing w:after="80" w:before="240"/>
      </w:pPr>
      <w:r>
        <w:rPr>
          <w:rFonts w:ascii="Arial" w:cs="Arial" w:eastAsia="Arial" w:hAnsi="Arial"/>
          <w:b/>
          <w:bCs/>
          <w:color w:val="2E5F8A"/>
          <w:sz w:val="24"/>
          <w:szCs w:val="24"/>
        </w:rPr>
        <w:t>1.3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2C4A63" w:sz="4"/>
              <w:left w:val="single" w:color="2C4A63" w:sz="4"/>
              <w:bottom w:val="single" w:color="2C4A63" w:sz="4"/>
              <w:right w:val="single" w:color="2C4A63" w:sz="4"/>
            </w:tcBorders>
            <w:shd w:fill="DCE1E2" w:val="clear"/>
            <w:tcMar>
              <w:top w:type="dxa" w:w="55"/>
              <w:left w:type="dxa" w:w="180"/>
              <w:bottom w:type="dxa" w:w="55"/>
              <w:right w:type="dxa" w:w="180"/>
              <w:start w:w="80" w:type="dxa"/>
              <w:end w:w="80" w:type="dxa"/>
            </w:tcMar>
            <w:vAlign w:val="center"/>
          </w:tcPr>
          <w:p>
            <w:pPr>
              <w:spacing w:after="30" w:before="0" w:line="240" w:lineRule="auto"/>
            </w:pPr>
            <w:r>
              <w:rPr>
                <w:rFonts w:ascii="Arial" w:cs="Arial" w:eastAsia="Arial" w:hAnsi="Arial"/>
                <w:i/>
                <w:iCs/>
                <w:color w:val="1B2A47"/>
                <w:sz w:val="18"/>
                <w:szCs w:val="18"/>
              </w:rPr>
              <w:t>RECOMMENDATION: Select Alternative 3 — Firepit/Forge. Deploy one Forge-authored application through the Firepit SPFx web part, using SharePoint Lists as the data backbone. Weighted score: 455/500.</w:t>
            </w:r>
          </w:p>
        </w:tc>
      </w:tr>
    </w:tbl>
    <w:p>
      <w:pPr>
        <w:spacing w:after="60" w:before="60"/>
      </w:pPr>
      <w:r/>
    </w:p>
    <w:p>
      <w:pPr>
        <w:widowControl/>
        <w:spacing w:after="80" w:before="40"/>
      </w:pPr>
      <w:r>
        <w:rPr>
          <w:rFonts w:ascii="Arial" w:cs="Arial" w:eastAsia="Arial" w:hAnsi="Arial"/>
          <w:sz w:val="20"/>
          <w:szCs w:val="20"/>
        </w:rPr>
        <w:t>Firepit/Forge operates within Flank Speed/IL5 at no additional platform cost, is already fielded within the Navy, generates RMF/security documentation, uses React, and supports the full tool suite in one application shell.</w:t>
      </w:r>
    </w:p>
    <w:p>
      <w:pPr>
        <w:widowControl/>
        <w:spacing w:after="80" w:before="240"/>
      </w:pPr>
      <w:r>
        <w:rPr>
          <w:rFonts w:ascii="Arial" w:cs="Arial" w:eastAsia="Arial" w:hAnsi="Arial"/>
          <w:b/>
          <w:bCs/>
          <w:color w:val="2E5F8A"/>
          <w:sz w:val="24"/>
          <w:szCs w:val="24"/>
        </w:rPr>
        <w:t>1.4 Decisions Required from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3160"/>
      </w:tblGrid>
      <w:tr>
        <w:trPr/>
        <w:tc>
          <w:tcPr>
            <w:tcW w:type="dxa" w:w="3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Decision Required</w:t>
            </w:r>
          </w:p>
        </w:tc>
        <w:tc>
          <w:tcPr>
            <w:tcW w:type="dxa" w:w="24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Decision Authority</w:t>
            </w:r>
          </w:p>
        </w:tc>
        <w:tc>
          <w:tcPr>
            <w:tcW w:type="dxa" w:w="31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Impact if Unresolved</w:t>
            </w:r>
          </w:p>
        </w:tc>
      </w:tr>
      <w:tr>
        <w:trPr/>
        <w:tc>
          <w:tcPr>
            <w:tcW w:type="dxa" w:w="3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Confirm dashboard metrics and data fields, in priority order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Development proceeds against assumptions; built features may not align with actual needs</w:t>
            </w:r>
          </w:p>
        </w:tc>
      </w:tr>
      <w:tr>
        <w:trPr/>
        <w:tc>
          <w:tcPr>
            <w:tcW w:type="dxa" w:w="3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Designate data owners per domain (projects, finance, contracts, cyber, schedule)</w:t>
            </w:r>
          </w:p>
        </w:tc>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Data becomes stale; dashboard loses stakeholder trust</w:t>
            </w:r>
          </w:p>
        </w:tc>
      </w:tr>
      <w:tr>
        <w:trPr/>
        <w:tc>
          <w:tcPr>
            <w:tcW w:type="dxa" w:w="3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Confirm SharePoint app catalog path for Firepit .sppkg deployment</w:t>
            </w:r>
          </w:p>
        </w:tc>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Operations Manager / NMCI POC</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Firepit deployment may be delayed; fallback to Alternative 2 may be required</w:t>
            </w:r>
          </w:p>
        </w:tc>
      </w:tr>
      <w:tr>
        <w:trPr/>
        <w:tc>
          <w:tcPr>
            <w:tcW w:type="dxa" w:w="3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Designate permanent application owner after internship ends</w:t>
            </w:r>
          </w:p>
        </w:tc>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or Operations Manager</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Flows, apps, and lists become orphaned and may break when intern account is deactivated</w:t>
            </w:r>
          </w:p>
        </w:tc>
      </w:tr>
      <w:tr>
        <w:trPr/>
        <w:tc>
          <w:tcPr>
            <w:tcW w:type="dxa" w:w="3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Direct BFM to provide weekly ERP extracts to shared SPO folder</w:t>
            </w:r>
          </w:p>
        </w:tc>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(via Operations Manager)</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Financial module automation is not feasible without a directed process change</w:t>
            </w:r>
          </w:p>
        </w:tc>
      </w:tr>
    </w:tbl>
    <w:p>
      <w:r/>
    </w:p>
    <w:p>
      <w:pPr>
        <w:widowControl/>
        <w:pBdr>
          <w:bottom w:val="single" w:color="BF9000" w:sz="8" w:space="4"/>
        </w:pBdr>
        <w:spacing w:after="0" w:before="360"/>
      </w:pPr>
      <w:r>
        <w:rPr>
          <w:rFonts w:ascii="Arial" w:cs="Arial" w:eastAsia="Arial" w:hAnsi="Arial"/>
          <w:b/>
          <w:bCs/>
          <w:caps/>
          <w:color w:val="1B2A47"/>
          <w:sz w:val="28"/>
          <w:szCs w:val="28"/>
        </w:rPr>
        <w:t>2. Background and Organizational Context</w:t>
      </w:r>
    </w:p>
    <w:p>
      <w:pPr>
        <w:spacing w:after="80" w:before="80"/>
      </w:pPr>
      <w:r/>
    </w:p>
    <w:p>
      <w:pPr>
        <w:widowControl/>
        <w:spacing w:after="80" w:before="40"/>
      </w:pPr>
      <w:r>
        <w:rPr>
          <w:rFonts w:ascii="Arial" w:cs="Arial" w:eastAsia="Arial" w:hAnsi="Arial"/>
          <w:sz w:val="20"/>
          <w:szCs w:val="20"/>
        </w:rPr>
        <w:t>The AEWTTR IPT operates under NAWCWD China Lake as lead system integrator for the lifecycle management, technical oversight, acquisition support, and cyber compliance of Electronic Warfare test range systems. It supports concurrent efforts across multiple ranges, contractors, and sponsors, primarily PMA-205 and SRAM.</w:t>
      </w:r>
    </w:p>
    <w:p>
      <w:pPr>
        <w:widowControl/>
        <w:spacing w:after="80" w:before="240"/>
      </w:pPr>
      <w:r>
        <w:rPr>
          <w:rFonts w:ascii="Arial" w:cs="Arial" w:eastAsia="Arial" w:hAnsi="Arial"/>
          <w:b/>
          <w:bCs/>
          <w:color w:val="2E5F8A"/>
          <w:sz w:val="24"/>
          <w:szCs w:val="24"/>
        </w:rPr>
        <w:t>2.1 Current Data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c>
          <w:tcPr>
            <w:tcW w:type="dxa" w:w="24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Data Domain</w:t>
            </w:r>
          </w:p>
        </w:tc>
        <w:tc>
          <w:tcPr>
            <w:tcW w:type="dxa" w:w="26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Current Tool(s)</w:t>
            </w:r>
          </w:p>
        </w:tc>
        <w:tc>
          <w:tcPr>
            <w:tcW w:type="dxa" w:w="43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Documented Gaps</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Portfolio / PM Tracking</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SharePoint Online list (manual)</w:t>
            </w:r>
          </w:p>
        </w:tc>
        <w:tc>
          <w:tcPr>
            <w:tcW w:type="dxa" w:w="4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Manual status updates only; no automated data pull; no leadership-facing view</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Financial Data</w:t>
            </w:r>
          </w:p>
        </w:tc>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Excel (weekly ERP extract by BFM)</w:t>
            </w:r>
          </w:p>
        </w:tc>
        <w:tc>
          <w:tcPr>
            <w:tcW w:type="dxa" w:w="4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Manual extract and paste; no plan vs. actual comparison; no live dashboard; partially-built Power BI workspace abandoned</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Contract Surveillance</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Separate contracts SPO site</w:t>
            </w:r>
          </w:p>
        </w:tc>
        <w:tc>
          <w:tcPr>
            <w:tcW w:type="dxa" w:w="4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Siloed from AEWTTR SPO; manual invoice entry; inaccessible to PMs or IPT Lead without request</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Schedule / IMS Data</w:t>
            </w:r>
          </w:p>
        </w:tc>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MS Project (C232 tools) + Power BI</w:t>
            </w:r>
          </w:p>
        </w:tc>
        <w:tc>
          <w:tcPr>
            <w:tcW w:type="dxa" w:w="4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Not integrated with IPT tracker; schedule status cycles require manual coordination</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Cyber / RMF Compliance</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eMASS (restricted network)</w:t>
            </w:r>
          </w:p>
        </w:tc>
        <w:tc>
          <w:tcPr>
            <w:tcW w:type="dxa" w:w="4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 NMCI-accessible RMF step tracker; IPT Lead must query cyber team directly for every data call</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Engineering Status</w:t>
            </w:r>
          </w:p>
        </w:tc>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Informal / ad hoc</w:t>
            </w:r>
          </w:p>
        </w:tc>
        <w:tc>
          <w:tcPr>
            <w:tcW w:type="dxa" w:w="4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 standardized shared tool; no repeatable checklist for acquisition, tech refresh, or new design project types</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Travel Requests</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SharePoint form + partial Power Automate</w:t>
            </w:r>
          </w:p>
        </w:tc>
        <w:tc>
          <w:tcPr>
            <w:tcW w:type="dxa" w:w="4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Approval requires manual status update; no calendar auto-population; no trip report consolidation</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Document Review</w:t>
            </w:r>
          </w:p>
        </w:tc>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MS Planner + email</w:t>
            </w:r>
          </w:p>
        </w:tc>
        <w:tc>
          <w:tcPr>
            <w:tcW w:type="dxa" w:w="4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All-user reminders persist even after individual completion; no editorial automation</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Property / Logistics</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SharePoint asset lists</w:t>
            </w:r>
          </w:p>
        </w:tc>
        <w:tc>
          <w:tcPr>
            <w:tcW w:type="dxa" w:w="4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Manual DD-1149 entry; no link to project record or dashboard</w:t>
            </w:r>
          </w:p>
        </w:tc>
      </w:tr>
    </w:tbl>
    <w:p>
      <w:pPr>
        <w:spacing w:after="80" w:before="80"/>
      </w:pPr>
      <w:r/>
    </w:p>
    <w:p>
      <w:pPr>
        <w:widowControl/>
        <w:spacing w:after="80" w:before="240"/>
      </w:pPr>
      <w:r>
        <w:rPr>
          <w:rFonts w:ascii="Arial" w:cs="Arial" w:eastAsia="Arial" w:hAnsi="Arial"/>
          <w:b/>
          <w:bCs/>
          <w:color w:val="2E5F8A"/>
          <w:sz w:val="24"/>
          <w:szCs w:val="24"/>
        </w:rPr>
        <w:t>2.2 Hosting Environment — Why This Is the Primary Screening Factor</w:t>
      </w:r>
    </w:p>
    <w:p>
      <w:pPr>
        <w:widowControl/>
        <w:spacing w:after="80" w:before="40"/>
      </w:pPr>
      <w:r>
        <w:rPr>
          <w:rFonts w:ascii="Arial" w:cs="Arial" w:eastAsia="Arial" w:hAnsi="Arial"/>
          <w:sz w:val="20"/>
          <w:szCs w:val="20"/>
        </w:rPr>
        <w:t>The AEWTTR IPT operates in Flank Speed, the Navy's approved Microsoft 365 environment at Impact Level 5 (IL5). Native SharePoint, Power Platform, and SPFx solutions operate within that existing security and access-control boundary without new hosting or a separate Authority to Operate (ATO).</w:t>
      </w:r>
    </w:p>
    <w:p>
      <w:pPr>
        <w:widowControl/>
        <w:spacing w:after="80" w:before="40"/>
      </w:pPr>
      <w:r>
        <w:rPr>
          <w:rFonts w:ascii="Arial" w:cs="Arial" w:eastAsia="Arial" w:hAnsi="Arial"/>
          <w:sz w:val="20"/>
          <w:szCs w:val="20"/>
        </w:rPr>
        <w:t>External tools require separate hosting, security review, licensing, and procurement. They must therefore provide enough capability or cost benefit to justify a new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2C4A63" w:sz="4"/>
              <w:left w:val="single" w:color="2C4A63" w:sz="4"/>
              <w:bottom w:val="single" w:color="2C4A63" w:sz="4"/>
              <w:right w:val="single" w:color="2C4A63" w:sz="4"/>
            </w:tcBorders>
            <w:shd w:fill="F2F1EC" w:val="clear"/>
            <w:tcMar>
              <w:top w:type="dxa" w:w="55"/>
              <w:left w:type="dxa" w:w="180"/>
              <w:bottom w:type="dxa" w:w="55"/>
              <w:right w:type="dxa" w:w="180"/>
              <w:start w:w="80" w:type="dxa"/>
              <w:end w:w="80" w:type="dxa"/>
            </w:tcMar>
            <w:vAlign w:val="center"/>
          </w:tcPr>
          <w:p>
            <w:pPr>
              <w:spacing w:after="30" w:before="0" w:line="240" w:lineRule="auto"/>
            </w:pPr>
            <w:r>
              <w:rPr>
                <w:rFonts w:ascii="Arial" w:cs="Arial" w:eastAsia="Arial" w:hAnsi="Arial"/>
                <w:i/>
                <w:iCs/>
                <w:color w:val="1B2A47"/>
                <w:sz w:val="18"/>
                <w:szCs w:val="18"/>
              </w:rPr>
              <w:t>IL5 CONTEXT: Flank Speed operates at Impact Level 5. Native tools remain within its approved security boundary; external SaaS platforms require separate authorization, cost, and administration.</w:t>
            </w:r>
          </w:p>
        </w:tc>
      </w:tr>
    </w:tbl>
    <w:p>
      <w:pPr>
        <w:pageBreakBefore/>
        <w:widowControl/>
        <w:spacing w:after="80" w:before="240"/>
      </w:pPr>
      <w:r>
        <w:rPr>
          <w:rFonts w:ascii="Arial" w:cs="Arial" w:eastAsia="Arial" w:hAnsi="Arial"/>
          <w:b/>
          <w:bCs/>
          <w:color w:val="2E5F8A"/>
          <w:sz w:val="24"/>
          <w:szCs w:val="24"/>
        </w:rPr>
        <w:t>2.3 Peer IPT Precedent</w:t>
      </w:r>
    </w:p>
    <w:p>
      <w:pPr>
        <w:widowControl/>
        <w:spacing w:after="80" w:before="40"/>
      </w:pPr>
      <w:r>
        <w:rPr>
          <w:rFonts w:ascii="Arial" w:cs="Arial" w:eastAsia="Arial" w:hAnsi="Arial"/>
          <w:sz w:val="20"/>
          <w:szCs w:val="20"/>
        </w:rPr>
        <w:t>The General Purpose Electronic/Electrical Test Equipment (GPETE) IPT has operated a mature Power Platform suite in Flank Speed/NMCI for approximately five years, covering acquisition, inventory, labor-cost tracking, and financial reporting. Its demonstration confirmed Power Platform viability, the effort required for maturity, and known constraints such as Dataverse approval and premium licensing.</w:t>
      </w:r>
    </w:p>
    <w:p>
      <w:r/>
    </w:p>
    <w:p>
      <w:pPr>
        <w:widowControl/>
        <w:pBdr>
          <w:bottom w:val="single" w:color="BF9000" w:sz="8" w:space="4"/>
        </w:pBdr>
        <w:spacing w:after="0" w:before="360"/>
      </w:pPr>
      <w:r>
        <w:rPr>
          <w:rFonts w:ascii="Arial" w:cs="Arial" w:eastAsia="Arial" w:hAnsi="Arial"/>
          <w:b/>
          <w:bCs/>
          <w:caps/>
          <w:color w:val="1B2A47"/>
          <w:sz w:val="28"/>
          <w:szCs w:val="28"/>
        </w:rPr>
        <w:t>3. Decision Context and Problem Statement</w:t>
      </w:r>
    </w:p>
    <w:p>
      <w:pPr>
        <w:spacing w:after="80" w:before="80"/>
      </w:pPr>
      <w:r/>
    </w:p>
    <w:p>
      <w:pPr>
        <w:widowControl/>
        <w:spacing w:after="80" w:before="240"/>
      </w:pPr>
      <w:r>
        <w:rPr>
          <w:rFonts w:ascii="Arial" w:cs="Arial" w:eastAsia="Arial" w:hAnsi="Arial"/>
          <w:b/>
          <w:bCs/>
          <w:color w:val="2E5F8A"/>
          <w:sz w:val="24"/>
          <w:szCs w:val="24"/>
        </w:rPr>
        <w:t>3.1 Decision Context</w:t>
      </w:r>
    </w:p>
    <w:p>
      <w:pPr>
        <w:widowControl/>
        <w:spacing w:after="80" w:before="40"/>
      </w:pPr>
      <w:r>
        <w:rPr>
          <w:rFonts w:ascii="Arial" w:cs="Arial" w:eastAsia="Arial" w:hAnsi="Arial"/>
          <w:sz w:val="20"/>
          <w:szCs w:val="20"/>
        </w:rPr>
        <w:t>This internal planning analysis was prepared during the AEWTTR IPT Data Analytics Internship. It is not a formal MDAP acquisition record but uses the Adaptive Acquisition Framework and DoDI 5000.84 methodology to support a documented leadership decision.</w:t>
      </w:r>
    </w:p>
    <w:p>
      <w:pPr>
        <w:widowControl/>
        <w:spacing w:after="80" w:before="40"/>
      </w:pPr>
      <w:r>
        <w:rPr>
          <w:rFonts w:ascii="Arial" w:cs="Arial" w:eastAsia="Arial" w:hAnsi="Arial"/>
          <w:sz w:val="20"/>
          <w:szCs w:val="20"/>
        </w:rPr>
        <w:t>Decision: select the tools and approach for building and sustaining a centralized Team Project Dashboard and related tools within Flank Speed/IL5, the eight-week internship, existing licensing, and limited technical capacity.</w:t>
      </w:r>
    </w:p>
    <w:p>
      <w:pPr>
        <w:widowControl/>
        <w:spacing w:after="80" w:before="240"/>
      </w:pPr>
      <w:r>
        <w:rPr>
          <w:rFonts w:ascii="Arial" w:cs="Arial" w:eastAsia="Arial" w:hAnsi="Arial"/>
          <w:b/>
          <w:bCs/>
          <w:color w:val="2E5F8A"/>
          <w:sz w:val="24"/>
          <w:szCs w:val="24"/>
        </w:rPr>
        <w:t>3.2 Capability Gap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2C4A63" w:sz="4"/>
              <w:left w:val="single" w:color="2C4A63" w:sz="4"/>
              <w:bottom w:val="single" w:color="2C4A63" w:sz="4"/>
              <w:right w:val="single" w:color="2C4A63" w:sz="4"/>
            </w:tcBorders>
            <w:shd w:fill="DCE1E2" w:val="clear"/>
            <w:tcMar>
              <w:top w:type="dxa" w:w="55"/>
              <w:left w:type="dxa" w:w="180"/>
              <w:bottom w:type="dxa" w:w="55"/>
              <w:right w:type="dxa" w:w="180"/>
              <w:start w:w="80" w:type="dxa"/>
              <w:end w:w="80" w:type="dxa"/>
            </w:tcMar>
            <w:vAlign w:val="center"/>
          </w:tcPr>
          <w:p>
            <w:pPr>
              <w:spacing w:after="30" w:before="0" w:line="240" w:lineRule="auto"/>
            </w:pPr>
            <w:r>
              <w:rPr>
                <w:rFonts w:ascii="Arial" w:cs="Arial" w:eastAsia="Arial" w:hAnsi="Arial"/>
                <w:i/>
                <w:iCs/>
                <w:color w:val="1B2A47"/>
                <w:sz w:val="18"/>
                <w:szCs w:val="18"/>
              </w:rPr>
              <w:t>CAPABILITY GAP: AEWTTR IPT lacks a centralized, governed view of project, financial, schedule, contract, cyber-compliance, and reporting data. Information exists but remains fragmented and manually reconciled.</w:t>
            </w:r>
          </w:p>
        </w:tc>
      </w:tr>
    </w:tbl>
    <w:p>
      <w:pPr>
        <w:spacing w:after="60" w:before="60"/>
      </w:pPr>
      <w:r/>
    </w:p>
    <w:p>
      <w:r/>
    </w:p>
    <w:p>
      <w:pPr>
        <w:widowControl/>
        <w:pBdr>
          <w:bottom w:val="single" w:color="BF9000" w:sz="8" w:space="4"/>
        </w:pBdr>
        <w:spacing w:after="0" w:before="360"/>
      </w:pPr>
      <w:r>
        <w:rPr>
          <w:rFonts w:ascii="Arial" w:cs="Arial" w:eastAsia="Arial" w:hAnsi="Arial"/>
          <w:b/>
          <w:bCs/>
          <w:caps/>
          <w:color w:val="1B2A47"/>
          <w:sz w:val="28"/>
          <w:szCs w:val="28"/>
        </w:rPr>
        <w:t>4. Mission and Business Need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c>
          <w:tcPr>
            <w:tcW w:type="dxa" w:w="2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Operational Need</w:t>
            </w:r>
          </w:p>
        </w:tc>
        <w:tc>
          <w:tcPr>
            <w:tcW w:type="dxa" w:w="65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Description</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Portfolio Visibility</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The IPT Lead requires on-demand visibility into the full portfolio without scheduling meetings or sending data call emails. This capability does not currently exist.</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Decision Support</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Timely, accurate portfolio data directly supports the IPT Lead's ability to make resource decisions, respond to sponsor inquiries, and prioritize team effort.</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Leadership Reporting Efficiency</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Project Managers spend approximately one full workday per month re-entering the same status data into multiple reporting formats (Word documents, PowerPoint slides, ERP-facing reports). A single-source dashboard reduces this burden.</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Project Accountability</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When data ownership is unclear and data lives in personal files, accountability is difficult to establish. A shared dashboard with defined owners per data domain creates visible, enforceable accountability.</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Data Continuity</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When team members depart and data exists only in personal tools or institutional memory, that data is at risk. A shared, documented, institutionally-owned system eliminates this vulnerability.</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Tool Consolidation</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The travel request tool, PM hub, document review workflow, and travel calendar are being built independently. A single application shell hosting all of them reduces the number of separate systems the team must learn and maintain.</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Foundation for Future Capability</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 well-designed, documented data schema and architecture creates a foundation that future developers, ESDP rotation members, or permanent staff can build on without restarting from scratch.</w:t>
            </w:r>
          </w:p>
        </w:tc>
      </w:tr>
    </w:tbl>
    <w:p>
      <w:r/>
    </w:p>
    <w:p>
      <w:pPr>
        <w:widowControl/>
        <w:pBdr>
          <w:bottom w:val="single" w:color="BF9000" w:sz="8" w:space="4"/>
        </w:pBdr>
        <w:spacing w:after="0" w:before="360"/>
      </w:pPr>
      <w:r>
        <w:rPr>
          <w:rFonts w:ascii="Arial" w:cs="Arial" w:eastAsia="Arial" w:hAnsi="Arial"/>
          <w:b/>
          <w:bCs/>
          <w:caps/>
          <w:color w:val="1B2A47"/>
          <w:sz w:val="28"/>
          <w:szCs w:val="28"/>
        </w:rPr>
        <w:t>5. Ground Rules, Assumptions, and Constraints</w:t>
      </w:r>
    </w:p>
    <w:p>
      <w:pPr>
        <w:spacing w:after="80" w:before="80"/>
      </w:pPr>
      <w:r/>
    </w:p>
    <w:p>
      <w:pPr>
        <w:widowControl/>
        <w:spacing w:after="80" w:before="240"/>
      </w:pPr>
      <w:r>
        <w:rPr>
          <w:rFonts w:ascii="Arial" w:cs="Arial" w:eastAsia="Arial" w:hAnsi="Arial"/>
          <w:b/>
          <w:bCs/>
          <w:color w:val="2E5F8A"/>
          <w:sz w:val="24"/>
          <w:szCs w:val="24"/>
        </w:rPr>
        <w:t>5.1 Ground Rules</w:t>
      </w:r>
    </w:p>
    <w:p>
      <w:pPr>
        <w:widowControl/>
        <w:spacing w:after="80" w:before="40"/>
      </w:pPr>
      <w:r>
        <w:rPr>
          <w:rFonts w:ascii="Arial" w:cs="Arial" w:eastAsia="Arial" w:hAnsi="Arial"/>
          <w:sz w:val="20"/>
          <w:szCs w:val="20"/>
        </w:rPr>
        <w:t>The following ground rules governed this analysis and all alternatives considered:</w:t>
      </w:r>
    </w:p>
    <w:p>
      <w:pPr>
        <w:pStyle w:val="ListParagraph"/>
        <w:widowControl/>
        <w:numPr>
          <w:ilvl w:val="0"/>
          <w:numId w:val="2"/>
        </w:numPr>
        <w:spacing w:after="50" w:before="30"/>
      </w:pPr>
      <w:r>
        <w:rPr>
          <w:rFonts w:ascii="Arial" w:cs="Arial" w:eastAsia="Arial" w:hAnsi="Arial"/>
          <w:sz w:val="20"/>
          <w:szCs w:val="20"/>
        </w:rPr>
        <w:t>All solutions must operate within the team's existing, already-approved NMCI / Flank Speed IL5 environment, or must offer a clearly justified capability or cost advantage sufficient to warrant standing up and separately securing a new environment.</w:t>
      </w:r>
    </w:p>
    <w:p>
      <w:pPr>
        <w:pStyle w:val="ListParagraph"/>
        <w:widowControl/>
        <w:numPr>
          <w:ilvl w:val="0"/>
          <w:numId w:val="2"/>
        </w:numPr>
        <w:spacing w:after="50" w:before="30"/>
      </w:pPr>
      <w:r>
        <w:rPr>
          <w:rFonts w:ascii="Arial" w:cs="Arial" w:eastAsia="Arial" w:hAnsi="Arial"/>
          <w:sz w:val="20"/>
          <w:szCs w:val="20"/>
        </w:rPr>
        <w:t>The analysis is bounded by an eight-week internship timeline. Any alternative that cannot produce useful output within that window is classified as a future-state option.</w:t>
      </w:r>
    </w:p>
    <w:p>
      <w:pPr>
        <w:pStyle w:val="ListParagraph"/>
        <w:widowControl/>
        <w:numPr>
          <w:ilvl w:val="0"/>
          <w:numId w:val="2"/>
        </w:numPr>
        <w:spacing w:after="50" w:before="30"/>
      </w:pPr>
      <w:r>
        <w:rPr>
          <w:rFonts w:ascii="Arial" w:cs="Arial" w:eastAsia="Arial" w:hAnsi="Arial"/>
          <w:sz w:val="20"/>
          <w:szCs w:val="20"/>
        </w:rPr>
        <w:t>No additional licensing beyond existing Flank Speed entitlements is assumed available unless explicitly noted.</w:t>
      </w:r>
    </w:p>
    <w:p>
      <w:pPr>
        <w:pStyle w:val="ListParagraph"/>
        <w:widowControl/>
        <w:numPr>
          <w:ilvl w:val="0"/>
          <w:numId w:val="2"/>
        </w:numPr>
        <w:spacing w:after="50" w:before="30"/>
      </w:pPr>
      <w:r>
        <w:rPr>
          <w:rFonts w:ascii="Arial" w:cs="Arial" w:eastAsia="Arial" w:hAnsi="Arial"/>
          <w:sz w:val="20"/>
          <w:szCs w:val="20"/>
        </w:rPr>
        <w:t>Items that could not be independently verified are labeled [Confirm] and should be resolved with the designated party in Section 7.</w:t>
      </w:r>
    </w:p>
    <w:p>
      <w:pPr>
        <w:pStyle w:val="ListParagraph"/>
        <w:widowControl/>
        <w:numPr>
          <w:ilvl w:val="0"/>
          <w:numId w:val="2"/>
        </w:numPr>
        <w:spacing w:after="50" w:before="30"/>
      </w:pPr>
      <w:r>
        <w:rPr>
          <w:rFonts w:ascii="Arial" w:cs="Arial" w:eastAsia="Arial" w:hAnsi="Arial"/>
          <w:sz w:val="20"/>
          <w:szCs w:val="20"/>
        </w:rPr>
        <w:t>This document does not constitute a formal acquisition program record. It is an internal planning aid following AAF/DoDI 5000.84 methodology.</w:t>
      </w:r>
    </w:p>
    <w:p>
      <w:pPr>
        <w:spacing w:after="60" w:before="60"/>
      </w:pPr>
      <w:r/>
    </w:p>
    <w:p>
      <w:pPr>
        <w:widowControl/>
        <w:spacing w:after="80" w:before="240"/>
      </w:pPr>
      <w:r>
        <w:rPr>
          <w:rFonts w:ascii="Arial" w:cs="Arial" w:eastAsia="Arial" w:hAnsi="Arial"/>
          <w:b/>
          <w:bCs/>
          <w:color w:val="2E5F8A"/>
          <w:sz w:val="24"/>
          <w:szCs w:val="24"/>
        </w:rPr>
        <w:t>5.2 Confirmed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c>
          <w:tcPr>
            <w:tcW w:type="dxa" w:w="4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Constraint</w:t>
            </w:r>
          </w:p>
        </w:tc>
        <w:tc>
          <w:tcPr>
            <w:tcW w:type="dxa" w:w="53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Impact on Design</w:t>
            </w:r>
          </w:p>
        </w:tc>
      </w:tr>
      <w:tr>
        <w:trPr/>
        <w:tc>
          <w:tcPr>
            <w:tcW w:type="dxa" w:w="4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Power Automate 'Populate a Word Template' action is non-functional on NMCI (silently fails)</w:t>
            </w:r>
          </w:p>
        </w:tc>
        <w:tc>
          <w:tcPr>
            <w:tcW w:type="dxa" w:w="5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Word document generation requires XML construction workaround (GPETE method) or alternative format. Directly affects report generation scope.</w:t>
            </w:r>
          </w:p>
        </w:tc>
      </w:tr>
      <w:tr>
        <w:trPr/>
        <w:tc>
          <w:tcPr>
            <w:tcW w:type="dxa" w:w="4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Dataverse requires Echelon 2 approval and premium per-user licensing — not available during internship</w:t>
            </w:r>
          </w:p>
        </w:tc>
        <w:tc>
          <w:tcPr>
            <w:tcW w:type="dxa" w:w="5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SharePoint Lists are the practical near-term data backbone regardless of front-end choice.</w:t>
            </w:r>
          </w:p>
        </w:tc>
      </w:tr>
      <w:tr>
        <w:trPr/>
        <w:tc>
          <w:tcPr>
            <w:tcW w:type="dxa" w:w="4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eMASS operates on a restricted network — no direct integration possible</w:t>
            </w:r>
          </w:p>
        </w:tc>
        <w:tc>
          <w:tcPr>
            <w:tcW w:type="dxa" w:w="5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Cyber compliance step data requires manual entry by the cyber team into the dashboard.</w:t>
            </w:r>
          </w:p>
        </w:tc>
      </w:tr>
      <w:tr>
        <w:trPr/>
        <w:tc>
          <w:tcPr>
            <w:tcW w:type="dxa" w:w="4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Microsoft Teams group chat Power Automate flows break when the flow owner's account is deactivated</w:t>
            </w:r>
          </w:p>
        </w:tc>
        <w:tc>
          <w:tcPr>
            <w:tcW w:type="dxa" w:w="5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All flows must be co-owned by a permanent government employee account before internship concludes.</w:t>
            </w:r>
          </w:p>
        </w:tc>
      </w:tr>
      <w:tr>
        <w:trPr/>
        <w:tc>
          <w:tcPr>
            <w:tcW w:type="dxa" w:w="4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Microsoft Planner subtasks have been removed from the DoD rollout</w:t>
            </w:r>
          </w:p>
        </w:tc>
        <w:tc>
          <w:tcPr>
            <w:tcW w:type="dxa" w:w="5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Any Planner-dependent design must account for this limitation.</w:t>
            </w:r>
          </w:p>
        </w:tc>
      </w:tr>
      <w:tr>
        <w:trPr/>
        <w:tc>
          <w:tcPr>
            <w:tcW w:type="dxa" w:w="4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External Navy systems (EDA, SAM.gov, Wide Area Workflow, eMASS) cannot be directly integrated without access and security review</w:t>
            </w:r>
          </w:p>
        </w:tc>
        <w:tc>
          <w:tcPr>
            <w:tcW w:type="dxa" w:w="5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These systems are informational reference links only; data integration requires manual entry.</w:t>
            </w:r>
          </w:p>
        </w:tc>
      </w:tr>
      <w:tr>
        <w:trPr/>
        <w:tc>
          <w:tcPr>
            <w:tcW w:type="dxa" w:w="4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Firepit's network guard restricts hosted applications to an allow-listed set of destinations (SharePoint origin, approved CDNs, approved GenAI endpoints)</w:t>
            </w:r>
          </w:p>
        </w:tc>
        <w:tc>
          <w:tcPr>
            <w:tcW w:type="dxa" w:w="5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Any future integration outside that allow-list requires a Firepit/Forge-level configuration change, not a per-app setting.</w:t>
            </w:r>
          </w:p>
        </w:tc>
      </w:tr>
    </w:tbl>
    <w:p>
      <w:pPr>
        <w:spacing w:after="80" w:before="80"/>
      </w:pPr>
      <w:r/>
    </w:p>
    <w:p>
      <w:pPr>
        <w:widowControl/>
        <w:spacing w:after="80" w:before="240"/>
      </w:pPr>
      <w:r>
        <w:rPr>
          <w:rFonts w:ascii="Arial" w:cs="Arial" w:eastAsia="Arial" w:hAnsi="Arial"/>
          <w:b/>
          <w:bCs/>
          <w:color w:val="2E5F8A"/>
          <w:sz w:val="24"/>
          <w:szCs w:val="24"/>
        </w:rPr>
        <w:t>5.3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c>
          <w:tcPr>
            <w:tcW w:type="dxa" w:w="34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Assumption</w:t>
            </w:r>
          </w:p>
        </w:tc>
        <w:tc>
          <w:tcPr>
            <w:tcW w:type="dxa" w:w="3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Basis</w:t>
            </w:r>
          </w:p>
        </w:tc>
        <w:tc>
          <w:tcPr>
            <w:tcW w:type="dxa" w:w="27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Risk if Wrong</w:t>
            </w:r>
          </w:p>
        </w:tc>
      </w:tr>
      <w:tr>
        <w:trPr/>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SharePoint Online is the preferred near-term data backbone</w:t>
            </w:r>
          </w:p>
        </w:tc>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Established team preference; Dataverse not available during internship</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If Dataverse approval is closer than assumed, schema should account for Dataverse from the start to avoid a rebuild</w:t>
            </w:r>
          </w:p>
        </w:tc>
      </w:tr>
      <w:tr>
        <w:trPr/>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The BFM will drop weekly ERP extracts into a shared SPO location</w:t>
            </w:r>
          </w:p>
        </w:tc>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Discussed with the team; not confirmed by BFM directly</w:t>
            </w:r>
          </w:p>
        </w:tc>
        <w:tc>
          <w:tcPr>
            <w:tcW w:type="dxa" w:w="27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Financial module automation is not feasible without this process change; leadership direction may be required</w:t>
            </w:r>
          </w:p>
        </w:tc>
      </w:tr>
      <w:tr>
        <w:trPr/>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Operations Manager will serve as the primary data steward and system administrator after the internship</w:t>
            </w:r>
          </w:p>
        </w:tc>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Consistent with her role and active involvement; not formally confirmed</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If no permanent administrator is designated, apps and flows may become unowned and break</w:t>
            </w:r>
          </w:p>
        </w:tc>
      </w:tr>
      <w:tr>
        <w:trPr/>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Flank Speed supports SPFx web part deployment (Firepit) and Power Apps Canvas App development</w:t>
            </w:r>
          </w:p>
        </w:tc>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Firepit deployed to NAVWAR PEO Digital SPO site; Power Apps confirmed viable by GPETE demonstration</w:t>
            </w:r>
          </w:p>
        </w:tc>
        <w:tc>
          <w:tcPr>
            <w:tcW w:type="dxa" w:w="27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If site-collection app catalog permissions are restricted for AEWTTR specifically, deployment path needs confirmation before Phase 2</w:t>
            </w:r>
          </w:p>
        </w:tc>
      </w:tr>
      <w:tr>
        <w:trPr/>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Cyber compliance step data will be manually maintained by the cyber team in the dashboard</w:t>
            </w:r>
          </w:p>
        </w:tc>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 automated eMASS connection is feasible; cyber team is verbally supportive</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If the cyber team does not update the field consistently, the cyber compliance module will display stale data</w:t>
            </w:r>
          </w:p>
        </w:tc>
      </w:tr>
    </w:tbl>
    <w:p>
      <w:r/>
    </w:p>
    <w:p>
      <w:pPr>
        <w:widowControl/>
        <w:pBdr>
          <w:bottom w:val="single" w:color="BF9000" w:sz="8" w:space="4"/>
        </w:pBdr>
        <w:spacing w:after="0" w:before="360"/>
      </w:pPr>
      <w:r>
        <w:rPr>
          <w:rFonts w:ascii="Arial" w:cs="Arial" w:eastAsia="Arial" w:hAnsi="Arial"/>
          <w:b/>
          <w:bCs/>
          <w:caps/>
          <w:color w:val="1B2A47"/>
          <w:sz w:val="28"/>
          <w:szCs w:val="28"/>
        </w:rPr>
        <w:t>6. Scope</w:t>
      </w:r>
    </w:p>
    <w:p>
      <w:pPr>
        <w:spacing w:after="80" w:before="80"/>
      </w:pPr>
      <w:r/>
    </w:p>
    <w:p>
      <w:pPr>
        <w:widowControl/>
        <w:spacing w:after="80" w:before="240"/>
      </w:pPr>
      <w:r>
        <w:rPr>
          <w:rFonts w:ascii="Arial" w:cs="Arial" w:eastAsia="Arial" w:hAnsi="Arial"/>
          <w:b/>
          <w:bCs/>
          <w:color w:val="2E5F8A"/>
          <w:sz w:val="24"/>
          <w:szCs w:val="24"/>
        </w:rPr>
        <w:t>6.1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c>
          <w:tcPr>
            <w:tcW w:type="dxa" w:w="2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Area</w:t>
            </w:r>
          </w:p>
        </w:tc>
        <w:tc>
          <w:tcPr>
            <w:tcW w:type="dxa" w:w="65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Description</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Portfolio project tracking</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 single view of all AEWTTR IPT projects with key status fields, filterable by sponsor, status, and responsible PM.</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Per-project detail view</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 drill-down page per project showing status narrative, financial summary, milestones, contract data, cyber compliance step, and engineering checklist status.</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Financial summary integration</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Display of funding, obligations, expenditures, and available balance per project, populated via BFM-provided ERP extract.</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Schedule / milestone tracking</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Key milestone dates, planned vs. actual, schedule variance indicators, sourced from the project scheduler.</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Contract data visibility</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Task order summary, modification status, period of performance, contractor name — sourced from contracts team input.</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Cyber compliance status</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Current RMF step per project; step entry date where feasible; manually maintained by cyber team.</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Export and reporting support</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Export to Excel; leadership summary view; PowerPoint or Word output where technically feasible on NMCI.</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Data schema and source mapping</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 formal document defining all tables, fields, ownership, and data sources — the primary deliverable and required precondition for all other work.</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Engineering checklist status</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Per-project checklist completion as a module, once checklist content is defined by the engineering team.</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Application suite consolidation</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 single deployment shell capable of hosting the dashboard alongside the travel request tool, PM hub, travel calendar, and document review as modules within one consistent application.</w:t>
            </w:r>
          </w:p>
        </w:tc>
      </w:tr>
    </w:tbl>
    <w:p>
      <w:pPr>
        <w:spacing w:after="80" w:before="80"/>
      </w:pPr>
      <w:r/>
    </w:p>
    <w:p>
      <w:pPr>
        <w:widowControl/>
        <w:spacing w:after="80" w:before="240"/>
      </w:pPr>
      <w:r>
        <w:rPr>
          <w:rFonts w:ascii="Arial" w:cs="Arial" w:eastAsia="Arial" w:hAnsi="Arial"/>
          <w:b/>
          <w:bCs/>
          <w:color w:val="2E5F8A"/>
          <w:sz w:val="24"/>
          <w:szCs w:val="24"/>
        </w:rPr>
        <w:t>6.2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c>
          <w:tcPr>
            <w:tcW w:type="dxa" w:w="2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Project</w:t>
            </w:r>
          </w:p>
        </w:tc>
        <w:tc>
          <w:tcPr>
            <w:tcW w:type="dxa" w:w="65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Reason for Exclusion</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Trip report tool</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Post-travel record-keeping; treated as a separate build task, not a dashboard architecture decision.</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AI-assisted editorial review tool</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Dependent on style guide completion; no dashboard data relationship.</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CSDVD distribution tool [Confirm]</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Cyber operational workflow; cyber compliance step tracking is the dashboard-related cyber element.</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Full help desk / ticketing system build</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Building a full replacement for the contractor Jira instance is out of scope. However, a ticketing screen or ticket-status link inside the selected platform is in scope as a future module.</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Property / asset tracking integration</w:t>
            </w:r>
          </w:p>
        </w:tc>
        <w:tc>
          <w:tcPr>
            <w:tcW w:type="dxa" w:w="6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Likely deferred to a peer IPT's tool; optional future module only if that tool does not cover the need.</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Pre-fill form for travel orders</w:t>
            </w:r>
          </w:p>
        </w:tc>
        <w:tc>
          <w:tcPr>
            <w:tcW w:type="dxa" w:w="6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NMCI-blocked (Power Automate Word template action); documentation-only deliverable.</w:t>
            </w:r>
          </w:p>
        </w:tc>
      </w:tr>
    </w:tbl>
    <w:p>
      <w:r/>
    </w:p>
    <w:p>
      <w:pPr>
        <w:widowControl/>
        <w:pBdr>
          <w:bottom w:val="single" w:color="BF9000" w:sz="8" w:space="4"/>
        </w:pBdr>
        <w:spacing w:after="0" w:before="360"/>
      </w:pPr>
      <w:r>
        <w:rPr>
          <w:rFonts w:ascii="Arial" w:cs="Arial" w:eastAsia="Arial" w:hAnsi="Arial"/>
          <w:b/>
          <w:bCs/>
          <w:caps/>
          <w:color w:val="1B2A47"/>
          <w:sz w:val="28"/>
          <w:szCs w:val="28"/>
        </w:rPr>
        <w:t>7. Items Requiring Confirmation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c>
          <w:tcPr>
            <w:tcW w:type="dxa" w:w="3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Item</w:t>
            </w:r>
          </w:p>
        </w:tc>
        <w:tc>
          <w:tcPr>
            <w:tcW w:type="dxa" w:w="34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Why Confirmation is Needed</w:t>
            </w:r>
          </w:p>
        </w:tc>
        <w:tc>
          <w:tcPr>
            <w:tcW w:type="dxa" w:w="27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Recommended Owner</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Specific metrics and data fields the IPT Lead wants, in priority order</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Without this, schema cannot be finalized and development cannot proceed confidently</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Data owner assignments per domain</w:t>
            </w:r>
          </w:p>
        </w:tc>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Critical for governance; without owners, data becomes stale and the dashboard loses value</w:t>
            </w:r>
          </w:p>
        </w:tc>
        <w:tc>
          <w:tcPr>
            <w:tcW w:type="dxa" w:w="27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(to direct assignments)</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Whether the BFM will drop ERP extracts into a shared SPO folder</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Required for financial data ingestion; not confirmed by BFM directly</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Operations Manager</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Which SharePoint app catalog (tenant-wide vs. site collection) will host the Firepit .sppkg package</w:t>
            </w:r>
          </w:p>
        </w:tc>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Determines the realistic Phase 2 timeline for the recommended alternative</w:t>
            </w:r>
          </w:p>
        </w:tc>
        <w:tc>
          <w:tcPr>
            <w:tcW w:type="dxa" w:w="27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NMCI POC / SharePoint admin</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Whether the contracts SharePoint site can be accessed for dashboard population</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Contract data module depends on this access</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Contracts Team / Operations Manager</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Which Power Automate connectors and actions are fully enabled in the AEWTTR Flank Speed tenant</w:t>
            </w:r>
          </w:p>
        </w:tc>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Several are confirmed blocked; the full list is needed before committing to any automation features</w:t>
            </w:r>
          </w:p>
        </w:tc>
        <w:tc>
          <w:tcPr>
            <w:tcW w:type="dxa" w:w="27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NMCI POC / IT support</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Who will own the dashboard and its data after the internship ends</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Ownership gaps break automation and orphan the application regardless of platform</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or Operations Manager</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Whether a security review of planned data combinations (system identity + range/site location) has been completed</w:t>
            </w:r>
          </w:p>
        </w:tc>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Risk of inadvertently creating an unnecessarily sensitive combined data product (see Section 19)</w:t>
            </w:r>
          </w:p>
        </w:tc>
        <w:tc>
          <w:tcPr>
            <w:tcW w:type="dxa" w:w="27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AEWTTR Security Team / Operations Manager</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SRAM — full acronym expansion and scope</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Referenced in engineering discussions; never fully spelled out</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Engineering Team</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CSDVD — full expansion</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Deliverable distributed by cyber team; never expanded</w:t>
            </w:r>
          </w:p>
        </w:tc>
        <w:tc>
          <w:tcPr>
            <w:tcW w:type="dxa" w:w="27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Cyber Team Lead</w:t>
            </w:r>
          </w:p>
        </w:tc>
      </w:tr>
    </w:tbl>
    <w:p>
      <w:r/>
    </w:p>
    <w:p>
      <w:pPr>
        <w:widowControl/>
        <w:pBdr>
          <w:bottom w:val="single" w:color="BF9000" w:sz="8" w:space="4"/>
        </w:pBdr>
        <w:spacing w:after="0" w:before="360"/>
      </w:pPr>
      <w:r>
        <w:rPr>
          <w:rFonts w:ascii="Arial" w:cs="Arial" w:eastAsia="Arial" w:hAnsi="Arial"/>
          <w:b/>
          <w:bCs/>
          <w:caps/>
          <w:color w:val="1B2A47"/>
          <w:sz w:val="28"/>
          <w:szCs w:val="28"/>
        </w:rPr>
        <w:t>8. Evaluation Methodology</w:t>
      </w:r>
    </w:p>
    <w:p>
      <w:pPr>
        <w:spacing w:after="80" w:before="80"/>
      </w:pPr>
      <w:r/>
    </w:p>
    <w:p>
      <w:pPr>
        <w:widowControl/>
        <w:spacing w:after="80" w:before="240"/>
      </w:pPr>
      <w:r>
        <w:rPr>
          <w:rFonts w:ascii="Arial" w:cs="Arial" w:eastAsia="Arial" w:hAnsi="Arial"/>
          <w:b/>
          <w:bCs/>
          <w:color w:val="2E5F8A"/>
          <w:sz w:val="24"/>
          <w:szCs w:val="24"/>
        </w:rPr>
        <w:t>8.1 The 500-Point Scoring Framework</w:t>
      </w:r>
    </w:p>
    <w:p>
      <w:pPr>
        <w:widowControl/>
        <w:spacing w:after="80" w:before="40"/>
      </w:pPr>
      <w:r>
        <w:rPr>
          <w:rFonts w:ascii="Arial" w:cs="Arial" w:eastAsia="Arial" w:hAnsi="Arial"/>
          <w:sz w:val="20"/>
          <w:szCs w:val="20"/>
        </w:rPr>
        <w:t>Each alternative was scored from 1 to 5 against weighted criteria totaling 100. Weighted results sum to a maximum of 500 points, giving higher-priority criteria greater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2C4A63" w:sz="4"/>
              <w:left w:val="single" w:color="2C4A63" w:sz="4"/>
              <w:bottom w:val="single" w:color="2C4A63" w:sz="4"/>
              <w:right w:val="single" w:color="2C4A63" w:sz="4"/>
            </w:tcBorders>
            <w:shd w:fill="DCE1E2" w:val="clear"/>
            <w:tcMar>
              <w:top w:type="dxa" w:w="55"/>
              <w:left w:type="dxa" w:w="180"/>
              <w:bottom w:type="dxa" w:w="55"/>
              <w:right w:type="dxa" w:w="180"/>
              <w:start w:w="80" w:type="dxa"/>
              <w:end w:w="80" w:type="dxa"/>
            </w:tcMar>
            <w:vAlign w:val="center"/>
          </w:tcPr>
          <w:p>
            <w:pPr>
              <w:spacing w:after="30" w:before="0" w:line="240" w:lineRule="auto"/>
            </w:pPr>
            <w:r>
              <w:rPr>
                <w:rFonts w:ascii="Arial" w:cs="Arial" w:eastAsia="Arial" w:hAnsi="Arial"/>
                <w:i/>
                <w:iCs/>
                <w:color w:val="1B2A47"/>
                <w:sz w:val="18"/>
                <w:szCs w:val="18"/>
              </w:rPr>
              <w:t>SCORING NOTE: Scores are informed planning estimates based on team knowledge, technical review, the GPETE demonstration, and public platform research. They support, but do not replace, leadership judgment.</w:t>
            </w:r>
          </w:p>
        </w:tc>
      </w:tr>
    </w:tbl>
    <w:p>
      <w:pPr>
        <w:spacing w:after="60" w:before="60"/>
      </w:pPr>
      <w:r/>
    </w:p>
    <w:p>
      <w:pPr>
        <w:widowControl/>
        <w:spacing w:after="80" w:before="240"/>
      </w:pPr>
      <w:r>
        <w:rPr>
          <w:rFonts w:ascii="Arial" w:cs="Arial" w:eastAsia="Arial" w:hAnsi="Arial"/>
          <w:b/>
          <w:bCs/>
          <w:color w:val="2E5F8A"/>
          <w:sz w:val="24"/>
          <w:szCs w:val="24"/>
        </w:rPr>
        <w:t>8.2 Criteria, Weights,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c>
          <w:tcPr>
            <w:tcW w:type="dxa" w:w="3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Criterion</w:t>
            </w:r>
          </w:p>
        </w:tc>
        <w:tc>
          <w:tcPr>
            <w:tcW w:type="dxa" w:w="1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Weight (of 100)</w:t>
            </w:r>
          </w:p>
        </w:tc>
        <w:tc>
          <w:tcPr>
            <w:tcW w:type="dxa" w:w="49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Rationale</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Dashboard Requirements Fit</w:t>
            </w:r>
          </w:p>
        </w:tc>
        <w:tc>
          <w:tcPr>
            <w:tcW w:type="dxa" w:w="1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20</w:t>
            </w:r>
          </w:p>
        </w:tc>
        <w:tc>
          <w:tcPr>
            <w:tcW w:type="dxa" w:w="4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Core functional question — does the alternative solve the stated problem? Given highest weight as the primary mission driver.</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Ease and Speed of Implementation</w:t>
            </w:r>
          </w:p>
        </w:tc>
        <w:tc>
          <w:tcPr>
            <w:tcW w:type="dxa" w:w="1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15</w:t>
            </w:r>
          </w:p>
        </w:tc>
        <w:tc>
          <w:tcPr>
            <w:tcW w:type="dxa" w:w="4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The internship is approximately eight weeks; a viable prototype must be achievable within that window.</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Integration with Existing Environment (IL5/Flank Speed)</w:t>
            </w:r>
          </w:p>
        </w:tc>
        <w:tc>
          <w:tcPr>
            <w:tcW w:type="dxa" w:w="1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15</w:t>
            </w:r>
          </w:p>
        </w:tc>
        <w:tc>
          <w:tcPr>
            <w:tcW w:type="dxa" w:w="4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The team already operates inside Flank Speed at IL5. Tools native to that environment start from an already-approved position at zero additional setup cost.</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Security and Access Control</w:t>
            </w:r>
          </w:p>
        </w:tc>
        <w:tc>
          <w:tcPr>
            <w:tcW w:type="dxa" w:w="1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15</w:t>
            </w:r>
          </w:p>
        </w:tc>
        <w:tc>
          <w:tcPr>
            <w:tcW w:type="dxa" w:w="4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CAC/PIV authentication, role-based access, and IL5 data protection are non-negotiable for a shared system handling sensitive program data.</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Maintainability and Sustainment</w:t>
            </w:r>
          </w:p>
        </w:tc>
        <w:tc>
          <w:tcPr>
            <w:tcW w:type="dxa" w:w="1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15</w:t>
            </w:r>
          </w:p>
        </w:tc>
        <w:tc>
          <w:tcPr>
            <w:tcW w:type="dxa" w:w="4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The intern departs; the tool must be maintainable by whoever remains, and must not become a single-point-of-failure.</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Reporting and Visualization Quality</w:t>
            </w:r>
          </w:p>
        </w:tc>
        <w:tc>
          <w:tcPr>
            <w:tcW w:type="dxa" w:w="1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10</w:t>
            </w:r>
          </w:p>
        </w:tc>
        <w:tc>
          <w:tcPr>
            <w:tcW w:type="dxa" w:w="4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The IPT Lead needs a view that communicates clearly at the portfolio level, not just a raw data table.</w:t>
            </w:r>
          </w:p>
        </w:tc>
      </w:tr>
      <w:tr>
        <w:trPr/>
        <w:tc>
          <w:tcPr>
            <w:tcW w:type="dxa" w:w="3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Scalability and Future Growth</w:t>
            </w:r>
          </w:p>
        </w:tc>
        <w:tc>
          <w:tcPr>
            <w:tcW w:type="dxa" w:w="1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5</w:t>
            </w:r>
          </w:p>
        </w:tc>
        <w:tc>
          <w:tcPr>
            <w:tcW w:type="dxa" w:w="4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Architecture should not be a dead end, but scalability is secondary to producing something functional now.</w:t>
            </w:r>
          </w:p>
        </w:tc>
      </w:tr>
      <w:tr>
        <w:trPr/>
        <w:tc>
          <w:tcPr>
            <w:tcW w:type="dxa" w:w="3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Cost and Licensing Burden</w:t>
            </w:r>
          </w:p>
        </w:tc>
        <w:tc>
          <w:tcPr>
            <w:tcW w:type="dxa" w:w="1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5</w:t>
            </w:r>
          </w:p>
        </w:tc>
        <w:tc>
          <w:tcPr>
            <w:tcW w:type="dxa" w:w="4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Licensing is a real constraint but unlikely to be the deciding factor given existing Flank Speed access.</w:t>
            </w:r>
          </w:p>
        </w:tc>
      </w:tr>
      <w:tr>
        <w:trPr/>
        <w:tc>
          <w:tcPr>
            <w:tcW w:type="dxa" w:w="3200"/>
            <w:tcBorders>
              <w:top w:val="single" w:color="CCCCCC" w:sz="4"/>
              <w:left w:val="single" w:color="CCCCCC" w:sz="4"/>
              <w:bottom w:val="single" w:color="CCCCCC" w:sz="4"/>
              <w:right w:val="single" w:color="CCCCCC" w:sz="4"/>
            </w:tcBorders>
            <w:shd w:fill="DCE1E2"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TOTAL</w:t>
            </w:r>
          </w:p>
        </w:tc>
        <w:tc>
          <w:tcPr>
            <w:tcW w:type="dxa" w:w="1200"/>
            <w:tcBorders>
              <w:top w:val="single" w:color="CCCCCC" w:sz="4"/>
              <w:left w:val="single" w:color="CCCCCC" w:sz="4"/>
              <w:bottom w:val="single" w:color="CCCCCC" w:sz="4"/>
              <w:right w:val="single" w:color="CCCCCC" w:sz="4"/>
            </w:tcBorders>
            <w:shd w:fill="DCE1E2"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1B2A47"/>
                <w:sz w:val="18"/>
                <w:szCs w:val="18"/>
              </w:rPr>
              <w:t xml:space="preserve">100</w:t>
            </w:r>
          </w:p>
        </w:tc>
        <w:tc>
          <w:tcPr>
            <w:tcW w:type="dxa" w:w="4960"/>
            <w:tcBorders>
              <w:top w:val="single" w:color="CCCCCC" w:sz="4"/>
              <w:left w:val="single" w:color="CCCCCC" w:sz="4"/>
              <w:bottom w:val="single" w:color="CCCCCC" w:sz="4"/>
              <w:right w:val="single" w:color="CCCCCC" w:sz="4"/>
            </w:tcBorders>
            <w:shd w:fill="DCE1E2"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Maximum achievable score: 500 points.</w:t>
            </w:r>
          </w:p>
        </w:tc>
      </w:tr>
    </w:tbl>
    <w:p>
      <w:r/>
    </w:p>
    <w:p>
      <w:pPr>
        <w:widowControl/>
        <w:pBdr>
          <w:bottom w:val="single" w:color="BF9000" w:sz="8" w:space="4"/>
        </w:pBdr>
        <w:spacing w:after="0" w:before="360"/>
      </w:pPr>
      <w:r>
        <w:rPr>
          <w:rFonts w:ascii="Arial" w:cs="Arial" w:eastAsia="Arial" w:hAnsi="Arial"/>
          <w:b/>
          <w:bCs/>
          <w:caps/>
          <w:color w:val="1B2A47"/>
          <w:sz w:val="28"/>
          <w:szCs w:val="28"/>
        </w:rPr>
        <w:t>9. Alternative Screening</w:t>
      </w:r>
    </w:p>
    <w:p>
      <w:pPr>
        <w:spacing w:after="80" w:before="80"/>
      </w:pPr>
      <w:r/>
    </w:p>
    <w:p>
      <w:pPr>
        <w:widowControl/>
        <w:spacing w:after="80" w:before="40"/>
      </w:pPr>
      <w:r>
        <w:rPr>
          <w:rFonts w:ascii="Arial" w:cs="Arial" w:eastAsia="Arial" w:hAnsi="Arial"/>
          <w:sz w:val="20"/>
          <w:szCs w:val="20"/>
        </w:rPr>
        <w:t>Alternatives had to operate within NMCI/Flank Speed IL5, or justify a separate environment, and produce useful output within the internship. Options failing either threshold were retained only as strategic reference points.</w:t>
      </w:r>
    </w:p>
    <w:p>
      <w:pPr>
        <w:spacing w:after="60" w:before="6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c>
          <w:tcPr>
            <w:tcW w:type="dxa" w:w="26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Alternative</w:t>
            </w:r>
          </w:p>
        </w:tc>
        <w:tc>
          <w:tcPr>
            <w:tcW w:type="dxa" w:w="16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Disposition</w:t>
            </w:r>
          </w:p>
        </w:tc>
        <w:tc>
          <w:tcPr>
            <w:tcW w:type="dxa" w:w="51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Rationale</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1 — Status Quo</w:t>
            </w:r>
          </w:p>
        </w:tc>
        <w:tc>
          <w:tcPr>
            <w:tcW w:type="dxa" w:w="16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Retained (Baseline)</w:t>
            </w:r>
          </w:p>
        </w:tc>
        <w:tc>
          <w:tcPr>
            <w:tcW w:type="dxa" w:w="5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Establishes the baseline against which all alternatives are measured. Not a viable path forward but required for comparative completeness.</w:t>
            </w:r>
          </w:p>
        </w:tc>
      </w:tr>
      <w:tr>
        <w:trPr/>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2 — Power Apps / Power Platform</w:t>
            </w:r>
          </w:p>
        </w:tc>
        <w:tc>
          <w:tcPr>
            <w:tcW w:type="dxa" w:w="16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Strong Candidate</w:t>
            </w:r>
          </w:p>
        </w:tc>
        <w:tc>
          <w:tcPr>
            <w:tcW w:type="dxa" w:w="5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Fully native to Flank Speed at IL5; runs inside the team's existing environment at zero additional cost. Confirmed viable by the GPETE demonstration. Second-highest weighted score (405/500).</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3 — Firepit/Forge</w:t>
            </w:r>
          </w:p>
        </w:tc>
        <w:tc>
          <w:tcPr>
            <w:tcW w:type="dxa" w:w="1600"/>
            <w:tcBorders>
              <w:top w:val="single" w:color="CCCCCC" w:sz="4"/>
              <w:left w:val="single" w:color="CCCCCC" w:sz="4"/>
              <w:bottom w:val="single" w:color="CCCCCC" w:sz="4"/>
              <w:right w:val="single" w:color="CCCCCC" w:sz="4"/>
            </w:tcBorders>
            <w:shd w:fill="375623"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7"/>
                <w:szCs w:val="18"/>
              </w:rPr>
              <w:t>Recommended</w:t>
            </w:r>
          </w:p>
        </w:tc>
        <w:tc>
          <w:tcPr>
            <w:tcW w:type="dxa" w:w="5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Also fully native to Flank Speed at IL5 (SPFx web part hosted in SharePoint); already a functioning, deployed Navy tool, not a hypothetical option. Highest weighted score (455/500). Generates its own RMF/security documentation as a normal part of the build process.</w:t>
            </w:r>
          </w:p>
        </w:tc>
      </w:tr>
      <w:tr>
        <w:trPr/>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4 — Confluence/Jira (Atlassian Gov Cloud)</w:t>
            </w:r>
          </w:p>
        </w:tc>
        <w:tc>
          <w:tcPr>
            <w:tcW w:type="dxa" w:w="16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Screened Out</w:t>
            </w:r>
          </w:p>
        </w:tc>
        <w:tc>
          <w:tcPr>
            <w:tcW w:type="dxa" w:w="5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Sits entirely outside Flank Speed as a separately hosted, separately licensed environment outside IL5 boundary. A self-hosted Data Center variant was also considered but is disqualified: Atlassian ended new Data Center license sales as of March 30, 2026, ahead of full end-of-life by March 28, 2029. Neither variant is viable for a new deployment.</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5 — Custom Web Application</w:t>
            </w:r>
          </w:p>
        </w:tc>
        <w:tc>
          <w:tcPr>
            <w:tcW w:type="dxa" w:w="16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Screened Out</w:t>
            </w:r>
          </w:p>
        </w:tc>
        <w:tc>
          <w:tcPr>
            <w:tcW w:type="dxa" w:w="5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Requires standing up and independently securing a new hosting environment plus a dedicated developer with appropriate access. Redundant with capability Flank Speed already provides at zero marginal platform cost.</w:t>
            </w:r>
          </w:p>
        </w:tc>
      </w:tr>
      <w:tr>
        <w:trPr/>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6 — ServiceNow NSC</w:t>
            </w:r>
          </w:p>
        </w:tc>
        <w:tc>
          <w:tcPr>
            <w:tcW w:type="dxa" w:w="16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Screened Out</w:t>
            </w:r>
          </w:p>
        </w:tc>
        <w:tc>
          <w:tcPr>
            <w:tcW w:type="dxa" w:w="5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Capable external platform but fails on cost and procurement proportionality for a team of this size: quote-based enterprise licensing, a government procurement cycle, and a second separately-administered environment outside Flank Speed. Retained as the strongest external reference point.</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7 — Salesforce Gov Cloud+</w:t>
            </w:r>
          </w:p>
        </w:tc>
        <w:tc>
          <w:tcPr>
            <w:tcW w:type="dxa" w:w="16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Screened Out</w:t>
            </w:r>
          </w:p>
        </w:tc>
        <w:tc>
          <w:tcPr>
            <w:tcW w:type="dxa" w:w="5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 CRM platform, not purpose-built for project/portfolio management; requires heavy customization plus premium licensing above base cost. A second non-Microsoft reference point confirming the external-SaaS category was evaluated on its strongest available representatives.</w:t>
            </w:r>
          </w:p>
        </w:tc>
      </w:tr>
    </w:tbl>
    <w:p>
      <w:r/>
    </w:p>
    <w:p>
      <w:pPr>
        <w:widowControl/>
        <w:pBdr>
          <w:bottom w:val="single" w:color="BF9000" w:sz="8" w:space="4"/>
        </w:pBdr>
        <w:spacing w:after="0" w:before="360"/>
      </w:pPr>
      <w:r>
        <w:rPr>
          <w:rFonts w:ascii="Arial" w:cs="Arial" w:eastAsia="Arial" w:hAnsi="Arial"/>
          <w:b/>
          <w:bCs/>
          <w:caps/>
          <w:color w:val="1B2A47"/>
          <w:sz w:val="28"/>
          <w:szCs w:val="28"/>
        </w:rPr>
        <w:t>10. Alternatives Considered</w:t>
      </w:r>
    </w:p>
    <w:p>
      <w:pPr>
        <w:spacing w:after="80" w:before="80"/>
      </w:pPr>
      <w:r/>
    </w:p>
    <w:p>
      <w:pPr>
        <w:widowControl/>
        <w:spacing w:after="80" w:before="240"/>
      </w:pPr>
      <w:r>
        <w:rPr>
          <w:rFonts w:ascii="Arial" w:cs="Arial" w:eastAsia="Arial" w:hAnsi="Arial"/>
          <w:b/>
          <w:bCs/>
          <w:color w:val="2E5F8A"/>
          <w:sz w:val="24"/>
          <w:szCs w:val="24"/>
        </w:rPr>
        <w:t>10.1 Alternative 1 — Status Quo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Description</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No change. The IPT Lead continues to collect information manually from each team member. Reporting continues to require individual re-entry across multiple formats.</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Advantages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No implementation effort required. No risk of building the wrong thing. Zero cost.</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Disadvantages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Does not address the stated capability gap. Manual collection continues to consume leadership and PM time. Data quality remains inconsistent. Continuity risk increases as team members turn over.</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Cost / Licensing</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No new cost.</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Security / Access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 change; data remains dispersed across personal files and SharePoint.</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Sustainment Risk</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 — every manual process must be repeated indefinitely; no institutional data structure is created.</w:t>
            </w:r>
          </w:p>
        </w:tc>
      </w:tr>
    </w:tbl>
    <w:p>
      <w:pPr>
        <w:spacing w:after="80" w:before="80"/>
      </w:pPr>
      <w:r/>
    </w:p>
    <w:p>
      <w:pPr>
        <w:pageBreakBefore/>
        <w:widowControl/>
        <w:spacing w:after="80" w:before="240"/>
      </w:pPr>
      <w:r>
        <w:rPr>
          <w:rFonts w:ascii="Arial" w:cs="Arial" w:eastAsia="Arial" w:hAnsi="Arial"/>
          <w:b/>
          <w:bCs/>
          <w:color w:val="2E5F8A"/>
          <w:sz w:val="24"/>
          <w:szCs w:val="24"/>
        </w:rPr>
        <w:t>10.2 Alternative 2 — Power Apps / Power Platform (Native Microsoft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Description</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SharePoint Online as the data backbone; Power Apps (Canvas) as the controlled data-entry and per-project detail interface; Power BI as the leadership reporting and visualization layer; Power Automate for notifications and workflow automation, limited to confirmed-available NMCI actions.</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IL5 / Environment</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Fully native to Flank Speed; inherits IL5 authorization automatically. No new environment, hosting, or ATO required.</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Advantages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Builds on what already exists (project tracker lists, partial Power BI workspace). Confirmed viable in NMCI by the GPETE peer-team demonstration. SharePoint lists maintainable by any user without developer access. Power BI provides mature, no-code reporting once data is modeled.</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Disadvantages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Requires integrating three separate Microsoft tools (SharePoint + Power Apps + Power BI) into one coherent experience — real assembly work. Each layer has its own NMCI feature restrictions that surface mid-build (as confirmed with the Power Automate Word template action). Power Apps canvas-app development for a full per-project detail experience is significant effort with a proprietary skill set that is harder to find than mainstream web development skills.</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Cost / Licensing</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None above current Flank Speed entitlements. Dataverse migration, if pursued later, requires Echelon 2 approval and premium per-user licensing not currently available.</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Security / Access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Strong — native Power Platform role-based security model; CAC/PIV authentication inherited from Flank Speed.</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Sustainment Risk</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Moderate — SharePoint maintainable by any user; Power Apps and Power BI changes require proprietary platform skill. Dataverse migration still depends on Echelon 2 approval timelines outside the team's control.</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Key Risks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Scope creep across three tools. Flow/app ownership after intern departure. NMCI feature restrictions discovered mid-build. Data owners not maintaining fields.</w:t>
            </w:r>
          </w:p>
        </w:tc>
      </w:tr>
    </w:tbl>
    <w:p>
      <w:pPr>
        <w:spacing w:after="80" w:before="80"/>
      </w:pPr>
      <w:r/>
    </w:p>
    <w:p>
      <w:pPr>
        <w:widowControl/>
        <w:spacing w:after="80" w:before="240"/>
      </w:pPr>
      <w:r>
        <w:rPr>
          <w:rFonts w:ascii="Arial" w:cs="Arial" w:eastAsia="Arial" w:hAnsi="Arial"/>
          <w:b/>
          <w:bCs/>
          <w:color w:val="2E5F8A"/>
          <w:sz w:val="24"/>
          <w:szCs w:val="24"/>
        </w:rPr>
        <w:t>10.3 Alternative 3 — Firepit/Forge (Navy-Built SPFx Application Framework) — RECOMMENDED</w:t>
      </w:r>
    </w:p>
    <w:p>
      <w:pPr>
        <w:widowControl/>
        <w:spacing w:after="80" w:before="40"/>
      </w:pPr>
      <w:r>
        <w:rPr>
          <w:rFonts w:ascii="Arial" w:cs="Arial" w:eastAsia="Arial" w:hAnsi="Arial"/>
          <w:sz w:val="20"/>
          <w:szCs w:val="20"/>
        </w:rPr>
        <w:t>This alternative is based on review of the Forge authoring tool, two production Firepit deployment packages, and the TypeScript web-part source. Technical claims are drawn from that review unless noted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Description</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 two-part system built within Navy NAVWAR PEO Digital. Firepit is a SharePoint Framework (SPFx) web part that loads a single self-contained HTML file into a sandboxed iframe on a SharePoint page. Forge is a large (~8MB) browser IDE that runs entirely offline, providing a code editor, an AI coding agent ("Prometheus"), version checkpointing, a built-in security auditor, and a compiler that packages a multi-file React project into the single file Firepit expects.</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IL5 / Environment</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Fully native to Flank Speed; deploys as a standard SPFx package to a SharePoint site. Inherits IL5 authorization automatically. No new environment, hosting, or ATO required. Already deployed to a NAVWAR PEO Digital SharePoint site in two production versions (7.0.7.0 and 7.1.0.0).</w:t>
            </w:r>
          </w:p>
        </w:tc>
      </w:tr>
      <w:tr>
        <w:trPr>
          <w:cantSplit/>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Security Architecture</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Purpose-built five-layer guard family: Content-Security-Policy; link-hint guard; query-parameter/navigation guard targeting exfiltration through URL parameters; network guard allow-listing every outbound fetch/XHR/WebSocket/EventSource/sendBeacon call; and context/bridge injection. Applied independently at both build time (Forge) and render time (Firepit). Built-in Security Reviewer generates a detailed security summary and Software Bill of Materials (SBOM) before any app ships — exactly the kind of documentation a formal security review asks for.</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Advantages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One unified application shell rather than three separate Microsoft tools. React front end (industry-standard; much larger developer pool than Power Apps' proprietary canvas tooling). Self-provisioning package auto-creates SharePoint lists on deployment — redeployable to any IPT within TTSD, and with minor tweaks across NAVWAR. Built-in decompiler keeps shipped application maintainable after handoff without external version control. AI coding agent restricted by default to approved government-appropriate backends.</w:t>
            </w:r>
          </w:p>
        </w:tc>
      </w:tr>
      <w:tr>
        <w:trPr>
          <w:cantSplit/>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Disadvantages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Niche, internally-built tool without a public support contract or documented SLA. Role-based field-level data permissions must be implemented separately via SharePoint list permissions or in-application logic. Built-in client-side data store is not appropriate for concurrent multi-team editing — SharePoint Lists are the correct system of record.</w:t>
            </w:r>
            <w:r>
              <w:t xml:space="preserve"> The current AEWTTR SharePoint Online site has 100 GB of storage and is approximately 60% utilized. This is not an immediate constraint, but storage growth must be monitored. The team should pursue a dedicated SharePoint site collection for the application, providing 1 TB of storage and allowing the app to use that site collection directly.</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Cost / Licensing</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None above current Flank Speed entitlements. Forge is a free offline authoring tool with no server-side or subscription cost identified.</w:t>
            </w:r>
          </w:p>
        </w:tc>
      </w:tr>
      <w:tr>
        <w:trPr>
          <w:cantSplit/>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Sustainment Risk</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Low to moderate — React's large developer pool, combined with Forge's built-in decompiler (any shipped app can be pulled back into an editable project), substantially reduce the usual risks of compiled single-developer artifacts.</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Key Risks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Long-term support relationship with NAVWAR PEO Digital originating organization is unconfirmed. Role-based access and most visualization work must be built by hand rather than obtained from a built-in tool like Power BI.</w:t>
            </w:r>
            <w:r>
              <w:t xml:space="preserve"> SharePoint storage could become constrained as the application and its data grow; the current site is approximately 60% of its 100 GB capacity. Plan for a dedicated 1 TB SharePoint site collection.</w:t>
            </w:r>
          </w:p>
        </w:tc>
      </w:tr>
    </w:tbl>
    <w:p>
      <w:pPr>
        <w:spacing w:after="80" w:before="80"/>
      </w:pPr>
      <w:r/>
    </w:p>
    <w:p>
      <w:pPr>
        <w:widowControl/>
        <w:spacing w:after="80" w:before="240"/>
      </w:pPr>
      <w:r>
        <w:rPr>
          <w:rFonts w:ascii="Arial" w:cs="Arial" w:eastAsia="Arial" w:hAnsi="Arial"/>
          <w:b/>
          <w:bCs/>
          <w:color w:val="2E5F8A"/>
          <w:sz w:val="24"/>
          <w:szCs w:val="24"/>
        </w:rPr>
        <w:t>10.4 Alternative 4 — Atlassian Confluence / Jira (Government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Description</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r>
              <w:t>Atlassian Jira and Confluence through Government Cloud, a separately hosted and licensed environment. Contractors already use Jira, providing user familiarity.</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IL5 / Environment</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r>
              <w:t>Disqualified: Government Cloud is outside the existing Flank Speed IL5 boundary and would require separate accounts, security review, administration, and licensing.</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Self-Hosted Variant (Data Center)</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r>
              <w:t>Also disqualified: Atlassian ended new Data Center license sales on March 30, 2026, with end-of-life on March 28, 2029. It is unavailable for new deployments, and self-hosting would require the team to secure, patch, and operate its own server.</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Advantages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r>
              <w:t>Mature project and knowledge management with strong reporting and commercial support; contractors already know Jira.</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Disadvantages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r>
              <w:t>Both variants are disqualified: cloud adds a separate environment outside IL5; Data Center is unavailable for new deployments and requires server operations.</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Cost / Licensing</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r>
              <w:t>New recurring licensing cost; no AEWTTR budget line identified; procurement adds lead time.</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Sustainment Risk</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r>
              <w:t>Low for cloud, but it requires a second separately governed environment, creating governance and compliance risk.</w:t>
            </w:r>
          </w:p>
        </w:tc>
      </w:tr>
    </w:tbl>
    <w:p>
      <w:pPr>
        <w:spacing w:after="80" w:before="80"/>
      </w:pPr>
      <w:r/>
    </w:p>
    <w:p>
      <w:pPr>
        <w:pageBreakBefore/>
        <w:widowControl/>
        <w:spacing w:after="80" w:before="240"/>
      </w:pPr>
      <w:r>
        <w:rPr>
          <w:rFonts w:ascii="Arial" w:cs="Arial" w:eastAsia="Arial" w:hAnsi="Arial"/>
          <w:b/>
          <w:bCs/>
          <w:color w:val="2E5F8A"/>
          <w:sz w:val="24"/>
          <w:szCs w:val="24"/>
        </w:rPr>
        <w:t>10.5 Alternative 5 — Custom Web Application (External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Description</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 custom-built web application hosted outside Microsoft 365 / Flank Speed, using a framework such as Python/Django, React, or similar technology on infrastructure such as Azure Government (DoD regions) or AWS GovCloud.</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IL5 / Environment</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Infrastructure-level security credentials (e.g., Azure Government authorization) do not transfer automatically to an application built on that infrastructure. Any application deployed on top requires its own independent security review before it can be trusted with program data. This is a distinct, separately-secured environment — not an extension of the team's existing Flank Speed boundary.</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Advantages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Maximum technical flexibility. No dependency on Microsoft 365 feature availability. Designed precisely to requirements.</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Disadvantages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Requires an approved hosting environment, a separate independent security review process, a dedicated developer with appropriate access and clearance, and ongoing hosting costs — for capability that Flank Speed already provides at zero marginal cost. DREN account access was described as uncertain within the internship timeline.</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Cost / Licensing</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Highest of all options — hosting infrastructure, ongoing developer support, and a new security review, largely duplicating what Flank Speed's existing environment already covers.</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Sustainment Risk</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Highest of all options — requires a dedicated developer to maintain, patch, and update indefinitely with no existing internal capability.</w:t>
            </w:r>
          </w:p>
        </w:tc>
      </w:tr>
    </w:tbl>
    <w:p>
      <w:pPr>
        <w:spacing w:after="80" w:before="80"/>
      </w:pPr>
      <w:r/>
    </w:p>
    <w:p>
      <w:pPr>
        <w:widowControl/>
        <w:spacing w:after="80" w:before="240"/>
      </w:pPr>
      <w:r>
        <w:rPr>
          <w:rFonts w:ascii="Arial" w:cs="Arial" w:eastAsia="Arial" w:hAnsi="Arial"/>
          <w:b/>
          <w:bCs/>
          <w:color w:val="2E5F8A"/>
          <w:sz w:val="24"/>
          <w:szCs w:val="24"/>
        </w:rPr>
        <w:t>10.6 Alternative 6 — ServiceNow National Security Cloud (External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Description</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ServiceNow National Security Cloud (NSC) — a government-focused SaaS/PaaS offering hosted on Microsoft Azure Government. Its Strategic Portfolio Management (SPM) capability directly covers portfolio and project tracking, per-project views, workflows, dashboards, and reporting. Its ITSM capability provides enterprise ticketing relevant given the team's contractors use Jira.</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IL5 / Environment</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NSC is hosted on a DoD-approved cloud environment but is a separately-administered system outside Flank Speed. The team would operate two distinct data environments — the existing Flank Speed environment and the NSC environment — duplicating governance overhead without a compensating capability gain available only through NSC.</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Advantages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The strongest external option evaluated. Purpose-built for portfolio management. Built-in enterprise ticketing could eventually absorb the contractor Jira workflow. Commercially supported. Mature role-based access control out of the box.</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Disadvantages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Quote-based enterprise licensing with no identified AEWTTR budget line; pricing is opaque and generally sized for enterprise-scale deployments disproportionate for ~15 personnel. Procurement through a government reseller adds lead time. Would introduce a second, separately-governed environment outside Flank Speed.</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Cost / Licensing</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 — new recurring enterprise licensing, procurement costs, and ongoing contract management for capability the team can build inside Flank Speed at zero marginal platform cost.</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Sustainment Risk</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Low if adopted (commercially supported SaaS), but sustainment shifts from technical maintenance to license and contract management requiring a permanent owner and budget line.</w:t>
            </w:r>
          </w:p>
        </w:tc>
      </w:tr>
    </w:tbl>
    <w:p>
      <w:pPr>
        <w:spacing w:after="80" w:before="80"/>
      </w:pPr>
      <w:r/>
    </w:p>
    <w:p>
      <w:pPr>
        <w:pageBreakBefore/>
        <w:widowControl/>
        <w:spacing w:after="80" w:before="240"/>
      </w:pPr>
      <w:r>
        <w:rPr>
          <w:rFonts w:ascii="Arial" w:cs="Arial" w:eastAsia="Arial" w:hAnsi="Arial"/>
          <w:b/>
          <w:bCs/>
          <w:color w:val="2E5F8A"/>
          <w:sz w:val="24"/>
          <w:szCs w:val="24"/>
        </w:rPr>
        <w:t>10.7 Alternative 7 — Salesforce Government Cloud Plus (External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Description</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Salesforce Government Cloud Plus — Salesforce's U.S. government cloud offering built on the core Salesforce CRM platform. Evaluated as a second non-Microsoft external SaaS reference point alongside Alternative 6 so that the external-SaaS category is not judged against a single vendor.</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IL5 / Environment</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Same external-environment concern as Alternative 6 — a second, separately administered system outside Flank Speed.</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Advantages</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Mature enterprise security. Strong native reporting once data is modeled. Very large commercial administrator and developer talent pool.</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Disadvantages</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Fundamentally a CRM platform, not a purpose-built project or portfolio management tool. Unlike ServiceNow NSC, there is no purpose-built portfolio module; project tracking must be built on top of a data model designed for customer and case records. Premium licensing tiers above the Government Cloud Plus base cost for the customization and reporting capability this use case requires.</w:t>
            </w:r>
          </w:p>
        </w:tc>
      </w:tr>
      <w:tr>
        <w:trPr/>
        <w:tc>
          <w:tcPr>
            <w:tcW w:type="dxa" w:w="2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Cost / Licensing</w:t>
            </w:r>
          </w:p>
        </w:tc>
        <w:tc>
          <w:tcPr>
            <w:tcW w:type="dxa" w:w="6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 — premium licensing above base tier plus procurement and ongoing contract management for capability available inside Flank Speed at zero marginal cost.</w:t>
            </w:r>
          </w:p>
        </w:tc>
      </w:tr>
      <w:tr>
        <w:trPr/>
        <w:tc>
          <w:tcPr>
            <w:tcW w:type="dxa" w:w="2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Sustainment Risk</w:t>
            </w:r>
          </w:p>
        </w:tc>
        <w:tc>
          <w:tcPr>
            <w:tcW w:type="dxa" w:w="6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Moderate — commercially supported SaaS, but the custom project/portfolio data model built on top of the CRM would need a Salesforce administrator with specialized skill in addition to license/contract management.</w:t>
            </w:r>
          </w:p>
        </w:tc>
      </w:tr>
    </w:tbl>
    <w:p>
      <w:r/>
    </w:p>
    <w:p>
      <w:pPr>
        <w:widowControl/>
        <w:pBdr>
          <w:bottom w:val="single" w:color="BF9000" w:sz="8" w:space="4"/>
        </w:pBdr>
        <w:spacing w:after="0" w:before="360"/>
      </w:pPr>
      <w:r>
        <w:rPr>
          <w:rFonts w:ascii="Arial" w:cs="Arial" w:eastAsia="Arial" w:hAnsi="Arial"/>
          <w:b/>
          <w:bCs/>
          <w:caps/>
          <w:color w:val="1B2A47"/>
          <w:sz w:val="28"/>
          <w:szCs w:val="28"/>
        </w:rPr>
        <w:t>11. Evaluation Matrix — 500-Point Scoring</w:t>
      </w:r>
    </w:p>
    <w:p>
      <w:pPr>
        <w:spacing w:after="80" w:before="80"/>
      </w:pPr>
      <w:r/>
    </w:p>
    <w:p>
      <w:pPr>
        <w:widowControl/>
        <w:spacing w:after="80" w:before="40"/>
      </w:pPr>
      <w:r>
        <w:rPr>
          <w:rFonts w:ascii="Arial" w:cs="Arial" w:eastAsia="Arial" w:hAnsi="Arial"/>
          <w:sz w:val="20"/>
          <w:szCs w:val="20"/>
        </w:rPr>
        <w:t>Scores are on a 1–5 scale per criterion, multiplied by the criterion weight (out of 100). Weighted scores are shown in parentheses. Maximum score: 500 points. Color coding: Green ≥ 420; Amber 350–419; Red &lt; 350.</w:t>
      </w:r>
    </w:p>
    <w:p>
      <w:pPr>
        <w:spacing w:after="60" w:before="6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900"/>
        <w:gridCol w:w="900"/>
        <w:gridCol w:w="900"/>
        <w:gridCol w:w="900"/>
        <w:gridCol w:w="900"/>
        <w:gridCol w:w="700"/>
        <w:gridCol w:w="700"/>
        <w:gridCol w:w="700"/>
        <w:gridCol w:w="940"/>
      </w:tblGrid>
      <w:tr>
        <w:trPr/>
        <w:tc>
          <w:tcPr>
            <w:tcW w:type="dxa" w:w="1820"/>
            <w:tcBorders>
              <w:top w:val="single" w:color="1B2A47" w:sz="4"/>
              <w:left w:val="single" w:color="1B2A47" w:sz="4"/>
              <w:bottom w:val="single" w:color="1B2A47" w:sz="4"/>
              <w:right w:val="single" w:color="1B2A47" w:sz="4"/>
            </w:tcBorders>
            <w:shd w:fill="1B2A47"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Alternative</w:t>
            </w:r>
          </w:p>
        </w:tc>
        <w:tc>
          <w:tcPr>
            <w:tcW w:type="dxa" w:w="9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Req.</w:t>
              <w:br/>
              <w:t>(×20)</w:t>
            </w:r>
          </w:p>
        </w:tc>
        <w:tc>
          <w:tcPr>
            <w:tcW w:type="dxa" w:w="9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Speed</w:t>
              <w:br/>
              <w:t>(×15)</w:t>
            </w:r>
          </w:p>
        </w:tc>
        <w:tc>
          <w:tcPr>
            <w:tcW w:type="dxa" w:w="9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IL5/Env</w:t>
              <w:br/>
              <w:t>(×15)</w:t>
            </w:r>
          </w:p>
        </w:tc>
        <w:tc>
          <w:tcPr>
            <w:tcW w:type="dxa" w:w="9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Security</w:t>
              <w:br/>
              <w:t>(×15)</w:t>
            </w:r>
          </w:p>
        </w:tc>
        <w:tc>
          <w:tcPr>
            <w:tcW w:type="dxa" w:w="9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Sustain</w:t>
              <w:br/>
              <w:t>(×15)</w:t>
            </w:r>
          </w:p>
        </w:tc>
        <w:tc>
          <w:tcPr>
            <w:tcW w:type="dxa" w:w="7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Rptg</w:t>
              <w:br/>
              <w:t>(×10)</w:t>
            </w:r>
          </w:p>
        </w:tc>
        <w:tc>
          <w:tcPr>
            <w:tcW w:type="dxa" w:w="7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Scale</w:t>
              <w:br/>
              <w:t>(×5)</w:t>
            </w:r>
          </w:p>
        </w:tc>
        <w:tc>
          <w:tcPr>
            <w:tcW w:type="dxa" w:w="7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Cost</w:t>
              <w:br/>
              <w:t>(×5)</w:t>
            </w:r>
          </w:p>
        </w:tc>
        <w:tc>
          <w:tcPr>
            <w:tcW w:type="dxa" w:w="940"/>
            <w:tcBorders>
              <w:top w:val="single" w:color="1B2A47" w:sz="4"/>
              <w:left w:val="single" w:color="1B2A47" w:sz="4"/>
              <w:bottom w:val="single" w:color="1B2A47" w:sz="4"/>
              <w:right w:val="single" w:color="1B2A47" w:sz="4"/>
            </w:tcBorders>
            <w:shd w:fill="1B2A47"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TOTAL</w:t>
              <w:br/>
              <w:t>(/500)</w:t>
            </w:r>
          </w:p>
        </w:tc>
      </w:tr>
      <w:tr>
        <w:trPr/>
        <w:tc>
          <w:tcPr>
            <w:tcW w:type="dxa" w:w="1820"/>
            <w:tcBorders>
              <w:top w:val="single" w:color="BBBBBB" w:sz="4"/>
              <w:left w:val="single" w:color="BBBBBB" w:sz="4"/>
              <w:bottom w:val="single" w:color="BBBBBB" w:sz="4"/>
              <w:right w:val="single" w:color="BBBBBB" w:sz="4"/>
            </w:tcBorders>
            <w:shd w:fill="FFFFFF" w:val="clear"/>
            <w:tcMar>
              <w:top w:type="dxa" w:w="55"/>
              <w:left w:type="dxa" w:w="100"/>
              <w:bottom w:type="dxa" w:w="55"/>
              <w:right w:type="dxa" w:w="80"/>
              <w:start w:w="80" w:type="dxa"/>
              <w:end w:w="80" w:type="dxa"/>
            </w:tcMar>
            <w:vAlign w:val="center"/>
          </w:tcPr>
          <w:p>
            <w:pPr>
              <w:spacing w:before="0" w:after="30" w:line="240" w:lineRule="auto"/>
            </w:pPr>
            <w:r>
              <w:rPr>
                <w:rFonts w:ascii="Arial" w:cs="Arial" w:eastAsia="Arial" w:hAnsi="Arial"/>
                <w:b w:val="false"/>
                <w:bCs w:val="false"/>
                <w:sz w:val="17"/>
                <w:szCs w:val="17"/>
              </w:rPr>
              <w:t xml:space="preserve">1 — Status Quo</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(20)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(75)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(75)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(45)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(45)</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(10)</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(5)</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(25)</w:t>
            </w:r>
          </w:p>
        </w:tc>
        <w:tc>
          <w:tcPr>
            <w:tcW w:type="dxa" w:w="940"/>
            <w:tcBorders>
              <w:top w:val="single" w:color="BBBBBB" w:sz="4"/>
              <w:left w:val="single" w:color="BBBBBB" w:sz="4"/>
              <w:bottom w:val="single" w:color="BBBBBB" w:sz="4"/>
              <w:right w:val="single" w:color="BBBBBB" w:sz="4"/>
            </w:tcBorders>
            <w:shd w:fill="C00000"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b/>
                <w:bCs/>
                <w:color w:val="FFFFFF"/>
                <w:sz w:val="18"/>
                <w:szCs w:val="18"/>
              </w:rPr>
              <w:t>300</w:t>
            </w:r>
          </w:p>
        </w:tc>
      </w:tr>
      <w:tr>
        <w:trPr/>
        <w:tc>
          <w:tcPr>
            <w:tcW w:type="dxa" w:w="1820"/>
            <w:tcBorders>
              <w:top w:val="single" w:color="BBBBBB" w:sz="4"/>
              <w:left w:val="single" w:color="BBBBBB" w:sz="4"/>
              <w:bottom w:val="single" w:color="BBBBBB" w:sz="4"/>
              <w:right w:val="single" w:color="BBBBBB" w:sz="4"/>
            </w:tcBorders>
            <w:shd w:fill="F2F1EC" w:val="clear"/>
            <w:tcMar>
              <w:top w:type="dxa" w:w="55"/>
              <w:left w:type="dxa" w:w="100"/>
              <w:bottom w:type="dxa" w:w="55"/>
              <w:right w:type="dxa" w:w="80"/>
              <w:start w:w="80" w:type="dxa"/>
              <w:end w:w="80" w:type="dxa"/>
            </w:tcMar>
            <w:vAlign w:val="center"/>
          </w:tcPr>
          <w:p>
            <w:pPr>
              <w:spacing w:before="0" w:after="30" w:line="240" w:lineRule="auto"/>
            </w:pPr>
            <w:r>
              <w:rPr>
                <w:rFonts w:ascii="Arial" w:cs="Arial" w:eastAsia="Arial" w:hAnsi="Arial"/>
                <w:b w:val="false"/>
                <w:bCs w:val="false"/>
                <w:sz w:val="17"/>
                <w:szCs w:val="17"/>
              </w:rPr>
              <w:t xml:space="preserve">2 — Power Apps</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(80)</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(45)</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(75)</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(60)</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(60)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(40)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(20)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(25)</w:t>
            </w:r>
          </w:p>
        </w:tc>
        <w:tc>
          <w:tcPr>
            <w:tcW w:type="dxa" w:w="940"/>
            <w:tcBorders>
              <w:top w:val="single" w:color="BBBBBB" w:sz="4"/>
              <w:left w:val="single" w:color="BBBBBB" w:sz="4"/>
              <w:bottom w:val="single" w:color="BBBBBB" w:sz="4"/>
              <w:right w:val="single" w:color="BBBBBB" w:sz="4"/>
            </w:tcBorders>
            <w:shd w:fill="BF8F00"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b/>
                <w:bCs/>
                <w:color w:val="FFFFFF"/>
                <w:sz w:val="18"/>
                <w:szCs w:val="18"/>
              </w:rPr>
              <w:t>405</w:t>
            </w:r>
          </w:p>
        </w:tc>
      </w:tr>
      <w:tr>
        <w:trPr/>
        <w:tc>
          <w:tcPr>
            <w:tcW w:type="dxa" w:w="1820"/>
            <w:tcBorders>
              <w:top w:val="single" w:color="BBBBBB" w:sz="4"/>
              <w:left w:val="single" w:color="BBBBBB" w:sz="4"/>
              <w:bottom w:val="single" w:color="BBBBBB" w:sz="4"/>
              <w:right w:val="single" w:color="BBBBBB" w:sz="4"/>
            </w:tcBorders>
            <w:shd w:fill="DCE1E2" w:val="clear"/>
            <w:tcMar>
              <w:top w:type="dxa" w:w="55"/>
              <w:left w:type="dxa" w:w="100"/>
              <w:bottom w:type="dxa" w:w="55"/>
              <w:right w:type="dxa" w:w="80"/>
              <w:start w:w="80" w:type="dxa"/>
              <w:end w:w="80" w:type="dxa"/>
            </w:tcMar>
            <w:vAlign w:val="center"/>
          </w:tcPr>
          <w:p>
            <w:pPr>
              <w:spacing w:before="0" w:after="30" w:line="240" w:lineRule="auto"/>
            </w:pPr>
            <w:r>
              <w:rPr>
                <w:rFonts w:ascii="Arial" w:cs="Arial" w:eastAsia="Arial" w:hAnsi="Arial"/>
                <w:b/>
                <w:bCs/>
                <w:sz w:val="17"/>
                <w:szCs w:val="17"/>
              </w:rPr>
              <w:t xml:space="preserve">3 — Firepit/Forge ★</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(80)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(75)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(60)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(75)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(75)</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(40)</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(25)</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(25)</w:t>
            </w:r>
          </w:p>
        </w:tc>
        <w:tc>
          <w:tcPr>
            <w:tcW w:type="dxa" w:w="940"/>
            <w:tcBorders>
              <w:top w:val="single" w:color="BBBBBB" w:sz="4"/>
              <w:left w:val="single" w:color="BBBBBB" w:sz="4"/>
              <w:bottom w:val="single" w:color="BBBBBB" w:sz="4"/>
              <w:right w:val="single" w:color="BBBBBB" w:sz="4"/>
            </w:tcBorders>
            <w:shd w:fill="375623"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b/>
                <w:bCs/>
                <w:color w:val="FFFFFF"/>
                <w:sz w:val="18"/>
                <w:szCs w:val="18"/>
              </w:rPr>
              <w:t>455</w:t>
            </w:r>
          </w:p>
        </w:tc>
      </w:tr>
      <w:tr>
        <w:trPr/>
        <w:tc>
          <w:tcPr>
            <w:tcW w:type="dxa" w:w="1820"/>
            <w:tcBorders>
              <w:top w:val="single" w:color="BBBBBB" w:sz="4"/>
              <w:left w:val="single" w:color="BBBBBB" w:sz="4"/>
              <w:bottom w:val="single" w:color="BBBBBB" w:sz="4"/>
              <w:right w:val="single" w:color="BBBBBB" w:sz="4"/>
            </w:tcBorders>
            <w:shd w:fill="F2F1EC" w:val="clear"/>
            <w:tcMar>
              <w:top w:type="dxa" w:w="55"/>
              <w:left w:type="dxa" w:w="100"/>
              <w:bottom w:type="dxa" w:w="55"/>
              <w:right w:type="dxa" w:w="80"/>
              <w:start w:w="80" w:type="dxa"/>
              <w:end w:w="80" w:type="dxa"/>
            </w:tcMar>
            <w:vAlign w:val="center"/>
          </w:tcPr>
          <w:p>
            <w:pPr>
              <w:spacing w:before="0" w:after="30" w:line="240" w:lineRule="auto"/>
            </w:pPr>
            <w:r>
              <w:rPr>
                <w:rFonts w:ascii="Arial" w:cs="Arial" w:eastAsia="Arial" w:hAnsi="Arial"/>
                <w:b w:val="false"/>
                <w:bCs w:val="false"/>
                <w:sz w:val="17"/>
                <w:szCs w:val="17"/>
              </w:rPr>
              <w:t xml:space="preserve">4 — Confluence/Jira</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(80)</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(45)</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(15)</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2 (30)</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(60)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(40)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(20)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2 (10)</w:t>
            </w:r>
          </w:p>
        </w:tc>
        <w:tc>
          <w:tcPr>
            <w:tcW w:type="dxa" w:w="940"/>
            <w:tcBorders>
              <w:top w:val="single" w:color="BBBBBB" w:sz="4"/>
              <w:left w:val="single" w:color="BBBBBB" w:sz="4"/>
              <w:bottom w:val="single" w:color="BBBBBB" w:sz="4"/>
              <w:right w:val="single" w:color="BBBBBB" w:sz="4"/>
            </w:tcBorders>
            <w:shd w:fill="C00000"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300</w:t>
            </w:r>
          </w:p>
        </w:tc>
      </w:tr>
      <w:tr>
        <w:trPr/>
        <w:tc>
          <w:tcPr>
            <w:tcW w:type="dxa" w:w="1820"/>
            <w:tcBorders>
              <w:top w:val="single" w:color="BBBBBB" w:sz="4"/>
              <w:left w:val="single" w:color="BBBBBB" w:sz="4"/>
              <w:bottom w:val="single" w:color="BBBBBB" w:sz="4"/>
              <w:right w:val="single" w:color="BBBBBB" w:sz="4"/>
            </w:tcBorders>
            <w:shd w:fill="FFFFFF" w:val="clear"/>
            <w:tcMar>
              <w:top w:type="dxa" w:w="55"/>
              <w:left w:type="dxa" w:w="100"/>
              <w:bottom w:type="dxa" w:w="55"/>
              <w:right w:type="dxa" w:w="80"/>
              <w:start w:w="80" w:type="dxa"/>
              <w:end w:w="80" w:type="dxa"/>
            </w:tcMar>
            <w:vAlign w:val="center"/>
          </w:tcPr>
          <w:p>
            <w:pPr>
              <w:spacing w:before="0" w:after="30" w:line="240" w:lineRule="auto"/>
            </w:pPr>
            <w:r>
              <w:rPr>
                <w:rFonts w:ascii="Arial" w:cs="Arial" w:eastAsia="Arial" w:hAnsi="Arial"/>
                <w:b w:val="false"/>
                <w:bCs w:val="false"/>
                <w:sz w:val="17"/>
                <w:szCs w:val="17"/>
              </w:rPr>
              <w:t xml:space="preserve">5 — Custom Web App</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(80)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(15)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(15)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2 (30)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2 (30)</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(40)</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(25)</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(5)</w:t>
            </w:r>
          </w:p>
        </w:tc>
        <w:tc>
          <w:tcPr>
            <w:tcW w:type="dxa" w:w="940"/>
            <w:tcBorders>
              <w:top w:val="single" w:color="BBBBBB" w:sz="4"/>
              <w:left w:val="single" w:color="BBBBBB" w:sz="4"/>
              <w:bottom w:val="single" w:color="BBBBBB" w:sz="4"/>
              <w:right w:val="single" w:color="BBBBBB" w:sz="4"/>
            </w:tcBorders>
            <w:shd w:fill="C00000"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240</w:t>
            </w:r>
          </w:p>
        </w:tc>
      </w:tr>
      <w:tr>
        <w:trPr/>
        <w:tc>
          <w:tcPr>
            <w:tcW w:type="dxa" w:w="1820"/>
            <w:tcBorders>
              <w:top w:val="single" w:color="BBBBBB" w:sz="4"/>
              <w:left w:val="single" w:color="BBBBBB" w:sz="4"/>
              <w:bottom w:val="single" w:color="BBBBBB" w:sz="4"/>
              <w:right w:val="single" w:color="BBBBBB" w:sz="4"/>
            </w:tcBorders>
            <w:shd w:fill="F2F1EC" w:val="clear"/>
            <w:tcMar>
              <w:top w:type="dxa" w:w="55"/>
              <w:left w:type="dxa" w:w="100"/>
              <w:bottom w:type="dxa" w:w="55"/>
              <w:right w:type="dxa" w:w="80"/>
              <w:start w:w="80" w:type="dxa"/>
              <w:end w:w="80" w:type="dxa"/>
            </w:tcMar>
            <w:vAlign w:val="center"/>
          </w:tcPr>
          <w:p>
            <w:pPr>
              <w:spacing w:before="0" w:after="30" w:line="240" w:lineRule="auto"/>
            </w:pPr>
            <w:r>
              <w:rPr>
                <w:rFonts w:ascii="Arial" w:cs="Arial" w:eastAsia="Arial" w:hAnsi="Arial"/>
                <w:b w:val="false"/>
                <w:bCs w:val="false"/>
                <w:sz w:val="17"/>
                <w:szCs w:val="17"/>
              </w:rPr>
              <w:t xml:space="preserve">6 — ServiceNow NSC</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(100)</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2 (30)</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(45)</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(60)</w:t>
            </w:r>
          </w:p>
        </w:tc>
        <w:tc>
          <w:tcPr>
            <w:tcW w:type="dxa" w:w="9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(60)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(50)</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5 (25)</w:t>
            </w:r>
          </w:p>
        </w:tc>
        <w:tc>
          <w:tcPr>
            <w:tcW w:type="dxa" w:w="700"/>
            <w:tcBorders>
              <w:top w:val="single" w:color="BBBBBB" w:sz="4"/>
              <w:left w:val="single" w:color="BBBBBB" w:sz="4"/>
              <w:bottom w:val="single" w:color="BBBBBB" w:sz="4"/>
              <w:right w:val="single" w:color="BBBBBB" w:sz="4"/>
            </w:tcBorders>
            <w:shd w:fill="F2F1EC"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(5)</w:t>
            </w:r>
          </w:p>
        </w:tc>
        <w:tc>
          <w:tcPr>
            <w:tcW w:type="dxa" w:w="940"/>
            <w:tcBorders>
              <w:top w:val="single" w:color="BBBBBB" w:sz="4"/>
              <w:left w:val="single" w:color="BBBBBB" w:sz="4"/>
              <w:bottom w:val="single" w:color="BBBBBB" w:sz="4"/>
              <w:right w:val="single" w:color="BBBBBB" w:sz="4"/>
            </w:tcBorders>
            <w:shd w:fill="BF8F00"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375</w:t>
            </w:r>
          </w:p>
        </w:tc>
      </w:tr>
      <w:tr>
        <w:trPr/>
        <w:tc>
          <w:tcPr>
            <w:tcW w:type="dxa" w:w="1820"/>
            <w:tcBorders>
              <w:top w:val="single" w:color="BBBBBB" w:sz="4"/>
              <w:left w:val="single" w:color="BBBBBB" w:sz="4"/>
              <w:bottom w:val="single" w:color="BBBBBB" w:sz="4"/>
              <w:right w:val="single" w:color="BBBBBB" w:sz="4"/>
            </w:tcBorders>
            <w:shd w:fill="FFFFFF" w:val="clear"/>
            <w:tcMar>
              <w:top w:type="dxa" w:w="55"/>
              <w:left w:type="dxa" w:w="100"/>
              <w:bottom w:type="dxa" w:w="55"/>
              <w:right w:type="dxa" w:w="80"/>
              <w:start w:w="80" w:type="dxa"/>
              <w:end w:w="80" w:type="dxa"/>
            </w:tcMar>
            <w:vAlign w:val="center"/>
          </w:tcPr>
          <w:p>
            <w:pPr>
              <w:spacing w:before="0" w:after="30" w:line="240" w:lineRule="auto"/>
            </w:pPr>
            <w:r>
              <w:rPr>
                <w:rFonts w:ascii="Arial" w:cs="Arial" w:eastAsia="Arial" w:hAnsi="Arial"/>
                <w:b w:val="false"/>
                <w:bCs w:val="false"/>
                <w:sz w:val="17"/>
                <w:szCs w:val="17"/>
              </w:rPr>
              <w:t xml:space="preserve">7 — Salesforce Gov+</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2 (40)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2 (30)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(45)</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(60)</w:t>
            </w:r>
          </w:p>
        </w:tc>
        <w:tc>
          <w:tcPr>
            <w:tcW w:type="dxa" w:w="9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(45)</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4 (40)</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3 (15)</w:t>
            </w:r>
          </w:p>
        </w:tc>
        <w:tc>
          <w:tcPr>
            <w:tcW w:type="dxa" w:w="700"/>
            <w:tcBorders>
              <w:top w:val="single" w:color="BBBBBB" w:sz="4"/>
              <w:left w:val="single" w:color="BBBBBB" w:sz="4"/>
              <w:bottom w:val="single" w:color="BBBBBB" w:sz="4"/>
              <w:right w:val="single" w:color="BBBBBB" w:sz="4"/>
            </w:tcBorders>
            <w:shd w:fill="FFFFFF"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sz w:val="17"/>
                <w:szCs w:val="17"/>
              </w:rPr>
              <w:t xml:space="preserve">1 (5)</w:t>
            </w:r>
          </w:p>
        </w:tc>
        <w:tc>
          <w:tcPr>
            <w:tcW w:type="dxa" w:w="940"/>
            <w:tcBorders>
              <w:top w:val="single" w:color="BBBBBB" w:sz="4"/>
              <w:left w:val="single" w:color="BBBBBB" w:sz="4"/>
              <w:bottom w:val="single" w:color="BBBBBB" w:sz="4"/>
              <w:right w:val="single" w:color="BBBBBB" w:sz="4"/>
            </w:tcBorders>
            <w:shd w:fill="C00000" w:val="clear"/>
            <w:tcMar>
              <w:top w:type="dxa" w:w="55"/>
              <w:left w:type="dxa" w:w="60"/>
              <w:bottom w:type="dxa" w:w="55"/>
              <w:right w:type="dxa" w:w="6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280</w:t>
            </w:r>
          </w:p>
        </w:tc>
      </w:tr>
    </w:tbl>
    <w:p>
      <w:pPr>
        <w:spacing w:after="80" w:before="80"/>
      </w:pPr>
      <w:r/>
    </w:p>
    <w:p>
      <w:pPr>
        <w:widowControl/>
        <w:spacing w:after="80" w:before="240"/>
      </w:pPr>
      <w:r>
        <w:rPr>
          <w:rFonts w:ascii="Arial" w:cs="Arial" w:eastAsia="Arial" w:hAnsi="Arial"/>
          <w:b/>
          <w:bCs/>
          <w:color w:val="2E5F8A"/>
          <w:sz w:val="24"/>
          <w:szCs w:val="24"/>
        </w:rPr>
        <w:t>11.1 Score Analysis</w:t>
      </w:r>
    </w:p>
    <w:p>
      <w:pPr>
        <w:widowControl/>
        <w:spacing w:after="80" w:before="40"/>
      </w:pPr>
      <w:r>
        <w:rPr>
          <w:rFonts w:ascii="Arial" w:cs="Arial" w:eastAsia="Arial" w:hAnsi="Arial"/>
          <w:sz w:val="20"/>
          <w:szCs w:val="20"/>
        </w:rPr>
        <w:t>Firepit/Forge ranks first at 455 points, ahead of Power Apps/Power Platform at 405. Hands-on experience increased its implementation, sustainment, and scalability scores because it uses React, includes a decompiler, and produces a self-provisioning package that can be redeployed across IPTs.</w:t>
      </w:r>
    </w:p>
    <w:p>
      <w:pPr>
        <w:widowControl/>
        <w:spacing w:after="80" w:before="40"/>
      </w:pPr>
      <w:r>
        <w:rPr>
          <w:rFonts w:ascii="Arial" w:cs="Arial" w:eastAsia="Arial" w:hAnsi="Arial"/>
          <w:sz w:val="20"/>
          <w:szCs w:val="20"/>
        </w:rPr>
        <w:t>Power Apps scores 405. The GPETE demonstration confirmed viability, but Power Apps and Power BI changes require specialized platform expertise.</w:t>
      </w:r>
    </w:p>
    <w:p>
      <w:pPr>
        <w:widowControl/>
        <w:spacing w:after="80" w:before="40"/>
      </w:pPr>
      <w:r>
        <w:rPr>
          <w:rFonts w:ascii="Arial" w:cs="Arial" w:eastAsia="Arial" w:hAnsi="Arial"/>
          <w:sz w:val="20"/>
          <w:szCs w:val="20"/>
        </w:rPr>
        <w:t>ServiceNow NSC scores 375 as the strongest external option, but procurement timing, enterprise cost, and operation outside Flank Speed limit its suitability.</w:t>
      </w:r>
    </w:p>
    <w:p>
      <w:pPr>
        <w:widowControl/>
        <w:spacing w:after="80" w:before="40"/>
      </w:pPr>
      <w:r>
        <w:rPr>
          <w:rFonts w:ascii="Arial" w:cs="Arial" w:eastAsia="Arial" w:hAnsi="Arial"/>
          <w:sz w:val="20"/>
          <w:szCs w:val="20"/>
        </w:rPr>
        <w:t>Confluence/Jira and the status quo each score 300 for different reasons. The custom web application scores lowest at 240 because it requires external hosting, dedicated development, and an independent security review.</w:t>
      </w:r>
    </w:p>
    <w:p>
      <w:r/>
    </w:p>
    <w:p>
      <w:pPr>
        <w:widowControl/>
        <w:pBdr>
          <w:bottom w:val="single" w:color="BF9000" w:sz="8" w:space="4"/>
        </w:pBdr>
        <w:spacing w:after="0" w:before="360"/>
      </w:pPr>
      <w:r>
        <w:rPr>
          <w:rFonts w:ascii="Arial" w:cs="Arial" w:eastAsia="Arial" w:hAnsi="Arial"/>
          <w:b/>
          <w:bCs/>
          <w:caps/>
          <w:color w:val="1B2A47"/>
          <w:sz w:val="28"/>
          <w:szCs w:val="28"/>
        </w:rPr>
        <w:t>12. Cost, Schedule, Performance, and Risk</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200"/>
        <w:gridCol w:w="1560"/>
      </w:tblGrid>
      <w:tr>
        <w:trPr/>
        <w:tc>
          <w:tcPr>
            <w:tcW w:type="dxa" w:w="1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Alternative</w:t>
            </w:r>
          </w:p>
        </w:tc>
        <w:tc>
          <w:tcPr>
            <w:tcW w:type="dxa" w:w="2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Cost / Licensing</w:t>
            </w:r>
          </w:p>
        </w:tc>
        <w:tc>
          <w:tcPr>
            <w:tcW w:type="dxa" w:w="1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Schedule Impact</w:t>
            </w:r>
          </w:p>
        </w:tc>
        <w:tc>
          <w:tcPr>
            <w:tcW w:type="dxa" w:w="2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Mission Utility</w:t>
            </w:r>
          </w:p>
        </w:tc>
        <w:tc>
          <w:tcPr>
            <w:tcW w:type="dxa" w:w="15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Sustainment Risk</w:t>
            </w:r>
          </w:p>
        </w:tc>
      </w:tr>
      <w:tr>
        <w:trPr/>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1 — Status Quo</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None</w:t>
            </w:r>
          </w:p>
        </w:tc>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None — problem persists indefinitely</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None; continued data fragmentation</w:t>
            </w:r>
          </w:p>
        </w:tc>
        <w:tc>
          <w:tcPr>
            <w:tcW w:type="dxa" w:w="1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High — manual processes degrade as team turns over</w:t>
            </w:r>
          </w:p>
        </w:tc>
      </w:tr>
      <w:tr>
        <w:trPr/>
        <w:tc>
          <w:tcPr>
            <w:tcW w:type="dxa" w:w="1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2 — Power Apps</w:t>
            </w:r>
          </w:p>
        </w:tc>
        <w:tc>
          <w:tcPr>
            <w:tcW w:type="dxa" w:w="2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None above Flank Speed entitlements</w:t>
            </w:r>
          </w:p>
        </w:tc>
        <w:tc>
          <w:tcPr>
            <w:tcW w:type="dxa" w:w="1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Moderate — MVP achievable within internship; full three-tool integration is larger effort</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 — addresses all stated needs in a phased, maintainable way once assembled</w:t>
            </w:r>
          </w:p>
        </w:tc>
        <w:tc>
          <w:tcPr>
            <w:tcW w:type="dxa" w:w="1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Moderate — SharePoint maintainable by any user; Power Apps / Power BI require platform skill</w:t>
            </w:r>
          </w:p>
        </w:tc>
      </w:tr>
      <w:tr>
        <w:trPr/>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3 — Firepit/Forge ★</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None above Flank Speed entitlements; Forge is a free offline tool</w:t>
            </w:r>
          </w:p>
        </w:tc>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Moderate to fast — single-shell application with AI-assisted authoring; contingent on SharePoint app catalog confirmation</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 — single application shell hosts dashboard, travel request, PM hub, and travel calendar as one coherent suite</w:t>
            </w:r>
          </w:p>
        </w:tc>
        <w:tc>
          <w:tcPr>
            <w:tcW w:type="dxa" w:w="1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Low to moderate — React's developer pool + built-in decompiler substantially reduce sustainment risk vs. proprietary tooling</w:t>
            </w:r>
          </w:p>
        </w:tc>
      </w:tr>
      <w:tr>
        <w:trPr/>
        <w:tc>
          <w:tcPr>
            <w:tcW w:type="dxa" w:w="1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4 — Confluence/Jira</w:t>
            </w:r>
          </w:p>
        </w:tc>
        <w:tc>
          <w:tcPr>
            <w:tcW w:type="dxa" w:w="2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New recurring licensing; no AEWTTR budget line; government procurement adds lead time</w:t>
            </w:r>
          </w:p>
        </w:tc>
        <w:tc>
          <w:tcPr>
            <w:tcW w:type="dxa" w:w="1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Slow — standing up and separately administering a new environment outside Flank Speed very likely exceeds the internship regardless of configuration effort</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Would be moderate to high if adoptable, but requires governing a second environment outside Flank Speed</w:t>
            </w:r>
          </w:p>
        </w:tc>
        <w:tc>
          <w:tcPr>
            <w:tcW w:type="dxa" w:w="1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Low if cloud adopted (commercially supported), but a second governance environment creates ongoing administrative burden</w:t>
            </w:r>
          </w:p>
        </w:tc>
      </w:tr>
      <w:tr>
        <w:trPr/>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5 — Custom Web App</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Highest of all — hosting infrastructure, ongoing developer support, new security review</w:t>
            </w:r>
          </w:p>
        </w:tc>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Cannot realistically be implemented within the internship; security review and hosting approval alone could exceed the remaining internship duration</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 if built well, but no partial work exists to build on</w:t>
            </w:r>
          </w:p>
        </w:tc>
        <w:tc>
          <w:tcPr>
            <w:tcW w:type="dxa" w:w="1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Highest of all — dedicated developer required indefinitely</w:t>
            </w:r>
          </w:p>
        </w:tc>
      </w:tr>
      <w:tr>
        <w:trPr/>
        <w:tc>
          <w:tcPr>
            <w:tcW w:type="dxa" w:w="1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6 — ServiceNow NSC</w:t>
            </w:r>
          </w:p>
        </w:tc>
        <w:tc>
          <w:tcPr>
            <w:tcW w:type="dxa" w:w="2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High — enterprise licensing, no AEWTTR budget line, procurement through government reseller</w:t>
            </w:r>
          </w:p>
        </w:tc>
        <w:tc>
          <w:tcPr>
            <w:tcW w:type="dxa" w:w="1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Slow — procurement cycle plus sponsorship and approval to stand up a new external environment almost certainly exceeds the internship</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Very high if adopted — purpose-built portfolio management, mature reporting, built-in ticketing</w:t>
            </w:r>
          </w:p>
        </w:tc>
        <w:tc>
          <w:tcPr>
            <w:tcW w:type="dxa" w:w="1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Low if adopted (commercially supported SaaS); burden shifts to license and contract management</w:t>
            </w:r>
          </w:p>
        </w:tc>
      </w:tr>
      <w:tr>
        <w:trPr/>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7 — Salesforce Gov+</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Premium licensing above base tier; procurement adds lead time</w:t>
            </w:r>
          </w:p>
        </w:tc>
        <w:tc>
          <w:tcPr>
            <w:tcW w:type="dxa" w:w="1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Slow — heavy customization to reshape a CRM into a portfolio tool would likely exceed the internship</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Moderate — strong reporting and security, but portfolio-tracking fit is incidental to the CRM purpose</w:t>
            </w:r>
          </w:p>
        </w:tc>
        <w:tc>
          <w:tcPr>
            <w:tcW w:type="dxa" w:w="1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Moderate if adopted — custom data model on top of CRM requires ongoing Salesforce administration skill</w:t>
            </w:r>
          </w:p>
        </w:tc>
      </w:tr>
    </w:tbl>
    <w:p>
      <w:r/>
    </w:p>
    <w:p>
      <w:pPr>
        <w:widowControl/>
        <w:pBdr>
          <w:bottom w:val="single" w:color="BF9000" w:sz="8" w:space="4"/>
        </w:pBdr>
        <w:spacing w:after="0" w:before="360"/>
      </w:pPr>
      <w:r>
        <w:rPr>
          <w:rFonts w:ascii="Arial" w:cs="Arial" w:eastAsia="Arial" w:hAnsi="Arial"/>
          <w:b/>
          <w:bCs/>
          <w:caps/>
          <w:color w:val="1B2A47"/>
          <w:sz w:val="28"/>
          <w:szCs w:val="28"/>
        </w:rPr>
        <w:t>13. Recommended Alternative</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2C4A63" w:sz="4"/>
              <w:left w:val="single" w:color="2C4A63" w:sz="4"/>
              <w:bottom w:val="single" w:color="2C4A63" w:sz="4"/>
              <w:right w:val="single" w:color="2C4A63" w:sz="4"/>
            </w:tcBorders>
            <w:shd w:fill="DCE1E2" w:val="clear"/>
            <w:tcMar>
              <w:top w:type="dxa" w:w="55"/>
              <w:left w:type="dxa" w:w="180"/>
              <w:bottom w:type="dxa" w:w="55"/>
              <w:right w:type="dxa" w:w="180"/>
              <w:start w:w="80" w:type="dxa"/>
              <w:end w:w="80" w:type="dxa"/>
            </w:tcMar>
            <w:vAlign w:val="center"/>
          </w:tcPr>
          <w:p>
            <w:pPr>
              <w:spacing w:after="30" w:before="0" w:line="240" w:lineRule="auto"/>
            </w:pPr>
            <w:r>
              <w:rPr>
                <w:rFonts w:ascii="Arial" w:cs="Arial" w:eastAsia="Arial" w:hAnsi="Arial"/>
                <w:i/>
                <w:iCs/>
                <w:color w:val="1B2A47"/>
                <w:sz w:val="18"/>
                <w:szCs w:val="18"/>
              </w:rPr>
              <w:t>RECOMMENDATION: Alternative 3 — Firepit/Forge. Build the Team Project Dashboard and surrounding application suite (travel request tool, PM hub, travel calendar, document review) as a single-shell application authored in Forge and deployed through the Firepit SPFx web part on the AEWTTR SharePoint site, using SharePoint Lists as the underlying data backbone. Weighted score: 455 of 500. Fallback: Alternative 2 (Power Apps / Power Platform) — 405 of 500.</w:t>
            </w:r>
          </w:p>
        </w:tc>
      </w:tr>
    </w:tbl>
    <w:p>
      <w:pPr>
        <w:spacing w:after="80" w:before="80"/>
      </w:pPr>
      <w:r/>
    </w:p>
    <w:p>
      <w:pPr>
        <w:widowControl/>
        <w:spacing w:after="80" w:before="240"/>
      </w:pPr>
      <w:r>
        <w:rPr>
          <w:rFonts w:ascii="Arial" w:cs="Arial" w:eastAsia="Arial" w:hAnsi="Arial"/>
          <w:b/>
          <w:bCs/>
          <w:color w:val="2E5F8A"/>
          <w:sz w:val="24"/>
          <w:szCs w:val="24"/>
        </w:rPr>
        <w:t>13.1 Why This Is the Right Path</w:t>
      </w:r>
    </w:p>
    <w:p>
      <w:pPr>
        <w:pStyle w:val="ListParagraph"/>
        <w:widowControl/>
        <w:numPr>
          <w:ilvl w:val="0"/>
          <w:numId w:val="2"/>
        </w:numPr>
        <w:spacing w:after="50" w:before="30"/>
      </w:pPr>
      <w:r>
        <w:rPr>
          <w:rFonts w:ascii="Arial" w:cs="Arial" w:eastAsia="Arial" w:hAnsi="Arial"/>
          <w:sz w:val="20"/>
          <w:szCs w:val="20"/>
        </w:rPr>
        <w:t>Leads the weighted score, 455 to 405. Its React front end broadens developer availability, and its self-provisioning package can be redeployed across IPTs.</w:t>
      </w:r>
    </w:p>
    <w:p>
      <w:pPr>
        <w:pStyle w:val="ListParagraph"/>
        <w:widowControl/>
        <w:numPr>
          <w:ilvl w:val="0"/>
          <w:numId w:val="2"/>
        </w:numPr>
        <w:spacing w:after="50" w:before="30"/>
      </w:pPr>
      <w:r>
        <w:rPr>
          <w:rFonts w:ascii="Arial" w:cs="Arial" w:eastAsia="Arial" w:hAnsi="Arial"/>
          <w:sz w:val="20"/>
          <w:szCs w:val="20"/>
        </w:rPr>
        <w:t>Native to Flank Speed/IL5. Firepit deploys as a standard SPFx package; only the app catalog path requires confirmation.</w:t>
      </w:r>
    </w:p>
    <w:p>
      <w:pPr>
        <w:pStyle w:val="ListParagraph"/>
        <w:widowControl/>
        <w:numPr>
          <w:ilvl w:val="0"/>
          <w:numId w:val="2"/>
        </w:numPr>
        <w:spacing w:after="50" w:before="30"/>
      </w:pPr>
      <w:r>
        <w:rPr>
          <w:rFonts w:ascii="Arial" w:cs="Arial" w:eastAsia="Arial" w:hAnsi="Arial"/>
          <w:sz w:val="20"/>
          <w:szCs w:val="20"/>
        </w:rPr>
        <w:t>Fielded Navy tool. Production versions observed at NAVWAR PEO Digital confirm operational use.</w:t>
      </w:r>
    </w:p>
    <w:p>
      <w:pPr>
        <w:pStyle w:val="ListParagraph"/>
        <w:widowControl/>
        <w:numPr>
          <w:ilvl w:val="0"/>
          <w:numId w:val="2"/>
        </w:numPr>
        <w:spacing w:after="50" w:before="30"/>
      </w:pPr>
      <w:r>
        <w:rPr>
          <w:rFonts w:ascii="Arial" w:cs="Arial" w:eastAsia="Arial" w:hAnsi="Arial"/>
          <w:sz w:val="20"/>
          <w:szCs w:val="20"/>
        </w:rPr>
        <w:t>Generates security-review outputs, including a detailed summary and SBOM.</w:t>
      </w:r>
    </w:p>
    <w:p>
      <w:pPr>
        <w:pStyle w:val="ListParagraph"/>
        <w:widowControl/>
        <w:numPr>
          <w:ilvl w:val="0"/>
          <w:numId w:val="2"/>
        </w:numPr>
        <w:spacing w:after="50" w:before="30"/>
      </w:pPr>
      <w:r>
        <w:rPr>
          <w:rFonts w:ascii="Arial" w:cs="Arial" w:eastAsia="Arial" w:hAnsi="Arial"/>
          <w:sz w:val="20"/>
          <w:szCs w:val="20"/>
        </w:rPr>
        <w:t>Consolidates the dashboard and related tools in one application shell.</w:t>
      </w:r>
    </w:p>
    <w:p>
      <w:pPr>
        <w:pStyle w:val="ListParagraph"/>
        <w:widowControl/>
        <w:numPr>
          <w:ilvl w:val="0"/>
          <w:numId w:val="2"/>
        </w:numPr>
        <w:spacing w:after="50" w:before="30"/>
      </w:pPr>
      <w:r>
        <w:rPr>
          <w:rFonts w:ascii="Arial" w:cs="Arial" w:eastAsia="Arial" w:hAnsi="Arial"/>
          <w:sz w:val="20"/>
          <w:szCs w:val="20"/>
        </w:rPr>
        <w:t>Maintainable after handoff. Forge's decompiler preserves an editable project from a deployed application.</w:t>
      </w:r>
    </w:p>
    <w:p>
      <w:pPr>
        <w:pStyle w:val="ListParagraph"/>
        <w:widowControl/>
        <w:numPr>
          <w:ilvl w:val="0"/>
          <w:numId w:val="2"/>
        </w:numPr>
        <w:spacing w:after="50" w:before="30"/>
      </w:pPr>
      <w:r>
        <w:rPr>
          <w:rFonts w:ascii="Arial" w:cs="Arial" w:eastAsia="Arial" w:hAnsi="Arial"/>
          <w:sz w:val="20"/>
          <w:szCs w:val="20"/>
        </w:rPr>
        <w:t>Preserves future options. SharePoint Lists allow later migration to Dataverse or another front end without rebuilding the schema.</w:t>
      </w:r>
    </w:p>
    <w:p>
      <w:pPr>
        <w:spacing w:after="60" w:before="60"/>
      </w:pPr>
      <w:r/>
    </w:p>
    <w:p>
      <w:pPr>
        <w:widowControl/>
        <w:spacing w:after="80" w:before="240"/>
      </w:pPr>
      <w:r>
        <w:rPr>
          <w:rFonts w:ascii="Arial" w:cs="Arial" w:eastAsia="Arial" w:hAnsi="Arial"/>
          <w:b/>
          <w:bCs/>
          <w:color w:val="2E5F8A"/>
          <w:sz w:val="24"/>
          <w:szCs w:val="24"/>
        </w:rPr>
        <w:t>13.2 What This Recommendation Does Not Mean</w:t>
      </w:r>
    </w:p>
    <w:p>
      <w:pPr>
        <w:pStyle w:val="ListParagraph"/>
        <w:widowControl/>
        <w:numPr>
          <w:ilvl w:val="0"/>
          <w:numId w:val="2"/>
        </w:numPr>
        <w:spacing w:after="50" w:before="30"/>
      </w:pPr>
      <w:r>
        <w:rPr>
          <w:rFonts w:ascii="Arial" w:cs="Arial" w:eastAsia="Arial" w:hAnsi="Arial"/>
          <w:sz w:val="20"/>
          <w:szCs w:val="20"/>
        </w:rPr>
        <w:t>It does NOT mean every standalone project should be incorporated into the dashboard.</w:t>
      </w:r>
    </w:p>
    <w:p>
      <w:pPr>
        <w:pStyle w:val="ListParagraph"/>
        <w:widowControl/>
        <w:numPr>
          <w:ilvl w:val="0"/>
          <w:numId w:val="2"/>
        </w:numPr>
        <w:spacing w:after="50" w:before="30"/>
      </w:pPr>
      <w:r>
        <w:rPr>
          <w:rFonts w:ascii="Arial" w:cs="Arial" w:eastAsia="Arial" w:hAnsi="Arial"/>
          <w:sz w:val="20"/>
          <w:szCs w:val="20"/>
        </w:rPr>
        <w:t>It does NOT mean all external data integrations will be automated immediately — Firepit's network guard still restricts outbound calls.</w:t>
      </w:r>
    </w:p>
    <w:p>
      <w:pPr>
        <w:pStyle w:val="ListParagraph"/>
        <w:widowControl/>
        <w:numPr>
          <w:ilvl w:val="0"/>
          <w:numId w:val="2"/>
        </w:numPr>
        <w:spacing w:after="50" w:before="30"/>
      </w:pPr>
      <w:r>
        <w:rPr>
          <w:rFonts w:ascii="Arial" w:cs="Arial" w:eastAsia="Arial" w:hAnsi="Arial"/>
          <w:sz w:val="20"/>
          <w:szCs w:val="20"/>
        </w:rPr>
        <w:t>It does NOT mean the dashboard will be production-complete when the internship ends. The expected output is a working, deployed prototype with full documentation.</w:t>
      </w:r>
    </w:p>
    <w:p>
      <w:pPr>
        <w:pStyle w:val="ListParagraph"/>
        <w:widowControl/>
        <w:numPr>
          <w:ilvl w:val="0"/>
          <w:numId w:val="2"/>
        </w:numPr>
        <w:spacing w:after="50" w:before="30"/>
      </w:pPr>
      <w:r>
        <w:rPr>
          <w:rFonts w:ascii="Arial" w:cs="Arial" w:eastAsia="Arial" w:hAnsi="Arial"/>
          <w:sz w:val="20"/>
          <w:szCs w:val="20"/>
        </w:rPr>
        <w:t>It does NOT remove the need for designated data owners. The most capable application produces no value if no one maintains the underlying data.</w:t>
      </w:r>
    </w:p>
    <w:p>
      <w:pPr>
        <w:pStyle w:val="ListParagraph"/>
        <w:widowControl/>
        <w:numPr>
          <w:ilvl w:val="0"/>
          <w:numId w:val="2"/>
        </w:numPr>
        <w:spacing w:after="50" w:before="30"/>
      </w:pPr>
      <w:r>
        <w:rPr>
          <w:rFonts w:ascii="Arial" w:cs="Arial" w:eastAsia="Arial" w:hAnsi="Arial"/>
          <w:sz w:val="20"/>
          <w:szCs w:val="20"/>
        </w:rPr>
        <w:t>It does NOT foreclose Alternative 2. If Firepit/Forge proves unsuitable during deployment, Power Apps / Power Platform is the direct fallback and all schema work transfers without rework.</w:t>
      </w:r>
    </w:p>
    <w:p>
      <w:r/>
    </w:p>
    <w:p>
      <w:pPr>
        <w:pageBreakBefore/>
        <w:widowControl/>
        <w:pBdr>
          <w:bottom w:val="single" w:color="BF9000" w:sz="8" w:space="4"/>
        </w:pBdr>
        <w:spacing w:after="0" w:before="360"/>
      </w:pPr>
      <w:r>
        <w:rPr>
          <w:rFonts w:ascii="Arial" w:cs="Arial" w:eastAsia="Arial" w:hAnsi="Arial"/>
          <w:b/>
          <w:bCs/>
          <w:caps/>
          <w:color w:val="1B2A47"/>
          <w:sz w:val="28"/>
          <w:szCs w:val="28"/>
        </w:rPr>
        <w:t>14. Sensitivity Analysis</w:t>
      </w:r>
    </w:p>
    <w:p>
      <w:pPr>
        <w:spacing w:after="80" w:before="80"/>
      </w:pPr>
      <w:r/>
    </w:p>
    <w:p>
      <w:pPr>
        <w:widowControl/>
        <w:spacing w:after="80" w:before="40"/>
      </w:pPr>
      <w:r>
        <w:rPr>
          <w:rFonts w:ascii="Arial" w:cs="Arial" w:eastAsia="Arial" w:hAnsi="Arial"/>
          <w:sz w:val="20"/>
          <w:szCs w:val="20"/>
        </w:rPr>
        <w:t>This section examines whether the recommendation changes if key assumptions shift. Each scenario is evaluated independently against the current recommendation (Alternative 3 — Firepit/Forge).</w:t>
      </w:r>
    </w:p>
    <w:p>
      <w:pPr>
        <w:spacing w:after="60" w:before="6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c>
          <w:tcPr>
            <w:tcW w:type="dxa" w:w="2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Scenario</w:t>
            </w:r>
          </w:p>
        </w:tc>
        <w:tc>
          <w:tcPr>
            <w:tcW w:type="dxa" w:w="3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Effect on Recommendation</w:t>
            </w:r>
          </w:p>
        </w:tc>
        <w:tc>
          <w:tcPr>
            <w:tcW w:type="dxa" w:w="35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Guidance</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Firepit app catalog deployment path takes longer than expected</w:t>
            </w:r>
          </w:p>
        </w:tc>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Recommendation unchanged in substance; rollout timeline slips. If significant slippage, Power Apps is the direct fallback.</w:t>
            </w:r>
          </w:p>
        </w:tc>
        <w:tc>
          <w:tcPr>
            <w:tcW w:type="dxa" w:w="3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Confirm app catalog path immediately, before Phase 2 development begins. Design schema as front-end-agnostic.</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Dataverse approval becomes available sooner than expected</w:t>
            </w:r>
          </w:p>
        </w:tc>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Recommendation shifts for the data backbone (not the front end). Firepit can call Dataverse REST the same way it calls SharePoint REST.</w:t>
            </w:r>
          </w:p>
        </w:tc>
        <w:tc>
          <w:tcPr>
            <w:tcW w:type="dxa" w:w="3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Design data schema with Dataverse migration in mind regardless of near-term front-end choice.</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Power Automate restrictions prevent Word/PowerPoint document generation</w:t>
            </w:r>
          </w:p>
        </w:tc>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Recommendation unchanged. Core value — portfolio visibility and per-project detail — does not depend on automated document generation.</w:t>
            </w:r>
          </w:p>
        </w:tc>
        <w:tc>
          <w:tcPr>
            <w:tcW w:type="dxa" w:w="3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Treat Word/PowerPoint output as a stretch goal. Excel export remains available.</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BFM does not provide weekly ERP extracts to a shared location</w:t>
            </w:r>
          </w:p>
        </w:tc>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Recommendation unchanged. Financial module scope is reduced but the rest of the application is unaffected.</w:t>
            </w:r>
          </w:p>
        </w:tc>
        <w:tc>
          <w:tcPr>
            <w:tcW w:type="dxa" w:w="3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Design financial module to function with less frequent or manually entered data. Leadership direction to BFM may be required.</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Leadership wants a read-only dashboard with no data entry forms</w:t>
            </w:r>
          </w:p>
        </w:tc>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Recommendation unchanged; potentially simpler build. A read-only view can be built faster in either alternative.</w:t>
            </w:r>
          </w:p>
        </w:tc>
        <w:tc>
          <w:tcPr>
            <w:tcW w:type="dxa" w:w="3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Confirm this during initial metrics discussion with the IPT Lead before development begins.</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No permanent owner is designated after the internship ends</w:t>
            </w:r>
          </w:p>
        </w:tc>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Recommendation unchanged near-term, but long-term viability is at serious risk under either alternative.</w:t>
            </w:r>
          </w:p>
        </w:tc>
        <w:tc>
          <w:tcPr>
            <w:tcW w:type="dxa" w:w="3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This is the single most important non-technical decision. Leadership should designate an owner before the internship concludes.</w:t>
            </w:r>
          </w:p>
        </w:tc>
      </w:tr>
    </w:tbl>
    <w:p>
      <w:r/>
    </w:p>
    <w:p>
      <w:pPr>
        <w:widowControl/>
        <w:pBdr>
          <w:bottom w:val="single" w:color="BF9000" w:sz="8" w:space="4"/>
        </w:pBdr>
        <w:spacing w:after="0" w:before="360"/>
      </w:pPr>
      <w:r>
        <w:rPr>
          <w:rFonts w:ascii="Arial" w:cs="Arial" w:eastAsia="Arial" w:hAnsi="Arial"/>
          <w:b/>
          <w:bCs/>
          <w:caps/>
          <w:color w:val="1B2A47"/>
          <w:sz w:val="28"/>
          <w:szCs w:val="28"/>
        </w:rPr>
        <w:t>15. Phased Implementation Plan</w:t>
      </w:r>
    </w:p>
    <w:p>
      <w:pPr>
        <w:spacing w:after="80" w:before="80"/>
      </w:pPr>
      <w:r/>
    </w:p>
    <w:p>
      <w:pPr>
        <w:widowControl/>
        <w:spacing w:after="80" w:before="40"/>
      </w:pPr>
      <w:r>
        <w:rPr>
          <w:rFonts w:ascii="Arial" w:cs="Arial" w:eastAsia="Arial" w:hAnsi="Arial"/>
          <w:sz w:val="20"/>
          <w:szCs w:val="20"/>
        </w:rPr>
        <w:t>The internship produced a working, deployed PULSE application hosted through Firepit, packaged by Forge, and backed by SharePoint Lists in Flank Speed. The remaining work focuses on rollout and sustainment.</w:t>
      </w:r>
    </w:p>
    <w:p>
      <w:pPr>
        <w:spacing w:after="60" w:before="6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60"/>
        <w:gridCol w:w="2000"/>
      </w:tblGrid>
      <w:tr>
        <w:trPr/>
        <w:tc>
          <w:tcPr>
            <w:tcW w:type="dxa" w:w="2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Phase</w:t>
            </w:r>
          </w:p>
        </w:tc>
        <w:tc>
          <w:tcPr>
            <w:tcW w:type="dxa" w:w="16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Timeline</w:t>
            </w:r>
          </w:p>
        </w:tc>
        <w:tc>
          <w:tcPr>
            <w:tcW w:type="dxa" w:w="35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Deliverables</w:t>
            </w:r>
          </w:p>
        </w:tc>
        <w:tc>
          <w:tcPr>
            <w:tcW w:type="dxa" w:w="2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Owner</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Phase 0 — Schema Design</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Weeks 1–2</w:t>
            </w:r>
          </w:p>
        </w:tc>
        <w:tc>
          <w:tcPr>
            <w:tcW w:type="dxa" w:w="3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Data schema document; SharePoint list structure; relationship map for all key data entities; field-level ownership assignments</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Data Analytics Intern + Operations Manager + IPT Lead</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Phase 1 — Core Workflows</w:t>
            </w:r>
          </w:p>
        </w:tc>
        <w:tc>
          <w:tcPr>
            <w:tcW w:type="dxa" w:w="1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Weeks 2–4</w:t>
            </w:r>
          </w:p>
        </w:tc>
        <w:tc>
          <w:tcPr>
            <w:tcW w:type="dxa" w:w="3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Travel request flow (completed); trip report form + routing; document review tracker enhancement; CSDVD distribution workflow</w:t>
            </w:r>
          </w:p>
        </w:tc>
        <w:tc>
          <w:tcPr>
            <w:tcW w:type="dxa" w:w="2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Intern</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Phase 2 — Dashboard / App</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Weeks 4–6</w:t>
            </w:r>
          </w:p>
        </w:tc>
        <w:tc>
          <w:tcPr>
            <w:tcW w:type="dxa" w:w="3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Power Apps or Firepit-hosted multi-module suite: Dashboard, Project Tracker, Finance, Cyber Compliance, Travel, Engineering Checklist, Document Review</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Intern</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Phase 3 — Financial Integration</w:t>
            </w:r>
          </w:p>
        </w:tc>
        <w:tc>
          <w:tcPr>
            <w:tcW w:type="dxa" w:w="1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Weeks 5–7</w:t>
            </w:r>
          </w:p>
        </w:tc>
        <w:tc>
          <w:tcPr>
            <w:tcW w:type="dxa" w:w="3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Power BI leadership dashboard; ERP extract pipeline; spend plan visualization (plan vs. actual)</w:t>
            </w:r>
          </w:p>
        </w:tc>
        <w:tc>
          <w:tcPr>
            <w:tcW w:type="dxa" w:w="2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Data Analytics Intern + BFM + Operations Manager</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Phase 4 — Documentation &amp; Handoff</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Weeks 7–8</w:t>
            </w:r>
          </w:p>
        </w:tc>
        <w:tc>
          <w:tcPr>
            <w:tcW w:type="dxa" w:w="3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Full technical documentation; ESDP handoff package; data schema document; rebuild guide; pending features log</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Intern</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Phase 5 — Sustainment (Post-Internship)</w:t>
            </w:r>
          </w:p>
        </w:tc>
        <w:tc>
          <w:tcPr>
            <w:tcW w:type="dxa" w:w="1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Ongoing</w:t>
            </w:r>
          </w:p>
        </w:tc>
        <w:tc>
          <w:tcPr>
            <w:tcW w:type="dxa" w:w="3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Designated owner maintains SharePoint lists and application data; ESDP rotation developer maintains codebase; annual schema review</w:t>
            </w:r>
          </w:p>
        </w:tc>
        <w:tc>
          <w:tcPr>
            <w:tcW w:type="dxa" w:w="2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Operations Manager (administration); ESDP (code)</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Phase 6 — Dataverse Migration (Future)</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val="false"/>
                <w:bCs w:val="false"/>
                <w:sz w:val="18"/>
                <w:szCs w:val="18"/>
              </w:rPr>
              <w:t xml:space="preserve">12–24 months post-internship</w:t>
            </w:r>
          </w:p>
        </w:tc>
        <w:tc>
          <w:tcPr>
            <w:tcW w:type="dxa" w:w="3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CIRRUS/Azure Dataverse access; full schema migration; premium licensing programmed; potential front-end rebuild if warranted</w:t>
            </w:r>
          </w:p>
        </w:tc>
        <w:tc>
          <w:tcPr>
            <w:tcW w:type="dxa" w:w="2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Future ESDP / Contractor Developer</w:t>
            </w:r>
          </w:p>
        </w:tc>
      </w:tr>
    </w:tbl>
    <w:p>
      <w:r/>
    </w:p>
    <w:p>
      <w:pPr>
        <w:widowControl/>
        <w:pBdr>
          <w:bottom w:val="single" w:color="BF9000" w:sz="8" w:space="4"/>
        </w:pBdr>
        <w:spacing w:after="0" w:before="360"/>
      </w:pPr>
      <w:r>
        <w:rPr>
          <w:rFonts w:ascii="Arial" w:cs="Arial" w:eastAsia="Arial" w:hAnsi="Arial"/>
          <w:b/>
          <w:bCs/>
          <w:caps/>
          <w:color w:val="1B2A47"/>
          <w:sz w:val="28"/>
          <w:szCs w:val="28"/>
        </w:rPr>
        <w:t>16. Risk Register</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3160"/>
        <w:gridCol w:w="1600"/>
      </w:tblGrid>
      <w:tr>
        <w:trPr/>
        <w:tc>
          <w:tcPr>
            <w:tcW w:type="dxa" w:w="26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Risk</w:t>
            </w:r>
          </w:p>
        </w:tc>
        <w:tc>
          <w:tcPr>
            <w:tcW w:type="dxa" w:w="1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Impact</w:t>
            </w:r>
          </w:p>
        </w:tc>
        <w:tc>
          <w:tcPr>
            <w:tcW w:type="dxa" w:w="1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Likelihood</w:t>
            </w:r>
          </w:p>
        </w:tc>
        <w:tc>
          <w:tcPr>
            <w:tcW w:type="dxa" w:w="31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Mitigation</w:t>
            </w:r>
          </w:p>
        </w:tc>
        <w:tc>
          <w:tcPr>
            <w:tcW w:type="dxa" w:w="16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Owner</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Building before schema is confirmed — tool may require rebuild when requirements change</w:t>
            </w:r>
          </w:p>
        </w:tc>
        <w:tc>
          <w:tcPr>
            <w:tcW w:type="dxa" w:w="10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High</w:t>
            </w:r>
          </w:p>
        </w:tc>
        <w:tc>
          <w:tcPr>
            <w:tcW w:type="dxa" w:w="10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High</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Treat Phase 0 (schema) as a hard prerequisite regardless of platform. Do not build persistent data structures until schema is reviewed by Operations Manager and IPT Lead.</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Data Analytics Intern + Operations Manager</w:t>
            </w:r>
          </w:p>
        </w:tc>
      </w:tr>
      <w:tr>
        <w:trPr/>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Firepit/Forge sustainment depends on NAVWAR PEO Digital — tool could stop being updated or supported</w:t>
            </w:r>
          </w:p>
        </w:tc>
        <w:tc>
          <w:tcPr>
            <w:tcW w:type="dxa" w:w="10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Medium</w:t>
            </w:r>
          </w:p>
        </w:tc>
        <w:tc>
          <w:tcPr>
            <w:tcW w:type="dxa" w:w="10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Medium</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Confirm support POC in NAVWAR PEO Digital. Rely on Forge's decompiler to keep an always-editable, portable copy of the source project so the team is never solely dependent on a single build artifact.</w:t>
            </w:r>
          </w:p>
        </w:tc>
        <w:tc>
          <w:tcPr>
            <w:tcW w:type="dxa" w:w="1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Operations Manager; Intern</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Data owners do not update fields — dashboard displays stale data, loses stakeholder trust</w:t>
            </w:r>
          </w:p>
        </w:tc>
        <w:tc>
          <w:tcPr>
            <w:tcW w:type="dxa" w:w="10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High</w:t>
            </w:r>
          </w:p>
        </w:tc>
        <w:tc>
          <w:tcPr>
            <w:tcW w:type="dxa" w:w="10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High</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Leadership designates owners; make staleness visible in the application itself (last-updated indicator per domain). Leadership direction required.</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(direction); individual data owners</w:t>
            </w:r>
          </w:p>
        </w:tc>
      </w:tr>
      <w:tr>
        <w:trPr/>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No permanent owner is designated before the internship ends — flows, apps, and lists become orphaned</w:t>
            </w:r>
          </w:p>
        </w:tc>
        <w:tc>
          <w:tcPr>
            <w:tcW w:type="dxa" w:w="10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High</w:t>
            </w:r>
          </w:p>
        </w:tc>
        <w:tc>
          <w:tcPr>
            <w:tcW w:type="dxa" w:w="10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High</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All flows, lists, and applications must be co-owned by a permanent government account (Operations Manager, recommended) before the internship concludes. Rebuild documentation is required regardless.</w:t>
            </w:r>
          </w:p>
        </w:tc>
        <w:tc>
          <w:tcPr>
            <w:tcW w:type="dxa" w:w="1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(decision); Operations Manager (execution)</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NMCI feature restrictions are discovered mid-build, requiring design changes</w:t>
            </w:r>
          </w:p>
        </w:tc>
        <w:tc>
          <w:tcPr>
            <w:tcW w:type="dxa" w:w="10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Medium</w:t>
            </w:r>
          </w:p>
        </w:tc>
        <w:tc>
          <w:tcPr>
            <w:tcW w:type="dxa" w:w="10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Medium</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Confirm which Power Automate connectors and actions are enabled in the AEWTTR tenant before committing to any automation features. Stage testing in a dev environment before production deployment.</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Intern; NMCI POC</w:t>
            </w:r>
          </w:p>
        </w:tc>
      </w:tr>
      <w:tr>
        <w:trPr/>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Combining system identity with range/site location data creates an unnecessarily sensitive combined data product</w:t>
            </w:r>
          </w:p>
        </w:tc>
        <w:tc>
          <w:tcPr>
            <w:tcW w:type="dxa" w:w="1000"/>
            <w:tcBorders>
              <w:top w:val="single" w:color="CCCCCC" w:sz="4"/>
              <w:left w:val="single" w:color="CCCCCC" w:sz="4"/>
              <w:bottom w:val="single" w:color="CCCCCC" w:sz="4"/>
              <w:right w:val="single" w:color="CCCCCC" w:sz="4"/>
            </w:tcBorders>
            <w:shd w:fill="C000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High</w:t>
            </w:r>
          </w:p>
        </w:tc>
        <w:tc>
          <w:tcPr>
            <w:tcW w:type="dxa" w:w="10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Medium</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Consult AEWTTR security team before linking system-to-site data in any shared application. Keep system identity fields and range/site location fields in separate data objects where possible. Use a non-identifying key to link them.</w:t>
            </w:r>
          </w:p>
        </w:tc>
        <w:tc>
          <w:tcPr>
            <w:tcW w:type="dxa" w:w="1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AEWTTR security team; Operations Manager</w:t>
            </w:r>
          </w:p>
        </w:tc>
      </w:tr>
      <w:tr>
        <w:trPr/>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BFM does not participate in financial data process — financial module automation is not feasible</w:t>
            </w:r>
          </w:p>
        </w:tc>
        <w:tc>
          <w:tcPr>
            <w:tcW w:type="dxa" w:w="10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Medium</w:t>
            </w:r>
          </w:p>
        </w:tc>
        <w:tc>
          <w:tcPr>
            <w:tcW w:type="dxa" w:w="1000"/>
            <w:tcBorders>
              <w:top w:val="single" w:color="CCCCCC" w:sz="4"/>
              <w:left w:val="single" w:color="CCCCCC" w:sz="4"/>
              <w:bottom w:val="single" w:color="CCCCCC" w:sz="4"/>
              <w:right w:val="single" w:color="CCCCCC" w:sz="4"/>
            </w:tcBorders>
            <w:shd w:fill="BF8F00" w:val="clear"/>
            <w:tcMar>
              <w:top w:type="dxa" w:w="55"/>
              <w:left w:type="dxa" w:w="100"/>
              <w:bottom w:type="dxa" w:w="55"/>
              <w:right w:type="dxa" w:w="100"/>
              <w:start w:w="80" w:type="dxa"/>
              <w:end w:w="80" w:type="dxa"/>
            </w:tcMar>
            <w:vAlign w:val="center"/>
          </w:tcPr>
          <w:p>
            <w:pPr>
              <w:spacing w:before="0" w:after="30" w:line="240" w:lineRule="auto"/>
              <w:jc w:val="center"/>
            </w:pPr>
            <w:r>
              <w:rPr>
                <w:rFonts w:ascii="Arial" w:cs="Arial" w:eastAsia="Arial" w:hAnsi="Arial"/>
                <w:b/>
                <w:bCs/>
                <w:color w:val="FFFFFF"/>
                <w:sz w:val="18"/>
                <w:szCs w:val="18"/>
              </w:rPr>
              <w:t xml:space="preserve">Medium</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Leadership direction to BFM. Design financial module to function with manually entered data as a fallback. The rest of the application is unaffected if financial automation is not achieved.</w:t>
            </w:r>
          </w:p>
        </w:tc>
        <w:tc>
          <w:tcPr>
            <w:tcW w:type="dxa" w:w="1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(direction)</w:t>
            </w:r>
          </w:p>
        </w:tc>
      </w:tr>
    </w:tbl>
    <w:p>
      <w:r/>
    </w:p>
    <w:p>
      <w:pPr>
        <w:widowControl/>
        <w:pBdr>
          <w:bottom w:val="single" w:color="BF9000" w:sz="8" w:space="4"/>
        </w:pBdr>
        <w:spacing w:after="0" w:before="360"/>
      </w:pPr>
      <w:r>
        <w:rPr>
          <w:rFonts w:ascii="Arial" w:cs="Arial" w:eastAsia="Arial" w:hAnsi="Arial"/>
          <w:b/>
          <w:bCs/>
          <w:caps/>
          <w:color w:val="1B2A47"/>
          <w:sz w:val="28"/>
          <w:szCs w:val="28"/>
        </w:rPr>
        <w:t>17. Open Decisions for Leadership</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c>
          <w:tcPr>
            <w:tcW w:type="dxa" w:w="3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Decision</w:t>
            </w:r>
          </w:p>
        </w:tc>
        <w:tc>
          <w:tcPr>
            <w:tcW w:type="dxa" w:w="2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Authority</w:t>
            </w:r>
          </w:p>
        </w:tc>
        <w:tc>
          <w:tcPr>
            <w:tcW w:type="dxa" w:w="2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Why It Matters</w:t>
            </w:r>
          </w:p>
        </w:tc>
        <w:tc>
          <w:tcPr>
            <w:tcW w:type="dxa" w:w="19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Impact if Unresolved</w:t>
            </w:r>
          </w:p>
        </w:tc>
      </w:tr>
      <w:tr>
        <w:trPr/>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Which SharePoint app catalog (tenant-wide vs. site collection) will host the Firepit .sppkg package?</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Operations Manager / NMCI POC</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Determines the Phase 2 deployment timeline for the recommended alternative.</w:t>
            </w:r>
          </w:p>
        </w:tc>
        <w:tc>
          <w:tcPr>
            <w:tcW w:type="dxa" w:w="1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Development could stall waiting on a deployment path that was never confirmed up front.</w:t>
            </w:r>
          </w:p>
        </w:tc>
      </w:tr>
      <w:tr>
        <w:trPr/>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What specific metrics and data fields does the IPT Lead want, in priority order?</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Drives schema design and determines what gets built first.</w:t>
            </w:r>
          </w:p>
        </w:tc>
        <w:tc>
          <w:tcPr>
            <w:tcW w:type="dxa" w:w="1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Development will proceed against assumptions; built features may not match actual needs.</w:t>
            </w:r>
          </w:p>
        </w:tc>
      </w:tr>
      <w:tr>
        <w:trPr/>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Who is designated as the data owner for each domain?</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(to direct)</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Data without owners becomes stale; the application loses value.</w:t>
            </w:r>
          </w:p>
        </w:tc>
        <w:tc>
          <w:tcPr>
            <w:tcW w:type="dxa" w:w="1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Application displays outdated data; stakeholder trust erodes; tool may be abandoned.</w:t>
            </w:r>
          </w:p>
        </w:tc>
      </w:tr>
      <w:tr>
        <w:trPr/>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Who will own the application, SharePoint lists, and flows after the internship ends?</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or Operations Manager</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Ownership gaps break continuity when the intern account is deactivated.</w:t>
            </w:r>
          </w:p>
        </w:tc>
        <w:tc>
          <w:tcPr>
            <w:tcW w:type="dxa" w:w="1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Automation and access break with no responsible owner to maintain or repair them.</w:t>
            </w:r>
          </w:p>
        </w:tc>
      </w:tr>
      <w:tr>
        <w:trPr/>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Will the BFM provide weekly ERP extracts to a shared SPO folder?</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Operations Manager (escalate to IPT Lead if needed)</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Required for any financial module automation.</w:t>
            </w:r>
          </w:p>
        </w:tc>
        <w:tc>
          <w:tcPr>
            <w:tcW w:type="dxa" w:w="1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Financial data must be manually entered per record; significantly higher manual burden.</w:t>
            </w:r>
          </w:p>
        </w:tc>
      </w:tr>
      <w:tr>
        <w:trPr/>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Has AEWTTR's security team reviewed combining system identity with range/site location data?</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AEWTTR Security Team / Operations Manager</w:t>
            </w:r>
          </w:p>
        </w:tc>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Risk of inadvertently creating an unnecessarily sensitive combined data product.</w:t>
            </w:r>
          </w:p>
        </w:tc>
        <w:tc>
          <w:tcPr>
            <w:tcW w:type="dxa" w:w="19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Fields may need redesign after the fact if the combination is flagged.</w:t>
            </w:r>
          </w:p>
        </w:tc>
      </w:tr>
      <w:tr>
        <w:trPr/>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Are PowerPoint and Word automated outputs required, or is a data export acceptable?</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IPT Lead and Project Managers</w:t>
            </w:r>
          </w:p>
        </w:tc>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XML-based generation is complex and constrained by NMCI; scope is significantly simpler if a data export satisfies the need.</w:t>
            </w:r>
          </w:p>
        </w:tc>
        <w:tc>
          <w:tcPr>
            <w:tcW w:type="dxa" w:w="19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If automated outputs are required but not delivered, a key reporting time-savings goal will not be met.</w:t>
            </w:r>
          </w:p>
        </w:tc>
      </w:tr>
    </w:tbl>
    <w:p>
      <w:r/>
    </w:p>
    <w:p>
      <w:pPr>
        <w:pageBreakBefore/>
        <w:widowControl/>
        <w:pBdr>
          <w:bottom w:val="single" w:color="BF9000" w:sz="8" w:space="4"/>
        </w:pBdr>
        <w:spacing w:after="0" w:before="360"/>
      </w:pPr>
      <w:r>
        <w:rPr>
          <w:rFonts w:ascii="Arial" w:cs="Arial" w:eastAsia="Arial" w:hAnsi="Arial"/>
          <w:b/>
          <w:bCs/>
          <w:caps/>
          <w:color w:val="1B2A47"/>
          <w:sz w:val="28"/>
          <w:szCs w:val="28"/>
        </w:rPr>
        <w:t>18. Sustainment and Ownership</w:t>
      </w:r>
    </w:p>
    <w:p>
      <w:pPr>
        <w:spacing w:after="80" w:before="80"/>
      </w:pPr>
      <w:r/>
    </w:p>
    <w:p>
      <w:pPr>
        <w:widowControl/>
        <w:spacing w:after="80" w:before="240"/>
      </w:pPr>
      <w:r>
        <w:rPr>
          <w:rFonts w:ascii="Arial" w:cs="Arial" w:eastAsia="Arial" w:hAnsi="Arial"/>
          <w:b/>
          <w:bCs/>
          <w:color w:val="2E5F8A"/>
          <w:sz w:val="24"/>
          <w:szCs w:val="24"/>
        </w:rPr>
        <w:t>18.1 Application Ownership After Internship</w:t>
      </w:r>
    </w:p>
    <w:p>
      <w:pPr>
        <w:widowControl/>
        <w:spacing w:after="80" w:before="40"/>
      </w:pPr>
      <w:r>
        <w:rPr>
          <w:rFonts w:ascii="Arial" w:cs="Arial" w:eastAsia="Arial" w:hAnsi="Arial"/>
          <w:sz w:val="20"/>
          <w:szCs w:val="20"/>
        </w:rPr>
        <w:t>Before the internship ends, every application, SharePoint list, and Power Automate flow must have an active government owner. The Operations Manager is the recommended near-term owner and should be confirmed and added as co-owner.</w:t>
      </w:r>
    </w:p>
    <w:p>
      <w:pPr>
        <w:widowControl/>
        <w:spacing w:after="80" w:before="240"/>
      </w:pPr>
      <w:r>
        <w:rPr>
          <w:rFonts w:ascii="Arial" w:cs="Arial" w:eastAsia="Arial" w:hAnsi="Arial"/>
          <w:b/>
          <w:bCs/>
          <w:color w:val="2E5F8A"/>
          <w:sz w:val="24"/>
          <w:szCs w:val="24"/>
        </w:rPr>
        <w:t>18.2 Data Domain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c>
          <w:tcPr>
            <w:tcW w:type="dxa" w:w="28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Data Domain</w:t>
            </w:r>
          </w:p>
        </w:tc>
        <w:tc>
          <w:tcPr>
            <w:tcW w:type="dxa" w:w="34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Recommended Owner</w:t>
            </w:r>
          </w:p>
        </w:tc>
        <w:tc>
          <w:tcPr>
            <w:tcW w:type="dxa" w:w="31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Update Cadence</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Project status / narrative</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Project Managers</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Bi-weekly or monthly per reporting cycle</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Financial actuals</w:t>
            </w:r>
          </w:p>
        </w:tc>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BFM, supported by Operations Manager</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Weekly (ERP extract); monthly (spend plan update)</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Contract / task order data</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Contracts team</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Per modification or invoice event</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Cyber compliance step</w:t>
            </w:r>
          </w:p>
        </w:tc>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Cyber Team Lead</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Per RMF step change</w:t>
            </w:r>
          </w:p>
        </w:tc>
      </w:tr>
      <w:tr>
        <w:trPr/>
        <w:tc>
          <w:tcPr>
            <w:tcW w:type="dxa" w:w="28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Schedule / milestones</w:t>
            </w:r>
          </w:p>
        </w:tc>
        <w:tc>
          <w:tcPr>
            <w:tcW w:type="dxa" w:w="34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Project Scheduler</w:t>
            </w:r>
          </w:p>
        </w:tc>
        <w:tc>
          <w:tcPr>
            <w:tcW w:type="dxa" w:w="3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Monthly or per status cycle</w:t>
            </w:r>
          </w:p>
        </w:tc>
      </w:tr>
      <w:tr>
        <w:trPr/>
        <w:tc>
          <w:tcPr>
            <w:tcW w:type="dxa" w:w="28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Engineering checklist</w:t>
            </w:r>
          </w:p>
        </w:tc>
        <w:tc>
          <w:tcPr>
            <w:tcW w:type="dxa" w:w="34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Engineering Team</w:t>
            </w:r>
          </w:p>
        </w:tc>
        <w:tc>
          <w:tcPr>
            <w:tcW w:type="dxa" w:w="3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Per project milestone or activity</w:t>
            </w:r>
          </w:p>
        </w:tc>
      </w:tr>
    </w:tbl>
    <w:p>
      <w:pPr>
        <w:spacing w:after="80" w:before="80"/>
      </w:pPr>
      <w:r/>
    </w:p>
    <w:p>
      <w:pPr>
        <w:widowControl/>
        <w:spacing w:after="80" w:before="240"/>
      </w:pPr>
      <w:r>
        <w:rPr>
          <w:rFonts w:ascii="Arial" w:cs="Arial" w:eastAsia="Arial" w:hAnsi="Arial"/>
          <w:b/>
          <w:bCs/>
          <w:color w:val="2E5F8A"/>
          <w:sz w:val="24"/>
          <w:szCs w:val="24"/>
        </w:rPr>
        <w:t>18.3 Handoff Package Contents</w:t>
      </w:r>
    </w:p>
    <w:p>
      <w:pPr>
        <w:pStyle w:val="ListParagraph"/>
        <w:widowControl/>
        <w:numPr>
          <w:ilvl w:val="0"/>
          <w:numId w:val="2"/>
        </w:numPr>
        <w:spacing w:after="50" w:before="30"/>
      </w:pPr>
      <w:r>
        <w:rPr>
          <w:rFonts w:ascii="Arial" w:cs="Arial" w:eastAsia="Arial" w:hAnsi="Arial"/>
          <w:sz w:val="20"/>
          <w:szCs w:val="20"/>
        </w:rPr>
        <w:t>Finalized data schema document with field-level detail and ownership assignments.</w:t>
      </w:r>
    </w:p>
    <w:p>
      <w:pPr>
        <w:pStyle w:val="ListParagraph"/>
        <w:widowControl/>
        <w:numPr>
          <w:ilvl w:val="0"/>
          <w:numId w:val="2"/>
        </w:numPr>
        <w:spacing w:after="50" w:before="30"/>
      </w:pPr>
      <w:r>
        <w:rPr>
          <w:rFonts w:ascii="Arial" w:cs="Arial" w:eastAsia="Arial" w:hAnsi="Arial"/>
          <w:sz w:val="20"/>
          <w:szCs w:val="20"/>
        </w:rPr>
        <w:t>SharePoint list structure documentation.</w:t>
      </w:r>
    </w:p>
    <w:p>
      <w:pPr>
        <w:pStyle w:val="ListParagraph"/>
        <w:widowControl/>
        <w:numPr>
          <w:ilvl w:val="0"/>
          <w:numId w:val="2"/>
        </w:numPr>
        <w:spacing w:after="50" w:before="30"/>
      </w:pPr>
      <w:r>
        <w:rPr>
          <w:rFonts w:ascii="Arial" w:cs="Arial" w:eastAsia="Arial" w:hAnsi="Arial"/>
          <w:sz w:val="20"/>
          <w:szCs w:val="20"/>
        </w:rPr>
        <w:t>Complete Forge project folder including full checkpoint history — not just the compiled Firepit artifact — so a successor can reopen and edit the application directly without reverse engineering.</w:t>
      </w:r>
    </w:p>
    <w:p>
      <w:pPr>
        <w:pStyle w:val="ListParagraph"/>
        <w:widowControl/>
        <w:numPr>
          <w:ilvl w:val="0"/>
          <w:numId w:val="2"/>
        </w:numPr>
        <w:spacing w:after="50" w:before="30"/>
      </w:pPr>
      <w:r>
        <w:rPr>
          <w:rFonts w:ascii="Arial" w:cs="Arial" w:eastAsia="Arial" w:hAnsi="Arial"/>
          <w:sz w:val="20"/>
          <w:szCs w:val="20"/>
        </w:rPr>
        <w:t>Written deployment guide covering the Forge compile step and the Firepit upload/configuration step.</w:t>
      </w:r>
    </w:p>
    <w:p>
      <w:pPr>
        <w:pStyle w:val="ListParagraph"/>
        <w:widowControl/>
        <w:numPr>
          <w:ilvl w:val="0"/>
          <w:numId w:val="2"/>
        </w:numPr>
        <w:spacing w:after="50" w:before="30"/>
      </w:pPr>
      <w:r>
        <w:rPr>
          <w:rFonts w:ascii="Arial" w:cs="Arial" w:eastAsia="Arial" w:hAnsi="Arial"/>
          <w:sz w:val="20"/>
          <w:szCs w:val="20"/>
        </w:rPr>
        <w:t>Pending features log and known issues list.</w:t>
      </w:r>
    </w:p>
    <w:p>
      <w:pPr>
        <w:pStyle w:val="ListParagraph"/>
        <w:widowControl/>
        <w:numPr>
          <w:ilvl w:val="0"/>
          <w:numId w:val="2"/>
        </w:numPr>
        <w:spacing w:after="50" w:before="30"/>
      </w:pPr>
      <w:r>
        <w:rPr>
          <w:rFonts w:ascii="Arial" w:cs="Arial" w:eastAsia="Arial" w:hAnsi="Arial"/>
          <w:sz w:val="20"/>
          <w:szCs w:val="20"/>
        </w:rPr>
        <w:t>Recommended next-steps memo for leadership.</w:t>
      </w:r>
    </w:p>
    <w:p>
      <w:r/>
    </w:p>
    <w:p>
      <w:pPr>
        <w:widowControl/>
        <w:pBdr>
          <w:bottom w:val="single" w:color="BF9000" w:sz="8" w:space="4"/>
        </w:pBdr>
        <w:spacing w:after="0" w:before="360"/>
      </w:pPr>
      <w:r>
        <w:rPr>
          <w:rFonts w:ascii="Arial" w:cs="Arial" w:eastAsia="Arial" w:hAnsi="Arial"/>
          <w:b/>
          <w:bCs/>
          <w:caps/>
          <w:color w:val="1B2A47"/>
          <w:sz w:val="28"/>
          <w:szCs w:val="28"/>
        </w:rPr>
        <w:t>19. Data Sensitivity and Security Considerations</w:t>
      </w:r>
    </w:p>
    <w:p>
      <w:pPr>
        <w:spacing w:after="80" w:before="80"/>
      </w:pPr>
      <w:r/>
    </w:p>
    <w:p>
      <w:pPr>
        <w:widowControl/>
        <w:spacing w:after="80" w:before="240"/>
      </w:pPr>
      <w:r>
        <w:rPr>
          <w:rFonts w:ascii="Arial" w:cs="Arial" w:eastAsia="Arial" w:hAnsi="Arial"/>
          <w:b/>
          <w:bCs/>
          <w:color w:val="2E5F8A"/>
          <w:sz w:val="24"/>
          <w:szCs w:val="24"/>
        </w:rPr>
        <w:t>19.1 IL5 Environment and Data Classification</w:t>
      </w:r>
    </w:p>
    <w:p>
      <w:pPr>
        <w:widowControl/>
        <w:spacing w:after="80" w:before="40"/>
      </w:pPr>
      <w:r>
        <w:rPr>
          <w:rFonts w:ascii="Arial" w:cs="Arial" w:eastAsia="Arial" w:hAnsi="Arial"/>
          <w:sz w:val="20"/>
          <w:szCs w:val="20"/>
        </w:rPr>
        <w:t>The recommended solution will remain within Flank Speed (IL5). Native SharePoint and SPFx components inherit the existing authorization; no separate ATO is required.</w:t>
      </w:r>
    </w:p>
    <w:p>
      <w:pPr>
        <w:widowControl/>
        <w:spacing w:after="80" w:before="40"/>
      </w:pPr>
      <w:r>
        <w:rPr>
          <w:rFonts w:ascii="Arial" w:cs="Arial" w:eastAsia="Arial" w:hAnsi="Arial"/>
          <w:sz w:val="20"/>
          <w:szCs w:val="20"/>
        </w:rPr>
        <w:t>The schema must be reviewed to ensure that combining project, cyber-compliance, system-identity, and location fields does not create a more sensitive data product.</w:t>
      </w:r>
    </w:p>
    <w:p>
      <w:pPr>
        <w:widowControl/>
        <w:spacing w:after="80" w:before="240"/>
      </w:pPr>
      <w:r>
        <w:rPr>
          <w:rFonts w:ascii="Arial" w:cs="Arial" w:eastAsia="Arial" w:hAnsi="Arial"/>
          <w:b/>
          <w:bCs/>
          <w:color w:val="2E5F8A"/>
          <w:sz w:val="24"/>
          <w:szCs w:val="24"/>
        </w:rPr>
        <w:t>19.2 System Identity and Location Data — Known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2C4A63" w:sz="4"/>
              <w:left w:val="single" w:color="2C4A63" w:sz="4"/>
              <w:bottom w:val="single" w:color="2C4A63" w:sz="4"/>
              <w:right w:val="single" w:color="2C4A63" w:sz="4"/>
            </w:tcBorders>
            <w:shd w:fill="F2F1EC" w:val="clear"/>
            <w:tcMar>
              <w:top w:type="dxa" w:w="55"/>
              <w:left w:type="dxa" w:w="180"/>
              <w:bottom w:type="dxa" w:w="55"/>
              <w:right w:type="dxa" w:w="180"/>
              <w:start w:w="80" w:type="dxa"/>
              <w:end w:w="80" w:type="dxa"/>
            </w:tcMar>
            <w:vAlign w:val="center"/>
          </w:tcPr>
          <w:p>
            <w:pPr>
              <w:spacing w:after="30" w:before="0" w:line="240" w:lineRule="auto"/>
            </w:pPr>
            <w:r>
              <w:rPr>
                <w:rFonts w:ascii="Arial" w:cs="Arial" w:eastAsia="Arial" w:hAnsi="Arial"/>
                <w:i/>
                <w:iCs/>
                <w:color w:val="1B2A47"/>
                <w:sz w:val="18"/>
                <w:szCs w:val="18"/>
              </w:rPr>
              <w:t>RISK: Combining the identity of a specific system with a specific range or site location in the same data record may create an unnecessarily sensitive combined data product, even if each piece of information is individually unremarkable. This concern was raised explicitly by experienced developers in the GPETE peer IPT team during their tool demonstration. Consult AEWTTR's security team before linking system-to-site data in any shared application.</w:t>
            </w:r>
          </w:p>
        </w:tc>
      </w:tr>
    </w:tbl>
    <w:p>
      <w:pPr>
        <w:spacing w:after="60" w:before="60"/>
      </w:pPr>
      <w:r/>
    </w:p>
    <w:p>
      <w:pPr>
        <w:widowControl/>
        <w:spacing w:after="80" w:before="40"/>
      </w:pPr>
      <w:r>
        <w:rPr>
          <w:rFonts w:ascii="Arial" w:cs="Arial" w:eastAsia="Arial" w:hAnsi="Arial"/>
          <w:sz w:val="20"/>
          <w:szCs w:val="20"/>
        </w:rPr>
        <w:t>Keep system identity and range/site location in separate data objects where possible and link them with a non-identifying key. Complete a security review before finalizing sensitive field combinations.</w:t>
      </w:r>
    </w:p>
    <w:p>
      <w:pPr>
        <w:widowControl/>
        <w:spacing w:after="80" w:before="240"/>
      </w:pPr>
      <w:r>
        <w:rPr>
          <w:rFonts w:ascii="Arial" w:cs="Arial" w:eastAsia="Arial" w:hAnsi="Arial"/>
          <w:b/>
          <w:bCs/>
          <w:color w:val="2E5F8A"/>
          <w:sz w:val="24"/>
          <w:szCs w:val="24"/>
        </w:rPr>
        <w:t>19.3 Restricted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c>
          <w:tcPr>
            <w:tcW w:type="dxa" w:w="2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System</w:t>
            </w:r>
          </w:p>
        </w:tc>
        <w:tc>
          <w:tcPr>
            <w:tcW w:type="dxa" w:w="26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Access Status</w:t>
            </w:r>
          </w:p>
        </w:tc>
        <w:tc>
          <w:tcPr>
            <w:tcW w:type="dxa" w:w="45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Application Approach</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Navy ERP</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Manual export only (weekly by BFM)</w:t>
            </w:r>
          </w:p>
        </w:tc>
        <w:tc>
          <w:tcPr>
            <w:tcW w:type="dxa" w:w="4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Manual file drop to shared SPO folder; import into financial list.</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eMASS</w:t>
            </w:r>
          </w:p>
        </w:tc>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Restricted network — no direct access</w:t>
            </w:r>
          </w:p>
        </w:tc>
        <w:tc>
          <w:tcPr>
            <w:tcW w:type="dxa" w:w="4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Manual entry by cyber team into cyber compliance step field.</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Electronic Document Access (EDA)</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Likely blocked on NMCI — not confirmed [Confirm]</w:t>
            </w:r>
          </w:p>
        </w:tc>
        <w:tc>
          <w:tcPr>
            <w:tcW w:type="dxa" w:w="4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Manual entry or informational link only.</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Wide Area Workflow (WAW)</w:t>
            </w:r>
          </w:p>
        </w:tc>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Likely blocked on NMCI — not confirmed [Confirm]</w:t>
            </w:r>
          </w:p>
        </w:tc>
        <w:tc>
          <w:tcPr>
            <w:tcW w:type="dxa" w:w="4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Manual entry or informational link only.</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SAM.gov</w:t>
            </w:r>
          </w:p>
        </w:tc>
        <w:tc>
          <w:tcPr>
            <w:tcW w:type="dxa" w:w="26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Likely blocked on NMCI — not confirmed [Confirm]</w:t>
            </w:r>
          </w:p>
        </w:tc>
        <w:tc>
          <w:tcPr>
            <w:tcW w:type="dxa" w:w="45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Informational link only.</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Windchill</w:t>
            </w:r>
          </w:p>
        </w:tc>
        <w:tc>
          <w:tcPr>
            <w:tcW w:type="dxa" w:w="26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Access and document naming issues documented</w:t>
            </w:r>
          </w:p>
        </w:tc>
        <w:tc>
          <w:tcPr>
            <w:tcW w:type="dxa" w:w="45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Informational links where records can be located; naming cleanup recommended before linking.</w:t>
            </w:r>
          </w:p>
        </w:tc>
      </w:tr>
    </w:tbl>
    <w:p>
      <w:r/>
    </w:p>
    <w:p>
      <w:pPr>
        <w:widowControl/>
        <w:pBdr>
          <w:bottom w:val="single" w:color="BF9000" w:sz="8" w:space="4"/>
        </w:pBdr>
        <w:spacing w:after="0" w:before="360"/>
      </w:pPr>
      <w:r>
        <w:rPr>
          <w:rFonts w:ascii="Arial" w:cs="Arial" w:eastAsia="Arial" w:hAnsi="Arial"/>
          <w:b/>
          <w:bCs/>
          <w:caps/>
          <w:color w:val="1B2A47"/>
          <w:sz w:val="28"/>
          <w:szCs w:val="28"/>
        </w:rPr>
        <w:t>20. Final Recommendation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2C4A63" w:sz="4"/>
              <w:left w:val="single" w:color="2C4A63" w:sz="4"/>
              <w:bottom w:val="single" w:color="2C4A63" w:sz="4"/>
              <w:right w:val="single" w:color="2C4A63" w:sz="4"/>
            </w:tcBorders>
            <w:shd w:fill="DCE1E2" w:val="clear"/>
            <w:tcMar>
              <w:top w:type="dxa" w:w="55"/>
              <w:left w:type="dxa" w:w="180"/>
              <w:bottom w:type="dxa" w:w="55"/>
              <w:right w:type="dxa" w:w="180"/>
              <w:start w:w="80" w:type="dxa"/>
              <w:end w:w="80" w:type="dxa"/>
            </w:tcMar>
            <w:vAlign w:val="center"/>
          </w:tcPr>
          <w:p>
            <w:pPr>
              <w:spacing w:after="30" w:before="0" w:line="240" w:lineRule="auto"/>
            </w:pPr>
            <w:r>
              <w:rPr>
                <w:rFonts w:ascii="Arial" w:cs="Arial" w:eastAsia="Arial" w:hAnsi="Arial"/>
                <w:i/>
                <w:iCs/>
                <w:color w:val="1B2A47"/>
                <w:sz w:val="18"/>
                <w:szCs w:val="18"/>
              </w:rPr>
              <w:t>RECOMMENDED: Alternative 3 — Firepit/Forge. Build the Team Project Dashboard and surrounding application suite as a single-shell application authored in Forge and deployed through the Firepit SPFx web part on the AEWTTR SharePoint site, using SharePoint Lists as the data backbone. Weighted score: 455/500. If the SharePoint deployment path proves impractical during Phase 2, Alternative 2 (Power Apps / Power Platform — 405/500) is the direct fallback, and all Phase 0 schema work transfers without rework.</w:t>
            </w:r>
          </w:p>
        </w:tc>
      </w:tr>
    </w:tbl>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c>
          <w:tcPr>
            <w:tcW w:type="dxa" w:w="30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Element</w:t>
            </w:r>
          </w:p>
        </w:tc>
        <w:tc>
          <w:tcPr>
            <w:tcW w:type="dxa" w:w="63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Recommendation</w:t>
            </w:r>
          </w:p>
        </w:tc>
      </w:tr>
      <w:tr>
        <w:trPr/>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Recommended Alternative</w:t>
            </w:r>
          </w:p>
        </w:tc>
        <w:tc>
          <w:tcPr>
            <w:tcW w:type="dxa" w:w="6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Alternative 3 — Firepit/Forge (Fallback: Alternative 2 — Power Apps / Power Platform)</w:t>
            </w:r>
          </w:p>
        </w:tc>
      </w:tr>
      <w:tr>
        <w:trPr/>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Recommended First Step</w:t>
            </w:r>
          </w:p>
        </w:tc>
        <w:tc>
          <w:tcPr>
            <w:tcW w:type="dxa" w:w="6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Schedule a working session with the IPT Lead within the next week to confirm dashboard metrics, data field priorities, and data owner assignments — while simultaneously confirming the Firepit app catalog deployment path. No development beyond the schema should proceed without the metrics input.</w:t>
            </w:r>
          </w:p>
        </w:tc>
      </w:tr>
      <w:tr>
        <w:trPr/>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Primary Deliverable</w:t>
            </w:r>
          </w:p>
        </w:tc>
        <w:tc>
          <w:tcPr>
            <w:tcW w:type="dxa" w:w="6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Data Schema and Source Mapping document (front-end-agnostic; required before any build work begins)</w:t>
            </w:r>
          </w:p>
        </w:tc>
      </w:tr>
      <w:tr>
        <w:trPr/>
        <w:tc>
          <w:tcPr>
            <w:tcW w:type="dxa" w:w="30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Secondary Deliverable</w:t>
            </w:r>
          </w:p>
        </w:tc>
        <w:tc>
          <w:tcPr>
            <w:tcW w:type="dxa" w:w="63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Minimum viable application shell (SharePoint list backbone + Firepit-hosted portfolio view, or Power Apps equivalent if the fallback applies)</w:t>
            </w:r>
          </w:p>
        </w:tc>
      </w:tr>
      <w:tr>
        <w:trPr/>
        <w:tc>
          <w:tcPr>
            <w:tcW w:type="dxa" w:w="30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What to Defer</w:t>
            </w:r>
          </w:p>
        </w:tc>
        <w:tc>
          <w:tcPr>
            <w:tcW w:type="dxa" w:w="63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Dataverse backend migration (pending Echelon 2 approval); full report generation automation (pending NMCI feasibility confirmation); all standalone projects listed as out of scope in Section 6</w:t>
            </w:r>
          </w:p>
        </w:tc>
      </w:tr>
    </w:tbl>
    <w:p>
      <w:pPr>
        <w:spacing w:after="80" w:before="80"/>
      </w:pPr>
      <w:r/>
    </w:p>
    <w:p>
      <w:pPr>
        <w:widowControl/>
        <w:spacing w:after="80" w:before="40"/>
      </w:pPr>
      <w:r>
        <w:rPr>
          <w:rFonts w:ascii="Arial" w:cs="Arial" w:eastAsia="Arial" w:hAnsi="Arial"/>
          <w:sz w:val="20"/>
          <w:szCs w:val="20"/>
        </w:rPr>
        <w:t>Leadership should make one decision immediately: who will own the application and its data after the internship ends. This decision has a deadline — if it is not made before the internship concludes, work built during the engagement is at risk of being unusable or unmaintainable regardless of which platform was selected.</w:t>
      </w:r>
    </w:p>
    <w:p>
      <w:r/>
    </w:p>
    <w:p>
      <w:pPr>
        <w:pageBreakBefore/>
        <w:widowControl/>
        <w:pBdr>
          <w:bottom w:val="single" w:color="BF9000" w:sz="8" w:space="4"/>
        </w:pBdr>
        <w:spacing w:after="0" w:before="360"/>
      </w:pPr>
      <w:r>
        <w:rPr>
          <w:rFonts w:ascii="Arial" w:cs="Arial" w:eastAsia="Arial" w:hAnsi="Arial"/>
          <w:b/>
          <w:bCs/>
          <w:caps/>
          <w:color w:val="1B2A47"/>
          <w:sz w:val="28"/>
          <w:szCs w:val="28"/>
        </w:rPr>
        <w:t>Appendix A: Acronyms and Terms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c>
          <w:tcPr>
            <w:tcW w:type="dxa" w:w="220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Term / Acronym</w:t>
            </w:r>
          </w:p>
        </w:tc>
        <w:tc>
          <w:tcPr>
            <w:tcW w:type="dxa" w:w="7160"/>
            <w:tcBorders>
              <w:top w:val="single" w:color="1B2A47" w:sz="4"/>
              <w:left w:val="single" w:color="1B2A47" w:sz="4"/>
              <w:bottom w:val="single" w:color="1B2A47" w:sz="4"/>
              <w:right w:val="single" w:color="1B2A47" w:sz="4"/>
            </w:tcBorders>
            <w:shd w:fill="2C4A63" w:val="clear"/>
            <w:tcMar>
              <w:top w:type="dxa" w:w="55"/>
              <w:left w:type="dxa" w:w="120"/>
              <w:bottom w:type="dxa" w:w="55"/>
              <w:right w:type="dxa" w:w="120"/>
              <w:start w:w="80" w:type="dxa"/>
              <w:end w:w="80" w:type="dxa"/>
            </w:tcMar>
            <w:vAlign w:val="center"/>
          </w:tcPr>
          <w:p>
            <w:pPr>
              <w:spacing w:before="0" w:after="30" w:line="240" w:lineRule="auto"/>
              <w:jc w:val="center"/>
            </w:pPr>
            <w:r>
              <w:rPr>
                <w:rFonts w:ascii="Arial" w:cs="Arial" w:eastAsia="Arial" w:hAnsi="Arial"/>
                <w:b/>
                <w:bCs/>
                <w:color w:val="FFFFFF"/>
                <w:sz w:val="18"/>
                <w:szCs w:val="18"/>
              </w:rPr>
              <w:t>Definition</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AAF</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Adaptive Acquisition Framework — DoD acquisition policy framework providing tailored pathways for different program types.</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ATO</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Authority to Operate — formal authorization for a system to process government information at a specific classification level.</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BFM</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Budget/Financial Manager — the financial manager embedded with the AEWTTR IPT.</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CAC/PIV</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Common Access Card / Personal Identity Verification — DoD-standard smart card authentication for system access.</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CIRRUS</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DoD Power Platform licensing management application for Echelon 2 Dataverse access requests.</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CSDVD</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[Confirm with Cyber Team Lead] — A deliverable distributed by the cyber team; never fully expanded in source materials.</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CUI</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Controlled Unclassified Information — information that requires safeguarding or dissemination controls per applicable law, regulation, or government-wide policy.</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DoDI</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Department of Defense Instruction.</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EDA</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Electronic Document Access — DoD contract document repository. NMCI availability requires confirmation.</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eMASS</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Enterprise Mission Assurance Support Service — DoD RMF tracking system; operates on a restricted network.</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ERP</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Enterprise Resource Planning — Navy ERP financial system from which the BFM extracts weekly financial data.</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ESDP</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Engineering and Scientist Development Program — DoD junior professional rotational program.</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GPETE</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General Purpose Electronic/Electrical Test Equipment — peer IPT whose mature Power Platform suite was demonstrated during the internship.</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IL5</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Impact Level 5 — DoD cloud data classification for CUI requiring higher protection. Flank Speed operates at IL5.</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IMS</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Integrated Master Schedule — formal project schedule maintained in Microsoft Project by the project scheduler.</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IPT</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Integrated Product Team.</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ITSM</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Information Technology Service Management — enterprise ticketing and service management capability (ServiceNow's ITSM module).</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M365</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Microsoft 365 — the enterprise productivity suite that Flank Speed is built upon.</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NAVWAR / PEO Digital</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Naval Information Warfare Systems Command, Program Executive Office Digital — the organization within which Firepit/Forge was developed.</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NMCI</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Navy Marine Corps Intranet — the Navy's enterprise network on which the AEWTTR IPT operates.</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NSC</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National Security Cloud — ServiceNow's government-focused SaaS/PaaS offering.</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NAWCWD</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Naval Air Warfare Center Weapons Division — the installation at China Lake, CA.</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PM</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Project Manager.</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PMA-205</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Program Manager Air 205 — the primary EW Systems sponsor for AEWTTR.</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RMF</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Risk Management Framework — the DoD/IC process for authorizing information systems to operate.</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SBOM</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Software Bill of Materials — a standard software supply-chain artifact generated by Forge's Security Reviewer.</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SRAM</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[Confirm full expansion with Engineering Team] — acquisition project type referenced by the engineering team.</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SPFx</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SharePoint Framework — Microsoft's supported extensibility model for building custom SharePoint web parts; confirmed active and Microsoft-supported through 2026 per public roadmap.</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SPM</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Strategic Portfolio Management — the ServiceNow module covering portfolio and project tracking (Alternative 6).</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SPO / SharePoint</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SharePoint Online — Microsoft's cloud-based collaboration and document management platform, part of M365/Flank Speed.</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TRAM</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[Confirm full expansion with Project Management Team] — sponsor referenced by the project management team.</w:t>
            </w:r>
          </w:p>
        </w:tc>
      </w:tr>
      <w:tr>
        <w:trPr/>
        <w:tc>
          <w:tcPr>
            <w:tcW w:type="dxa" w:w="220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TTSD</w:t>
            </w:r>
          </w:p>
        </w:tc>
        <w:tc>
          <w:tcPr>
            <w:tcW w:type="dxa" w:w="7160"/>
            <w:tcBorders>
              <w:top w:val="single" w:color="CCCCCC" w:sz="4"/>
              <w:left w:val="single" w:color="CCCCCC" w:sz="4"/>
              <w:bottom w:val="single" w:color="CCCCCC" w:sz="4"/>
              <w:right w:val="single" w:color="CCCCCC" w:sz="4"/>
            </w:tcBorders>
            <w:shd w:fill="FFFFFF"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[AEWTTR parent organization at NAWCWD — confirm full expansion with IPT Lead]</w:t>
            </w:r>
          </w:p>
        </w:tc>
      </w:tr>
      <w:tr>
        <w:trPr/>
        <w:tc>
          <w:tcPr>
            <w:tcW w:type="dxa" w:w="220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bCs/>
                <w:color w:val="1B2A47"/>
                <w:sz w:val="18"/>
                <w:szCs w:val="18"/>
              </w:rPr>
              <w:t xml:space="preserve">WAW</w:t>
            </w:r>
          </w:p>
        </w:tc>
        <w:tc>
          <w:tcPr>
            <w:tcW w:type="dxa" w:w="7160"/>
            <w:tcBorders>
              <w:top w:val="single" w:color="CCCCCC" w:sz="4"/>
              <w:left w:val="single" w:color="CCCCCC" w:sz="4"/>
              <w:bottom w:val="single" w:color="CCCCCC" w:sz="4"/>
              <w:right w:val="single" w:color="CCCCCC" w:sz="4"/>
            </w:tcBorders>
            <w:shd w:fill="F2F1EC" w:val="clear"/>
            <w:tcMar>
              <w:top w:type="dxa" w:w="55"/>
              <w:left w:type="dxa" w:w="100"/>
              <w:bottom w:type="dxa" w:w="55"/>
              <w:right w:type="dxa" w:w="100"/>
              <w:start w:w="80" w:type="dxa"/>
              <w:end w:w="80" w:type="dxa"/>
            </w:tcMar>
            <w:vAlign w:val="center"/>
          </w:tcPr>
          <w:p>
            <w:pPr>
              <w:spacing w:before="0" w:after="30" w:line="240" w:lineRule="auto"/>
              <w:jc w:val="left"/>
            </w:pPr>
            <w:r>
              <w:rPr>
                <w:rFonts w:ascii="Arial" w:cs="Arial" w:eastAsia="Arial" w:hAnsi="Arial"/>
                <w:b w:val="false"/>
                <w:bCs w:val="false"/>
                <w:sz w:val="18"/>
                <w:szCs w:val="18"/>
              </w:rPr>
              <w:t xml:space="preserve">Wide Area Workflow — DoD invoicing system. NMCI availability requires confirmation.</w:t>
            </w:r>
          </w:p>
        </w:tc>
      </w:tr>
    </w:tbl>
    <w:p>
      <w:r/>
    </w:p>
    <w:p>
      <w:pPr>
        <w:widowControl/>
        <w:pBdr>
          <w:bottom w:val="single" w:color="BF9000" w:sz="8" w:space="4"/>
        </w:pBdr>
        <w:spacing w:after="0" w:before="360"/>
      </w:pPr>
      <w:r>
        <w:rPr>
          <w:rFonts w:ascii="Arial" w:cs="Arial" w:eastAsia="Arial" w:hAnsi="Arial"/>
          <w:b/>
          <w:bCs/>
          <w:caps/>
          <w:color w:val="1B2A47"/>
          <w:sz w:val="28"/>
          <w:szCs w:val="28"/>
        </w:rPr>
        <w:t>Appendix B: Sources and References</w:t>
      </w:r>
    </w:p>
    <w:p>
      <w:pPr>
        <w:spacing w:after="80" w:before="80"/>
      </w:pPr>
      <w:r/>
    </w:p>
    <w:p>
      <w:pPr>
        <w:widowControl/>
        <w:spacing w:after="80" w:before="240"/>
      </w:pPr>
      <w:r>
        <w:rPr>
          <w:rFonts w:ascii="Arial" w:cs="Arial" w:eastAsia="Arial" w:hAnsi="Arial"/>
          <w:b/>
          <w:bCs/>
          <w:color w:val="2E5F8A"/>
          <w:sz w:val="24"/>
          <w:szCs w:val="24"/>
        </w:rPr>
        <w:t>B.1 Regulatory and Policy Authority</w:t>
      </w:r>
    </w:p>
    <w:p>
      <w:pPr>
        <w:pStyle w:val="ListParagraph"/>
        <w:widowControl/>
        <w:numPr>
          <w:ilvl w:val="0"/>
          <w:numId w:val="2"/>
        </w:numPr>
        <w:spacing w:after="50" w:before="30"/>
      </w:pPr>
      <w:r>
        <w:rPr>
          <w:rFonts w:ascii="Arial" w:cs="Arial" w:eastAsia="Arial" w:hAnsi="Arial"/>
          <w:sz w:val="20"/>
          <w:szCs w:val="20"/>
        </w:rPr>
        <w:t>Department of Defense Instruction 5000.84, "Analysis of Alternatives," Office of the Director, Cost Assessment and Program Evaluation (DCAPE), August 4, 2020. Available at: https://www.esd.whs.mil/Portals/54/Documents/DD/issuances/dodi/500084p.pdf</w:t>
      </w:r>
    </w:p>
    <w:p>
      <w:pPr>
        <w:pStyle w:val="ListParagraph"/>
        <w:widowControl/>
        <w:numPr>
          <w:ilvl w:val="0"/>
          <w:numId w:val="2"/>
        </w:numPr>
        <w:spacing w:after="50" w:before="30"/>
      </w:pPr>
      <w:r>
        <w:rPr>
          <w:rFonts w:ascii="Arial" w:cs="Arial" w:eastAsia="Arial" w:hAnsi="Arial"/>
          <w:sz w:val="20"/>
          <w:szCs w:val="20"/>
        </w:rPr>
        <w:t>DoD Directive 5105.84, "Director of Cost Assessment Program Evaluation," May 11, 2012, as amended.</w:t>
      </w:r>
    </w:p>
    <w:p>
      <w:pPr>
        <w:pStyle w:val="ListParagraph"/>
        <w:widowControl/>
        <w:numPr>
          <w:ilvl w:val="0"/>
          <w:numId w:val="2"/>
        </w:numPr>
        <w:spacing w:after="50" w:before="30"/>
      </w:pPr>
      <w:r>
        <w:rPr>
          <w:rFonts w:ascii="Arial" w:cs="Arial" w:eastAsia="Arial" w:hAnsi="Arial"/>
          <w:sz w:val="20"/>
          <w:szCs w:val="20"/>
        </w:rPr>
        <w:t>National Defense Authorization Act for Fiscal Year 2020, Section 832 (Analysis of Alternatives requirements), Public Law 116-92, December 20, 2019.</w:t>
      </w:r>
    </w:p>
    <w:p>
      <w:pPr>
        <w:pStyle w:val="ListParagraph"/>
        <w:widowControl/>
        <w:numPr>
          <w:ilvl w:val="0"/>
          <w:numId w:val="2"/>
        </w:numPr>
        <w:spacing w:after="50" w:before="30"/>
      </w:pPr>
      <w:r>
        <w:rPr>
          <w:rFonts w:ascii="Arial" w:cs="Arial" w:eastAsia="Arial" w:hAnsi="Arial"/>
          <w:sz w:val="20"/>
          <w:szCs w:val="20"/>
        </w:rPr>
        <w:t>DoD Adaptive Acquisition Framework (AAF) — tailored acquisition policy framework referenced in Section 3 as the guiding methodology for this internal planning analysis. Available at: https://aaf.dau.edu/</w:t>
      </w:r>
    </w:p>
    <w:p>
      <w:pPr>
        <w:pStyle w:val="ListParagraph"/>
        <w:widowControl/>
        <w:numPr>
          <w:ilvl w:val="0"/>
          <w:numId w:val="2"/>
        </w:numPr>
        <w:spacing w:after="50" w:before="30"/>
      </w:pPr>
      <w:r>
        <w:rPr>
          <w:rFonts w:ascii="Arial" w:cs="Arial" w:eastAsia="Arial" w:hAnsi="Arial"/>
          <w:sz w:val="20"/>
          <w:szCs w:val="20"/>
        </w:rPr>
        <w:t>Title 10, United States Code, Sections 2366a and 2366b — Milestone certifications for major defense acquisition programs.</w:t>
      </w:r>
    </w:p>
    <w:p>
      <w:pPr>
        <w:spacing w:after="60" w:before="60"/>
      </w:pPr>
      <w:r/>
    </w:p>
    <w:p>
      <w:pPr>
        <w:widowControl/>
        <w:spacing w:after="80" w:before="240"/>
      </w:pPr>
      <w:r>
        <w:rPr>
          <w:rFonts w:ascii="Arial" w:cs="Arial" w:eastAsia="Arial" w:hAnsi="Arial"/>
          <w:b/>
          <w:bCs/>
          <w:color w:val="2E5F8A"/>
          <w:sz w:val="24"/>
          <w:szCs w:val="24"/>
        </w:rPr>
        <w:t>B.2 DoD and Navy Environment References</w:t>
      </w:r>
    </w:p>
    <w:p>
      <w:pPr>
        <w:pStyle w:val="ListParagraph"/>
        <w:widowControl/>
        <w:numPr>
          <w:ilvl w:val="0"/>
          <w:numId w:val="2"/>
        </w:numPr>
        <w:spacing w:after="50" w:before="30"/>
      </w:pPr>
      <w:r>
        <w:rPr>
          <w:rFonts w:ascii="Arial" w:cs="Arial" w:eastAsia="Arial" w:hAnsi="Arial"/>
          <w:sz w:val="20"/>
          <w:szCs w:val="20"/>
        </w:rPr>
        <w:t>Department of Defense Cloud Computing Security Requirements Guide (SRG), Version 1, Release 4 — defines the Impact Level framework including IL5 for CUI requiring higher protection. Available at: https://dl.dod.cyber.mil/wp-content/uploads/cloud/pdf/Cloud_Computing_SRG_v1r4.pdf</w:t>
      </w:r>
    </w:p>
    <w:p>
      <w:pPr>
        <w:pStyle w:val="ListParagraph"/>
        <w:widowControl/>
        <w:numPr>
          <w:ilvl w:val="0"/>
          <w:numId w:val="2"/>
        </w:numPr>
        <w:spacing w:after="50" w:before="30"/>
      </w:pPr>
      <w:r>
        <w:rPr>
          <w:rFonts w:ascii="Arial" w:cs="Arial" w:eastAsia="Arial" w:hAnsi="Arial"/>
          <w:sz w:val="20"/>
          <w:szCs w:val="20"/>
        </w:rPr>
        <w:t>Risk Management Framework for DoD Information Technology (DoDI 8510.01) — the authoritative DoD source for RMF ATO processes referenced in Section 19. Available at: https://www.esd.whs.mil/Portals/54/Documents/DD/issuances/dodi/851001p.pdf</w:t>
      </w:r>
    </w:p>
    <w:p>
      <w:pPr>
        <w:pStyle w:val="ListParagraph"/>
        <w:widowControl/>
        <w:numPr>
          <w:ilvl w:val="0"/>
          <w:numId w:val="2"/>
        </w:numPr>
        <w:spacing w:after="50" w:before="30"/>
      </w:pPr>
      <w:r>
        <w:rPr>
          <w:rFonts w:ascii="Arial" w:cs="Arial" w:eastAsia="Arial" w:hAnsi="Arial"/>
          <w:sz w:val="20"/>
          <w:szCs w:val="20"/>
        </w:rPr>
        <w:t>Flank Speed (DoD Microsoft 365 Tenant) — the Navy's enterprise M365 environment in which all recommended solutions are hosted. Environment status and feature availability confirmed through direct team testing and NMCI POC consultation during the internship (June–July 2026).</w:t>
      </w:r>
    </w:p>
    <w:p>
      <w:pPr>
        <w:pStyle w:val="ListParagraph"/>
        <w:widowControl/>
        <w:numPr>
          <w:ilvl w:val="0"/>
          <w:numId w:val="2"/>
        </w:numPr>
        <w:spacing w:after="50" w:before="30"/>
      </w:pPr>
      <w:r>
        <w:rPr>
          <w:rFonts w:ascii="Arial" w:cs="Arial" w:eastAsia="Arial" w:hAnsi="Arial"/>
          <w:sz w:val="20"/>
          <w:szCs w:val="20"/>
        </w:rPr>
        <w:t>NAVWAR PEO Digital Firepit/Forge Technical Architecture Review — internal technical review of four files conducted by the analyst: Forge.html (authoring tool, ~8MB), firepit-prod.sppkg (production SPFx package), firepit_7.0.7.0.sppkg (production SPFx package), and firepit-src-7.1.0.zip (TypeScript web part source). All technical claims about Firepit/Forge in this document are drawn from this review. June 2026.</w:t>
      </w:r>
    </w:p>
    <w:p>
      <w:pPr>
        <w:pStyle w:val="ListParagraph"/>
        <w:widowControl/>
        <w:numPr>
          <w:ilvl w:val="0"/>
          <w:numId w:val="2"/>
        </w:numPr>
        <w:spacing w:after="50" w:before="30"/>
      </w:pPr>
      <w:r>
        <w:rPr>
          <w:rFonts w:ascii="Arial" w:cs="Arial" w:eastAsia="Arial" w:hAnsi="Arial"/>
          <w:sz w:val="20"/>
          <w:szCs w:val="20"/>
        </w:rPr>
        <w:t>GPETE IPT Power Platform Suite — live demonstration by the Lead Developer and Lead Engineer, June 2026, NAWCWD China Lake. It informed Alternative 2 scoring and confirmed Power Platform viability within NMCI/IL5.</w:t>
      </w:r>
    </w:p>
    <w:p>
      <w:pPr>
        <w:pStyle w:val="ListParagraph"/>
        <w:widowControl/>
        <w:numPr>
          <w:ilvl w:val="0"/>
          <w:numId w:val="2"/>
        </w:numPr>
        <w:spacing w:after="50" w:before="30"/>
      </w:pPr>
      <w:r>
        <w:rPr>
          <w:rFonts w:ascii="Arial" w:cs="Arial" w:eastAsia="Arial" w:hAnsi="Arial"/>
          <w:sz w:val="20"/>
          <w:szCs w:val="20"/>
        </w:rPr>
        <w:t>NMCI Confirmed Feature Restrictions — the following Power Automate and platform restrictions were confirmed through direct testing during the internship: 'Populate a Word Template' action (silently fails); Teams group calendar connector (unavailable for Power Automate flows); Dataverse access (requires CIRRUS/Azure approval and Echelon 2 authorization); Microsoft Planner subtasks (removed from DoD rollout); public SharePoint form sharing (prohibited).</w:t>
      </w:r>
    </w:p>
    <w:p>
      <w:pPr>
        <w:spacing w:after="60" w:before="60"/>
      </w:pPr>
      <w:r/>
    </w:p>
    <w:p>
      <w:pPr>
        <w:widowControl/>
        <w:spacing w:after="80" w:before="240"/>
      </w:pPr>
      <w:r>
        <w:rPr>
          <w:rFonts w:ascii="Arial" w:cs="Arial" w:eastAsia="Arial" w:hAnsi="Arial"/>
          <w:b/>
          <w:bCs/>
          <w:color w:val="2E5F8A"/>
          <w:sz w:val="24"/>
          <w:szCs w:val="24"/>
        </w:rPr>
        <w:t>B.3 Vendor and Platform Sources</w:t>
      </w:r>
    </w:p>
    <w:p>
      <w:pPr>
        <w:pStyle w:val="ListParagraph"/>
        <w:widowControl/>
        <w:numPr>
          <w:ilvl w:val="0"/>
          <w:numId w:val="2"/>
        </w:numPr>
        <w:spacing w:after="50" w:before="30"/>
      </w:pPr>
      <w:r>
        <w:rPr>
          <w:rFonts w:ascii="Arial" w:cs="Arial" w:eastAsia="Arial" w:hAnsi="Arial"/>
          <w:sz w:val="20"/>
          <w:szCs w:val="20"/>
        </w:rPr>
        <w:t>Microsoft Corporation. Power Platform documentation — Power Apps, Power Automate, Power BI. Available at: https://docs.microsoft.com/en-us/power-platform/</w:t>
      </w:r>
    </w:p>
    <w:p>
      <w:pPr>
        <w:pStyle w:val="ListParagraph"/>
        <w:widowControl/>
        <w:numPr>
          <w:ilvl w:val="0"/>
          <w:numId w:val="2"/>
        </w:numPr>
        <w:spacing w:after="50" w:before="30"/>
      </w:pPr>
      <w:r>
        <w:rPr>
          <w:rFonts w:ascii="Arial" w:cs="Arial" w:eastAsia="Arial" w:hAnsi="Arial"/>
          <w:sz w:val="20"/>
          <w:szCs w:val="20"/>
        </w:rPr>
        <w:t>Microsoft Corporation. Microsoft 365 Government (GCC High / DoD) service descriptions and licensing guidance. Available at: https://docs.microsoft.com/en-us/office365/servicedescriptions/office-365-platform-service-description/microsoft-365-government</w:t>
      </w:r>
    </w:p>
    <w:p>
      <w:pPr>
        <w:pStyle w:val="ListParagraph"/>
        <w:widowControl/>
        <w:numPr>
          <w:ilvl w:val="0"/>
          <w:numId w:val="2"/>
        </w:numPr>
        <w:spacing w:after="50" w:before="30"/>
      </w:pPr>
      <w:r>
        <w:rPr>
          <w:rFonts w:ascii="Arial" w:cs="Arial" w:eastAsia="Arial" w:hAnsi="Arial"/>
          <w:sz w:val="20"/>
          <w:szCs w:val="20"/>
        </w:rPr>
        <w:t>Microsoft Corporation. Dataverse documentation, IL5 compliance posture, and licensing requirements. Available at: https://docs.microsoft.com/en-us/power-apps/maker/data-platform/data-platform-intro</w:t>
      </w:r>
    </w:p>
    <w:p>
      <w:pPr>
        <w:pStyle w:val="ListParagraph"/>
        <w:widowControl/>
        <w:numPr>
          <w:ilvl w:val="0"/>
          <w:numId w:val="2"/>
        </w:numPr>
        <w:spacing w:after="50" w:before="30"/>
      </w:pPr>
      <w:r>
        <w:rPr>
          <w:rFonts w:ascii="Arial" w:cs="Arial" w:eastAsia="Arial" w:hAnsi="Arial"/>
          <w:sz w:val="20"/>
          <w:szCs w:val="20"/>
        </w:rPr>
        <w:t>Microsoft Corporation. SharePoint Framework (SPFx) — Microsoft's supported extensibility model for custom SharePoint web parts. Roadmap confirms SPFx support active through 2026+. Available at: https://docs.microsoft.com/en-us/sharepoint/dev/spfx/sharepoint-framework-overview</w:t>
      </w:r>
    </w:p>
    <w:p>
      <w:pPr>
        <w:pStyle w:val="ListParagraph"/>
        <w:widowControl/>
        <w:numPr>
          <w:ilvl w:val="0"/>
          <w:numId w:val="2"/>
        </w:numPr>
        <w:spacing w:after="50" w:before="30"/>
      </w:pPr>
      <w:r>
        <w:rPr>
          <w:rFonts w:ascii="Arial" w:cs="Arial" w:eastAsia="Arial" w:hAnsi="Arial"/>
          <w:sz w:val="20"/>
          <w:szCs w:val="20"/>
        </w:rPr>
        <w:t>Atlassian Corporation. "Important changes are coming to our Data Center products." Official end-of-life announcement for Atlassian Data Center products, with end-of-life confirmed for March 28, 2029. New Data Center license sales ended March 30, 2026. This announcement directly informs the disqualification of Alternative 4's self-hosted variant. Available at: https://www.atlassian.com/migration</w:t>
      </w:r>
    </w:p>
    <w:p>
      <w:pPr>
        <w:pStyle w:val="ListParagraph"/>
        <w:widowControl/>
        <w:numPr>
          <w:ilvl w:val="0"/>
          <w:numId w:val="2"/>
        </w:numPr>
        <w:spacing w:after="50" w:before="30"/>
      </w:pPr>
      <w:r>
        <w:rPr>
          <w:rFonts w:ascii="Arial" w:cs="Arial" w:eastAsia="Arial" w:hAnsi="Arial"/>
          <w:sz w:val="20"/>
          <w:szCs w:val="20"/>
        </w:rPr>
        <w:t>Atlassian Corporation. Atlassian Government Cloud — product documentation for the separately-hosted U.S. government SaaS offering (Jira Software, Jira Service Management, Confluence). Referenced in Alternative 4 analysis. Available at: https://www.atlassian.com/enterprise/government</w:t>
      </w:r>
    </w:p>
    <w:p>
      <w:pPr>
        <w:pStyle w:val="ListParagraph"/>
        <w:widowControl/>
        <w:numPr>
          <w:ilvl w:val="0"/>
          <w:numId w:val="2"/>
        </w:numPr>
        <w:spacing w:after="50" w:before="30"/>
      </w:pPr>
      <w:r>
        <w:rPr>
          <w:rFonts w:ascii="Arial" w:cs="Arial" w:eastAsia="Arial" w:hAnsi="Arial"/>
          <w:sz w:val="20"/>
          <w:szCs w:val="20"/>
        </w:rPr>
        <w:t>Atlassian Corporation. "Bitbucket Hybrid License" — licensing path for Bitbucket Data Center customers maintaining existing footprint while accessing Bitbucket Cloud. Referenced as context for Atlassian's broader Data Center transition strategy. Available at: https://www.atlassian.com/migration/bitbucket-hybrid-license</w:t>
      </w:r>
    </w:p>
    <w:p>
      <w:pPr>
        <w:pStyle w:val="ListParagraph"/>
        <w:widowControl/>
        <w:numPr>
          <w:ilvl w:val="0"/>
          <w:numId w:val="2"/>
        </w:numPr>
        <w:spacing w:after="50" w:before="30"/>
      </w:pPr>
      <w:r>
        <w:rPr>
          <w:rFonts w:ascii="Arial" w:cs="Arial" w:eastAsia="Arial" w:hAnsi="Arial"/>
          <w:sz w:val="20"/>
          <w:szCs w:val="20"/>
        </w:rPr>
        <w:t>ServiceNow, Inc. National Security Cloud (NSC) — government-focused SaaS/PaaS platform hosted on Microsoft Azure Government. Product documentation and licensing information verified via public ServiceNow sources as of mid-2026. Strategic Portfolio Management (SPM) and IT Service Management (ITSM) modules referenced in Alternative 6. Available at: https://www.servicenow.com/solutions/government/national-security.html</w:t>
      </w:r>
    </w:p>
    <w:p>
      <w:pPr>
        <w:pStyle w:val="ListParagraph"/>
        <w:widowControl/>
        <w:numPr>
          <w:ilvl w:val="0"/>
          <w:numId w:val="2"/>
        </w:numPr>
        <w:spacing w:after="50" w:before="30"/>
      </w:pPr>
      <w:r>
        <w:rPr>
          <w:rFonts w:ascii="Arial" w:cs="Arial" w:eastAsia="Arial" w:hAnsi="Arial"/>
          <w:sz w:val="20"/>
          <w:szCs w:val="20"/>
        </w:rPr>
        <w:t>Salesforce, Inc. Government Cloud Plus — U.S. government cloud offering built on the core Salesforce CRM platform. Product documentation and licensing tiers verified via public Salesforce sources as of mid-2026. Referenced in Alternative 7 as a second non-Microsoft external SaaS reference point. Available at: https://www.salesforce.com/solutions/industries/government/government-cloud/</w:t>
      </w:r>
    </w:p>
    <w:p>
      <w:pPr>
        <w:spacing w:after="60" w:before="60"/>
      </w:pPr>
      <w:r/>
    </w:p>
    <w:sectPr>
      <w:headerReference w:type="default" r:id="rId7"/>
      <w:footerReference w:type="default" r:id="rId8"/>
      <w:headerReference w:type="first" r:id="rId17"/>
      <w:headerReference w:type="even" r:id="rId18"/>
      <w:footerReference w:type="first" r:id="rId19"/>
      <w:footerReference w:type="even" r:id="rId20"/>
      <w:pgSz w:w="12240" w:h="15840" w:orient="portrait"/>
      <w:pgMar w:top="1080" w:right="1080" w:bottom="1080" w:left="1080" w:header="317" w:footer="31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eastAsia="Arial"/>
        <w:b/>
        <w:sz w:val="18"/>
      </w:rPr>
      <w:t>UNCLASSIFIED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line="240" w:lineRule="auto"/>
      <w:jc w:val="center"/>
    </w:pPr>
    <w:r>
      <w:rPr>
        <w:rFonts w:ascii="Arial" w:hAnsi="Arial" w:eastAsia="Arial"/>
        <w:b/>
        <w:sz w:val="18"/>
      </w:rPr>
      <w:t>UNCLASSIFIED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eastAsia="Arial"/>
        <w:b/>
        <w:sz w:val="18"/>
      </w:rPr>
      <w:t>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1B2A4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8A"/>
      <w:sz w:val="24"/>
      <w:szCs w:val="24"/>
    </w:rPr>
  </w:style>
  <w:style w:type="paragraph" w:styleId="Heading3">
    <w:name w:val="Heading 3"/>
    <w:basedOn w:val="Normal"/>
    <w:next w:val="Normal"/>
    <w:qFormat/>
    <w:pPr>
      <w:spacing w:after="60" w:before="180"/>
      <w:outlineLvl w:val="2"/>
    </w:pPr>
    <w:rPr>
      <w:rFonts w:ascii="Arial" w:cs="Arial" w:eastAsia="Arial" w:hAnsi="Arial"/>
      <w:b/>
      <w:bCs/>
      <w:color w:val="595959"/>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542bdf7ee279dd68680b83547422636d972ace.pn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AEWTTR IPT</dc:creator>
  <cp:lastModifiedBy>AEWTTR IPT</cp:lastModifiedBy>
  <cp:revision>1</cp:revision>
  <dcterms:created xsi:type="dcterms:W3CDTF">2026-07-22T17:47:30.041Z</dcterms:created>
  <dcterms:modified xsi:type="dcterms:W3CDTF">2026-07-22T17:47:30.052Z</dcterms:modified>
  <dc:description>Analysis of Alternatives evaluating project management and dashboard platforms for the AEWTTR IPT.</dc:description>
  <dc:title>AEWTTR IPT Analysis of Alternatives</dc:title>
  <dc:subject>Team Project Dashboard and Workflow Automation Platform</dc:subject>
</cp:coreProperties>
</file>

<file path=docProps/custom.xml><?xml version="1.0" encoding="utf-8"?>
<Properties xmlns="http://schemas.openxmlformats.org/officeDocument/2006/custom-properties" xmlns:vt="http://schemas.openxmlformats.org/officeDocument/2006/docPropsVTypes"/>
</file>