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lang w:val="fr-FR"/>
        </w:rPr>
      </w:pPr>
      <w:r>
        <w:rPr>
          <w:lang w:val="fr-FR"/>
        </w:rPr>
        <w:t>Matrice de Risque - Cahier des Charges</w:t>
      </w:r>
    </w:p>
    <w:p>
      <w:pPr>
        <w:pStyle w:val="Normal"/>
        <w:rPr>
          <w:lang w:val="fr-FR"/>
        </w:rPr>
      </w:pPr>
      <w:r>
        <w:rPr>
          <w:lang w:val="fr-FR"/>
        </w:rPr>
        <w:t>Cette matrice de risque permet d’identifier, d’évaluer et d’anticiper les principaux risques pouvant impacter le projet. Elle doit être remplie régulièrement tout au long du cycle de vie du projet (initialisation, conception, développement, déploiement).</w:t>
      </w:r>
    </w:p>
    <w:p>
      <w:pPr>
        <w:pStyle w:val="Normal"/>
        <w:rPr>
          <w:lang w:val="fr-FR"/>
        </w:rPr>
      </w:pPr>
      <w:r>
        <w:rPr>
          <w:lang w:val="fr-FR"/>
        </w:rPr>
        <w:t>Légende :</w:t>
        <w:br/>
        <w:t>- Probabilité : Faible (1), Moyenne (2), Élevée (3)</w:t>
        <w:br/>
        <w:t>- Gravité : Faible (1), Moyenne (2), Élevée (3)</w:t>
        <w:br/>
        <w:t>- Criticité = Probabilité x Gravité</w:t>
      </w:r>
    </w:p>
    <w:tbl>
      <w:tblPr>
        <w:tblStyle w:val="TableGrid"/>
        <w:tblW w:w="928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96"/>
        <w:gridCol w:w="2383"/>
        <w:gridCol w:w="1441"/>
        <w:gridCol w:w="1440"/>
        <w:gridCol w:w="1036"/>
        <w:gridCol w:w="2492"/>
      </w:tblGrid>
      <w:tr>
        <w:trPr/>
        <w:tc>
          <w:tcPr>
            <w:tcW w:w="49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ID</w:t>
            </w:r>
          </w:p>
        </w:tc>
        <w:tc>
          <w:tcPr>
            <w:tcW w:w="2383"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Risque</w:t>
            </w:r>
          </w:p>
        </w:tc>
        <w:tc>
          <w:tcPr>
            <w:tcW w:w="1441"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Probabilité (1-3)</w:t>
            </w:r>
          </w:p>
        </w:tc>
        <w:tc>
          <w:tcPr>
            <w:tcW w:w="1440"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Gravité (1-3)</w:t>
            </w:r>
          </w:p>
        </w:tc>
        <w:tc>
          <w:tcPr>
            <w:tcW w:w="103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Criticité</w:t>
            </w:r>
          </w:p>
        </w:tc>
        <w:tc>
          <w:tcPr>
            <w:tcW w:w="2492"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Plan d’action / Prévention</w:t>
            </w:r>
          </w:p>
        </w:tc>
      </w:tr>
      <w:tr>
        <w:trPr/>
        <w:tc>
          <w:tcPr>
            <w:tcW w:w="49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R1</w:t>
            </w:r>
          </w:p>
        </w:tc>
        <w:tc>
          <w:tcPr>
            <w:tcW w:w="2383"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Retard de livraison</w:t>
            </w:r>
          </w:p>
        </w:tc>
        <w:tc>
          <w:tcPr>
            <w:tcW w:w="1441"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1</w:t>
            </w:r>
          </w:p>
        </w:tc>
        <w:tc>
          <w:tcPr>
            <w:tcW w:w="1440"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3</w:t>
            </w:r>
          </w:p>
        </w:tc>
        <w:tc>
          <w:tcPr>
            <w:tcW w:w="1036"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3</w:t>
            </w:r>
          </w:p>
        </w:tc>
        <w:tc>
          <w:tcPr>
            <w:tcW w:w="2492"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Travail régulier </w:t>
            </w:r>
          </w:p>
        </w:tc>
      </w:tr>
      <w:tr>
        <w:trPr/>
        <w:tc>
          <w:tcPr>
            <w:tcW w:w="49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R2</w:t>
            </w:r>
          </w:p>
        </w:tc>
        <w:tc>
          <w:tcPr>
            <w:tcW w:w="2383"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Non-conformité RGPD</w:t>
            </w:r>
          </w:p>
        </w:tc>
        <w:tc>
          <w:tcPr>
            <w:tcW w:w="1441"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1</w:t>
            </w:r>
          </w:p>
        </w:tc>
        <w:tc>
          <w:tcPr>
            <w:tcW w:w="1440"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036"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2492"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Vérification des formulaires, mentions légales, gestion des données utilisateurs </w:t>
            </w:r>
          </w:p>
        </w:tc>
      </w:tr>
      <w:tr>
        <w:trPr/>
        <w:tc>
          <w:tcPr>
            <w:tcW w:w="49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R3</w:t>
            </w:r>
          </w:p>
        </w:tc>
        <w:tc>
          <w:tcPr>
            <w:tcW w:w="2383"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Faille de sécurité (XSS, injection SQL...)</w:t>
            </w:r>
          </w:p>
        </w:tc>
        <w:tc>
          <w:tcPr>
            <w:tcW w:w="1441"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440"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3</w:t>
            </w:r>
          </w:p>
        </w:tc>
        <w:tc>
          <w:tcPr>
            <w:tcW w:w="1036"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6</w:t>
            </w:r>
          </w:p>
        </w:tc>
        <w:tc>
          <w:tcPr>
            <w:tcW w:w="2492"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password_hash, requêtes préparées </w:t>
            </w:r>
          </w:p>
        </w:tc>
      </w:tr>
      <w:tr>
        <w:trPr/>
        <w:tc>
          <w:tcPr>
            <w:tcW w:w="49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R4</w:t>
            </w:r>
          </w:p>
        </w:tc>
        <w:tc>
          <w:tcPr>
            <w:tcW w:w="2383"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Indisponibilité d’un service tiers (API)</w:t>
            </w:r>
          </w:p>
        </w:tc>
        <w:tc>
          <w:tcPr>
            <w:tcW w:w="1441"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440"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036"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4</w:t>
            </w:r>
          </w:p>
        </w:tc>
        <w:tc>
          <w:tcPr>
            <w:tcW w:w="2492"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Prévoir une roue de secours </w:t>
            </w:r>
            <w:r>
              <w:rPr>
                <w:rFonts w:eastAsia="ＭＳ 明朝" w:cs=""/>
                <w:kern w:val="0"/>
                <w:sz w:val="22"/>
                <w:szCs w:val="22"/>
                <w:lang w:val="fr-FR" w:eastAsia="en-US" w:bidi="ar-SA"/>
              </w:rPr>
              <w:t>(JSON local?)</w:t>
            </w:r>
          </w:p>
        </w:tc>
      </w:tr>
      <w:tr>
        <w:trPr/>
        <w:tc>
          <w:tcPr>
            <w:tcW w:w="496"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R5</w:t>
            </w:r>
          </w:p>
        </w:tc>
        <w:tc>
          <w:tcPr>
            <w:tcW w:w="2383"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Oubli d’une fonctionnalité </w:t>
            </w:r>
          </w:p>
        </w:tc>
        <w:tc>
          <w:tcPr>
            <w:tcW w:w="1441"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440"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036" w:type="dxa"/>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4</w:t>
            </w:r>
          </w:p>
        </w:tc>
        <w:tc>
          <w:tcPr>
            <w:tcW w:w="2492" w:type="dxa"/>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Travail réfléchi, Relecture de la note d’intention</w:t>
            </w:r>
          </w:p>
        </w:tc>
      </w:tr>
      <w:tr>
        <w:trPr>
          <w:trHeight w:val="294" w:hRule="atLeast"/>
        </w:trPr>
        <w:tc>
          <w:tcPr>
            <w:tcW w:w="496" w:type="dxa"/>
            <w:tcBorders>
              <w:top w:val="nil"/>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R6</w:t>
            </w:r>
          </w:p>
        </w:tc>
        <w:tc>
          <w:tcPr>
            <w:tcW w:w="2383" w:type="dxa"/>
            <w:tcBorders>
              <w:top w:val="nil"/>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Perte de motivation, fatigue mentale </w:t>
            </w:r>
          </w:p>
        </w:tc>
        <w:tc>
          <w:tcPr>
            <w:tcW w:w="1441" w:type="dxa"/>
            <w:tcBorders>
              <w:top w:val="nil"/>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440" w:type="dxa"/>
            <w:tcBorders>
              <w:top w:val="nil"/>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2</w:t>
            </w:r>
          </w:p>
        </w:tc>
        <w:tc>
          <w:tcPr>
            <w:tcW w:w="1036" w:type="dxa"/>
            <w:tcBorders>
              <w:top w:val="nil"/>
            </w:tcBorders>
          </w:tcPr>
          <w:p>
            <w:pPr>
              <w:pStyle w:val="Normal"/>
              <w:widowControl/>
              <w:spacing w:lineRule="auto" w:line="240" w:before="0" w:after="0"/>
              <w:jc w:val="center"/>
              <w:rPr>
                <w:rFonts w:ascii="Cambria" w:hAnsi="Cambria" w:eastAsia="ＭＳ 明朝" w:cs=""/>
                <w:kern w:val="0"/>
                <w:sz w:val="22"/>
                <w:szCs w:val="22"/>
                <w:lang w:val="fr-FR" w:eastAsia="en-US" w:bidi="ar-SA"/>
              </w:rPr>
            </w:pPr>
            <w:r>
              <w:rPr>
                <w:rFonts w:eastAsia="ＭＳ 明朝" w:cs=""/>
                <w:kern w:val="0"/>
                <w:sz w:val="22"/>
                <w:szCs w:val="22"/>
                <w:lang w:val="fr-FR" w:eastAsia="en-US" w:bidi="ar-SA"/>
              </w:rPr>
              <w:t>4</w:t>
            </w:r>
          </w:p>
        </w:tc>
        <w:tc>
          <w:tcPr>
            <w:tcW w:w="2492" w:type="dxa"/>
            <w:tcBorders>
              <w:top w:val="nil"/>
            </w:tcBorders>
          </w:tcPr>
          <w:p>
            <w:pPr>
              <w:pStyle w:val="Normal"/>
              <w:widowControl/>
              <w:spacing w:lineRule="auto" w:line="240" w:before="0" w:after="0"/>
              <w:jc w:val="left"/>
              <w:rPr>
                <w:rFonts w:ascii="Cambria" w:hAnsi="Cambria" w:eastAsia="ＭＳ 明朝" w:cs=""/>
                <w:kern w:val="0"/>
                <w:sz w:val="22"/>
                <w:szCs w:val="22"/>
                <w:lang w:val="fr-FR" w:eastAsia="en-US" w:bidi="ar-SA"/>
              </w:rPr>
            </w:pPr>
            <w:r>
              <w:rPr>
                <w:rFonts w:eastAsia="ＭＳ 明朝" w:cs=""/>
                <w:kern w:val="0"/>
                <w:sz w:val="22"/>
                <w:szCs w:val="22"/>
                <w:lang w:val="fr-FR" w:eastAsia="en-US" w:bidi="ar-SA"/>
              </w:rPr>
              <w:t xml:space="preserve">Planification souple, pauses, étapes motivantes </w:t>
            </w:r>
          </w:p>
        </w:tc>
      </w:tr>
    </w:tbl>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fr-FR"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fr-FR"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fr-FR"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fc693f"/>
    <w:pPr>
      <w:outlineLvl w:val="9"/>
    </w:pPr>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LibreOffice/25.2.4.3$Windows_X86_64 LibreOffice_project/33e196637044ead23f5c3226cde09b47731f7e27</Application>
  <AppVersion>15.0000</AppVersion>
  <Pages>1</Pages>
  <Words>159</Words>
  <Characters>875</Characters>
  <CharactersWithSpaces>995</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2025-07-07T15:47:37Z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