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aps/>
        </w:rPr>
        <w:id w:val="22488426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aps w:val="0"/>
          <w:color w:val="000000"/>
          <w:sz w:val="28"/>
          <w:szCs w:val="28"/>
          <w:lang w:val="en-GB" w:eastAsia="en-GB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42E1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323CC43EB474A03B3DD7138A09D8F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42E16" w:rsidRDefault="00366CEF" w:rsidP="00242E1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Universidade Ferederal de Minas Gerais</w:t>
                    </w:r>
                  </w:p>
                </w:tc>
              </w:sdtContent>
            </w:sdt>
          </w:tr>
          <w:tr w:rsidR="00242E1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2CA9A83E6614E0FA7C9DF4616BD54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42E16" w:rsidRDefault="00366CEF" w:rsidP="00242E1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Trabalho prático 2</w:t>
                    </w:r>
                  </w:p>
                </w:tc>
              </w:sdtContent>
            </w:sdt>
          </w:tr>
          <w:tr w:rsidR="00242E1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F1367F9327F4E75BD6F0E20EC5AC2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42E16" w:rsidRDefault="00366CEF" w:rsidP="00242E1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Redes de Computadores</w:t>
                    </w:r>
                  </w:p>
                </w:tc>
              </w:sdtContent>
            </w:sdt>
          </w:tr>
          <w:tr w:rsidR="00242E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2E16" w:rsidRDefault="00242E16">
                <w:pPr>
                  <w:pStyle w:val="NoSpacing"/>
                  <w:jc w:val="center"/>
                </w:pPr>
              </w:p>
            </w:tc>
          </w:tr>
          <w:tr w:rsidR="00242E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5962ED736524C6BA7C925BD1B5A27C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42E16" w:rsidRDefault="00366CEF" w:rsidP="00242E1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Elise Guimarães de Araújo</w:t>
                    </w:r>
                  </w:p>
                </w:tc>
              </w:sdtContent>
            </w:sdt>
          </w:tr>
          <w:tr w:rsidR="00242E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2E16" w:rsidRDefault="00242E1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7/6/2015</w:t>
                </w:r>
              </w:p>
            </w:tc>
          </w:tr>
        </w:tbl>
        <w:p w:rsidR="00242E16" w:rsidRDefault="00242E16"/>
        <w:p w:rsidR="00242E16" w:rsidRDefault="00242E1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42E16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placeholder>
                  <w:docPart w:val="0898AD7C1E744E5F912AD02CA4734EC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42E16" w:rsidRDefault="00366CEF" w:rsidP="00242E16">
                    <w:pPr>
                      <w:pStyle w:val="NoSpacing"/>
                    </w:pPr>
                    <w:r>
                      <w:rPr>
                        <w:rFonts w:ascii="Times New Roman" w:hAnsi="Times New Roman" w:cs="Times New Roman"/>
                        <w:lang w:val="en-GB"/>
                      </w:rPr>
                      <w:t>Relatório do segundo trabalho prático da disciplina Redes de Computadores, da Universidade Federal de Minas Gerais, lecionada pelo professor Luiz Filipe Menezes Vieira. Prática destinada a exercitar o uso de sockets UDP.</w:t>
                    </w:r>
                  </w:p>
                </w:tc>
              </w:sdtContent>
            </w:sdt>
          </w:tr>
        </w:tbl>
        <w:p w:rsidR="00242E16" w:rsidRDefault="00242E16"/>
        <w:p w:rsidR="00242E16" w:rsidRDefault="00242E16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0E7338" w:rsidRDefault="00366C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Esse relatório discorre acerca da implementação de um par de programas operando conforme arquitetura cliente-servidor, exercendo comunicação uni e bidirecional sobre o protocolo de transporte User Datagram Protocol (UDP), cuja escolha já indica a demanda p</w:t>
      </w:r>
      <w:r>
        <w:rPr>
          <w:rFonts w:ascii="Times New Roman" w:eastAsia="Times New Roman" w:hAnsi="Times New Roman" w:cs="Times New Roman"/>
        </w:rPr>
        <w:t xml:space="preserve">or desenvolvimento também de periféricos dedicados a garantir integridade, confiabilidade e disponibilidade ao funcionamento dos programas. </w:t>
      </w:r>
    </w:p>
    <w:p w:rsidR="000E7338" w:rsidRDefault="00366C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 xml:space="preserve">Os códigos foram inteiramente desenvolvidos em linguagem C, utilizando-se o módulo de encapsulamento </w:t>
      </w:r>
      <w:r>
        <w:rPr>
          <w:rFonts w:ascii="Times New Roman" w:eastAsia="Times New Roman" w:hAnsi="Times New Roman" w:cs="Times New Roman"/>
        </w:rPr>
        <w:t>fornecido para a aplicação dos sockets e das funções associadas.</w:t>
      </w:r>
    </w:p>
    <w:p w:rsidR="000E7338" w:rsidRDefault="00242E16">
      <w:pPr>
        <w:jc w:val="both"/>
      </w:pPr>
      <w:r>
        <w:rPr>
          <w:rFonts w:ascii="Times New Roman" w:eastAsia="Times New Roman" w:hAnsi="Times New Roman" w:cs="Times New Roman"/>
        </w:rPr>
        <w:t>O cabeçalho desenvolvido</w:t>
      </w:r>
      <w:r w:rsidR="00366CEF">
        <w:rPr>
          <w:rFonts w:ascii="Times New Roman" w:eastAsia="Times New Roman" w:hAnsi="Times New Roman" w:cs="Times New Roman"/>
        </w:rPr>
        <w:t xml:space="preserve"> para complementar o UDP é composto de 64 bits: 32 dedicados à detecção de erro, feita através de uma função similar ao checksum, mas mais simples (simplesmente somam</w:t>
      </w:r>
      <w:r w:rsidR="00366CEF">
        <w:rPr>
          <w:rFonts w:ascii="Times New Roman" w:eastAsia="Times New Roman" w:hAnsi="Times New Roman" w:cs="Times New Roman"/>
        </w:rPr>
        <w:t>-se todos os bytes do buffer enviado); e os demais 32 dedicados ao número de sequência do pacote (os números de sequência possívels são o dobro do tamanho da janela).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A janela deslizante foi implementada paralelamente ao sistema de armazenamento de pacotes</w:t>
      </w:r>
      <w:r>
        <w:rPr>
          <w:rFonts w:ascii="Times New Roman" w:eastAsia="Times New Roman" w:hAnsi="Times New Roman" w:cs="Times New Roman"/>
        </w:rPr>
        <w:t>, de forma que as mensagens armazenadas em determinado instante durante o processamento são somente aquelas mantidas na janela. Arquitetou-se a janela como uma fila, objetivando-se explorar a funcionalidade FIFO dessa estrutura de dados.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O servidor executa</w:t>
      </w:r>
      <w:r>
        <w:rPr>
          <w:rFonts w:ascii="Times New Roman" w:eastAsia="Times New Roman" w:hAnsi="Times New Roman" w:cs="Times New Roman"/>
        </w:rPr>
        <w:t xml:space="preserve"> a seguinte iteração: verifica se há espaço para novos envios na janela através da função windowFull; lê um buffer do arquivo com fread; calcula checksum de detecção de erro; cria cabeçalho UDP de 64 bits (checkResult + seqNumber); envia o pacote composto </w:t>
      </w:r>
      <w:r>
        <w:rPr>
          <w:rFonts w:ascii="Times New Roman" w:eastAsia="Times New Roman" w:hAnsi="Times New Roman" w:cs="Times New Roman"/>
        </w:rPr>
        <w:t>do cabeçalho e do buffer; armazena tudo no buffer associado à janela com a função windowInsert; incrementa o número de sequência, que indica o próximo pacote a ser enviado; incrementa a contagem de bytes para posterior medição; recebe possíveis acks (64 bi</w:t>
      </w:r>
      <w:r>
        <w:rPr>
          <w:rFonts w:ascii="Times New Roman" w:eastAsia="Times New Roman" w:hAnsi="Times New Roman" w:cs="Times New Roman"/>
        </w:rPr>
        <w:t>ts), com um timeout de 1s; caso o timeout se exceda, reenvia todos os pacotes não confirmados; indica, no array de structs que representa o buffer associado à janela, os pacotes que foram confirmados; e desliza a janela, se preciso, com a função removeAckd</w:t>
      </w:r>
      <w:r>
        <w:rPr>
          <w:rFonts w:ascii="Times New Roman" w:eastAsia="Times New Roman" w:hAnsi="Times New Roman" w:cs="Times New Roman"/>
        </w:rPr>
        <w:t>s, que remove o pacote da saída da janela caso este já tenha sido confirmado.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O cliente, por sua vez, primeiramente guarda espaço no buffer associado à janela janela para elementos com SeqNumber de 0 a tam_janela - 1, com a função windowReserve. Em seguida</w:t>
      </w:r>
      <w:r>
        <w:rPr>
          <w:rFonts w:ascii="Times New Roman" w:eastAsia="Times New Roman" w:hAnsi="Times New Roman" w:cs="Times New Roman"/>
        </w:rPr>
        <w:t xml:space="preserve"> itera com o seguinte funcionamento: recebe pacote do server; lê pacote e salva o que recebeu em checkResult, SeqNumber e buffer; faz detecção de erro com checksum; buferiza pacotes recebidos corretamente; atualiza janela, indicando o que foi recebido, e l</w:t>
      </w:r>
      <w:r>
        <w:rPr>
          <w:rFonts w:ascii="Times New Roman" w:eastAsia="Times New Roman" w:hAnsi="Times New Roman" w:cs="Times New Roman"/>
        </w:rPr>
        <w:t>astRcvd (último pacote recebido na ordem correta); desliza janela, se possível: removeRcvds - remove da janela os pacotes já recebidos em ordem - e windowReserve - reserva espaço para novos pacotes; e envia Ack com número de lastRcvd.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O fim do arquivo é in</w:t>
      </w:r>
      <w:r>
        <w:rPr>
          <w:rFonts w:ascii="Times New Roman" w:eastAsia="Times New Roman" w:hAnsi="Times New Roman" w:cs="Times New Roman"/>
        </w:rPr>
        <w:t>dicado pelo envio da string “fim” pelo receptor. Não houve preocupação com padding, uma vez que é extremamente improvável que se repita essa exata conjuntura.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 xml:space="preserve">A temporização se deu através da opção de temporização do socket, seguida da verificação do erro </w:t>
      </w:r>
      <w:r>
        <w:rPr>
          <w:rFonts w:ascii="Times New Roman" w:eastAsia="Times New Roman" w:hAnsi="Times New Roman" w:cs="Times New Roman"/>
        </w:rPr>
        <w:t>associado à função recvfrom, de forma a, sempre que o erro no recebimento for devido a timeout, reenviam-se todos os pacotes não confirmados.</w:t>
      </w:r>
    </w:p>
    <w:p w:rsidR="000E7338" w:rsidRDefault="00366C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Metodologia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Os programas foram desenvolvidos, compilados e executados no sistema operacional Ubuntu versão 12.04 (</w:t>
      </w:r>
      <w:r>
        <w:rPr>
          <w:rFonts w:ascii="Times New Roman" w:eastAsia="Times New Roman" w:hAnsi="Times New Roman" w:cs="Times New Roman"/>
        </w:rPr>
        <w:t>Precise Pangolin). As especificações do sistema relevantes são: processador Intel Core i7-4800MQ 2.70GHz, 8GB de RAM, adaptadores de rede Killer Wireless-N 1202 e Realtek PCIe Gigabit Ethernet. Os testes foram realizados em uma única máquina.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 xml:space="preserve">A medição do </w:t>
      </w:r>
      <w:r>
        <w:rPr>
          <w:rFonts w:ascii="Times New Roman" w:eastAsia="Times New Roman" w:hAnsi="Times New Roman" w:cs="Times New Roman"/>
        </w:rPr>
        <w:t>tempo de execução utilizado no cálculo do throughput foi feita com a função gettimeofday em dois pontos chave do programa considerados viáveis para se ter como início e fim. Os experimentos tiveram como parâmetros o tamanho da janela e o tamanho do buffer,</w:t>
      </w:r>
      <w:r>
        <w:rPr>
          <w:rFonts w:ascii="Times New Roman" w:eastAsia="Times New Roman" w:hAnsi="Times New Roman" w:cs="Times New Roman"/>
        </w:rPr>
        <w:t xml:space="preserve"> e cada medição é resultado da média de três amostras. Cada teste reportado corresponde a uma execução individual - não </w:t>
      </w:r>
      <w:r w:rsidR="00242E16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um loop ao redor do programa para fazer tudo um certo número de vezes.</w:t>
      </w:r>
    </w:p>
    <w:p w:rsidR="000E7338" w:rsidRDefault="00366C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 xml:space="preserve">A tabela a seguir apresenta os resultados obtidos e </w:t>
      </w:r>
      <w:r>
        <w:rPr>
          <w:rFonts w:ascii="Times New Roman" w:eastAsia="Times New Roman" w:hAnsi="Times New Roman" w:cs="Times New Roman"/>
        </w:rPr>
        <w:t>as respectivas médias para valores iguais de tamanho de janela e tamanho de buffer.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Só foram feitas medições com tamanhos de buffer 100 e 500, uma vez que, por algum motivo não identificado, a operação falha para buffers superiores a 558 bytes na máquina u</w:t>
      </w:r>
      <w:r>
        <w:rPr>
          <w:rFonts w:ascii="Times New Roman" w:eastAsia="Times New Roman" w:hAnsi="Times New Roman" w:cs="Times New Roman"/>
        </w:rPr>
        <w:t>tilizada. Um teste foi executado em uma segunda máquina com configurações máximas, apenas para certificação de êxito, e o programa funcionou normalmente, mas não foram coletadas amostras dessa segunda máquina.</w:t>
      </w:r>
    </w:p>
    <w:p w:rsidR="000E7338" w:rsidRDefault="000E7338">
      <w:pPr>
        <w:jc w:val="both"/>
      </w:pPr>
    </w:p>
    <w:tbl>
      <w:tblPr>
        <w:tblStyle w:val="1"/>
        <w:tblW w:w="9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573"/>
        <w:gridCol w:w="1337"/>
        <w:gridCol w:w="1337"/>
        <w:gridCol w:w="1573"/>
      </w:tblGrid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Tamanho do arquivo (bytes)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do buffer </w:t>
            </w:r>
            <w:r>
              <w:rPr>
                <w:rFonts w:ascii="Times New Roman" w:eastAsia="Times New Roman" w:hAnsi="Times New Roman" w:cs="Times New Roman"/>
                <w:b/>
              </w:rPr>
              <w:t>(bytes)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Tamanho da janela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Throughput (kbps)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Data + headers (bytes)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Tempo (s)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Throughput médio</w:t>
            </w:r>
            <w:r w:rsidR="00242E16">
              <w:rPr>
                <w:rFonts w:ascii="Times New Roman" w:eastAsia="Times New Roman" w:hAnsi="Times New Roman" w:cs="Times New Roman"/>
                <w:b/>
              </w:rPr>
              <w:t xml:space="preserve"> (kbps)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748.48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0.015327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761.62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733.97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0.01563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802.41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0.014297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985.06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0.011646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968.4867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915.49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0.012531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1004.91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0.011416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1206.31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0.00951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1336.99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1504.72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0.007624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1299.94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0.008825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2462.86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0.004658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2857.943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2478.29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0.004629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3632.68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0.003158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1667.93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0.006878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2065.693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1498.24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0.007657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3030.91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0.003785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1255.83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11472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0.009135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4378.09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0.002465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4378.09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4677.94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0.002307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4677.94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2511.52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0.004297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3847.5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5183.48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0.002082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4737.49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0.002278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4970.11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5143.95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0.002098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5028.89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0.002146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13065.38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0.000826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8391.485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14218.71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0.000759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5390.61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0.002002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6922.39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0.001559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1713.29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0.006299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9038.53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0.001194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4428.4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0.002437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8275.758</w:t>
            </w: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12017.82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0.000898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8307.93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0.001299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9161.29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0.001178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  <w:tr w:rsidR="000E7338" w:rsidTr="00242E16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10619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7463.35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10792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366CE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0.001446</w:t>
            </w:r>
          </w:p>
        </w:tc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338" w:rsidRDefault="000E7338">
            <w:pPr>
              <w:widowControl w:val="0"/>
              <w:spacing w:after="0" w:line="240" w:lineRule="auto"/>
            </w:pPr>
          </w:p>
        </w:tc>
      </w:tr>
    </w:tbl>
    <w:p w:rsidR="000E7338" w:rsidRDefault="000E7338">
      <w:pPr>
        <w:jc w:val="both"/>
      </w:pPr>
    </w:p>
    <w:p w:rsidR="00242E16" w:rsidRDefault="00242E16">
      <w:pPr>
        <w:jc w:val="both"/>
        <w:rPr>
          <w:rFonts w:ascii="Times New Roman" w:eastAsia="Times New Roman" w:hAnsi="Times New Roman" w:cs="Times New Roman"/>
        </w:rPr>
      </w:pPr>
    </w:p>
    <w:p w:rsidR="00242E16" w:rsidRDefault="00242E16">
      <w:pPr>
        <w:jc w:val="both"/>
        <w:rPr>
          <w:rFonts w:ascii="Times New Roman" w:eastAsia="Times New Roman" w:hAnsi="Times New Roman" w:cs="Times New Roman"/>
        </w:rPr>
      </w:pP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Representação gráfica das médias obtidas: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Buffer de 100 bytes: melhores resultados obtidos para janela de tamanho 64.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Escala decimal</w:t>
      </w:r>
    </w:p>
    <w:p w:rsidR="000E7338" w:rsidRDefault="00366CEF">
      <w:pPr>
        <w:jc w:val="both"/>
      </w:pPr>
      <w:r>
        <w:rPr>
          <w:noProof/>
        </w:rPr>
        <w:drawing>
          <wp:inline distT="114300" distB="114300" distL="114300" distR="114300" wp14:anchorId="6AD1D561" wp14:editId="0EF3EB0B">
            <wp:extent cx="3947160" cy="3002280"/>
            <wp:effectExtent l="0" t="0" r="0" b="7620"/>
            <wp:docPr id="3" name="image05.png" descr="buffer100d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buffer100dec.png"/>
                    <pic:cNvPicPr preferRelativeResize="0"/>
                  </pic:nvPicPr>
                  <pic:blipFill>
                    <a:blip r:embed="rId6"/>
                    <a:srcRect l="5298" t="4424" r="5298" b="3834"/>
                    <a:stretch>
                      <a:fillRect/>
                    </a:stretch>
                  </pic:blipFill>
                  <pic:spPr>
                    <a:xfrm>
                      <a:off x="0" y="0"/>
                      <a:ext cx="3948449" cy="300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Escala logarítmica</w:t>
      </w:r>
    </w:p>
    <w:p w:rsidR="000E7338" w:rsidRDefault="00366CEF">
      <w:pPr>
        <w:jc w:val="both"/>
      </w:pPr>
      <w:r>
        <w:rPr>
          <w:noProof/>
        </w:rPr>
        <w:drawing>
          <wp:inline distT="114300" distB="114300" distL="114300" distR="114300" wp14:anchorId="3E8CC1C3" wp14:editId="38F23B98">
            <wp:extent cx="4069080" cy="2979420"/>
            <wp:effectExtent l="0" t="0" r="7620" b="0"/>
            <wp:docPr id="1" name="image01.png" descr="buffer100lo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buffer100log.png"/>
                    <pic:cNvPicPr preferRelativeResize="0"/>
                  </pic:nvPicPr>
                  <pic:blipFill>
                    <a:blip r:embed="rId7"/>
                    <a:srcRect l="5894" t="5142" r="5684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4068413" cy="29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E16" w:rsidRDefault="00242E16">
      <w:pPr>
        <w:jc w:val="both"/>
      </w:pPr>
    </w:p>
    <w:p w:rsidR="00242E16" w:rsidRDefault="00242E16">
      <w:pPr>
        <w:jc w:val="both"/>
      </w:pP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Buffer de 500 bytes: melhores resultados também obtidos para janela de tamanho 64.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Escala decimal</w:t>
      </w:r>
    </w:p>
    <w:p w:rsidR="000E7338" w:rsidRDefault="00366CEF">
      <w:pPr>
        <w:jc w:val="both"/>
      </w:pPr>
      <w:r>
        <w:rPr>
          <w:noProof/>
        </w:rPr>
        <w:drawing>
          <wp:inline distT="114300" distB="114300" distL="114300" distR="114300" wp14:anchorId="3FE50352" wp14:editId="4FBD371B">
            <wp:extent cx="4262438" cy="3191130"/>
            <wp:effectExtent l="0" t="0" r="0" b="0"/>
            <wp:docPr id="2" name="image04.png" descr="buffer500d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buffer500dec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19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Escala logarítmica</w:t>
      </w:r>
    </w:p>
    <w:p w:rsidR="000E7338" w:rsidRDefault="00366CEF">
      <w:pPr>
        <w:jc w:val="both"/>
      </w:pPr>
      <w:r>
        <w:rPr>
          <w:noProof/>
        </w:rPr>
        <w:drawing>
          <wp:inline distT="114300" distB="114300" distL="114300" distR="114300" wp14:anchorId="28F7EA3D" wp14:editId="49E2016C">
            <wp:extent cx="4471988" cy="3348012"/>
            <wp:effectExtent l="0" t="0" r="0" b="0"/>
            <wp:docPr id="4" name="image07.png" descr="buffer500lo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uffer500lo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348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E16" w:rsidRDefault="00242E16">
      <w:pPr>
        <w:jc w:val="both"/>
      </w:pPr>
    </w:p>
    <w:p w:rsidR="000E7338" w:rsidRDefault="00366C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 xml:space="preserve">Conforme esperado, as curvas apresentam valores crescentes de vazão conforme aumenta-se o tamanho da janela, até atingir um máximo - o que corresponde ao preenchimento do “cano” de vazão, com aproveitamento ótimo da largura de banda para um certo tempo de </w:t>
      </w:r>
      <w:r>
        <w:rPr>
          <w:rFonts w:ascii="Times New Roman" w:eastAsia="Times New Roman" w:hAnsi="Times New Roman" w:cs="Times New Roman"/>
        </w:rPr>
        <w:t>propagação. O ideal é que o servidor não fique ocioso esperando por acks, injetando sempre o máximo possível de pacotes na rede. Algumas amostragens apresentaram pontos bastante fora da curva, o que pode se justificar pelo fato de que os testes foram execu</w:t>
      </w:r>
      <w:r>
        <w:rPr>
          <w:rFonts w:ascii="Times New Roman" w:eastAsia="Times New Roman" w:hAnsi="Times New Roman" w:cs="Times New Roman"/>
        </w:rPr>
        <w:t xml:space="preserve">tados na mesma máquina, ambiente não ideal para um par de programas cujo funcionamento depende em grande parte do intervalo de propagação - e portanto da distância - entre as máquinas enviando e recebendo. O buffer de 500 bytes deveria apresentar melhores </w:t>
      </w:r>
      <w:r>
        <w:rPr>
          <w:rFonts w:ascii="Times New Roman" w:eastAsia="Times New Roman" w:hAnsi="Times New Roman" w:cs="Times New Roman"/>
        </w:rPr>
        <w:t>resultados para um tamanho de janela menor que o buffer de 100 bytes, o que não ocorreu.</w:t>
      </w:r>
    </w:p>
    <w:p w:rsidR="000E7338" w:rsidRDefault="00366C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Conclusão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Esse relatório apr</w:t>
      </w:r>
      <w:r w:rsidR="00242E16">
        <w:rPr>
          <w:rFonts w:ascii="Times New Roman" w:eastAsia="Times New Roman" w:hAnsi="Times New Roman" w:cs="Times New Roman"/>
        </w:rPr>
        <w:t xml:space="preserve">esentou os detalhes </w:t>
      </w:r>
      <w:r>
        <w:rPr>
          <w:rFonts w:ascii="Times New Roman" w:eastAsia="Times New Roman" w:hAnsi="Times New Roman" w:cs="Times New Roman"/>
        </w:rPr>
        <w:t>da implementação</w:t>
      </w:r>
      <w:r w:rsidR="00242E16">
        <w:rPr>
          <w:rFonts w:ascii="Times New Roman" w:eastAsia="Times New Roman" w:hAnsi="Times New Roman" w:cs="Times New Roman"/>
        </w:rPr>
        <w:t xml:space="preserve"> e resultados estatísticos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de um par de programas cliente-servidor para transmissão de arquivos, cujo ponto chave fo</w:t>
      </w:r>
      <w:r>
        <w:rPr>
          <w:rFonts w:ascii="Times New Roman" w:eastAsia="Times New Roman" w:hAnsi="Times New Roman" w:cs="Times New Roman"/>
        </w:rPr>
        <w:t>i a criação de um protocolo confiável com janela deslizante sobre o UDP, o que possibilitou ampla compreensão do funcionamento da janela, da necessidade por segurança em geral em protocolos de transporte e da organização das camadas de aplicação, transport</w:t>
      </w:r>
      <w:r>
        <w:rPr>
          <w:rFonts w:ascii="Times New Roman" w:eastAsia="Times New Roman" w:hAnsi="Times New Roman" w:cs="Times New Roman"/>
        </w:rPr>
        <w:t>e e rede, já que complementamos um protocolo de transporte por meio da aplicação.</w:t>
      </w:r>
    </w:p>
    <w:p w:rsidR="000E7338" w:rsidRDefault="00366CEF">
      <w:pPr>
        <w:jc w:val="both"/>
      </w:pPr>
      <w:r>
        <w:rPr>
          <w:rFonts w:ascii="Times New Roman" w:eastAsia="Times New Roman" w:hAnsi="Times New Roman" w:cs="Times New Roman"/>
        </w:rPr>
        <w:t>Houve ainda aprendizado acerca de métodos de serialização e de temporização, de detecção de erro - ainda que a detecção implementada tenha sido um tanto rudimentar - de aritm</w:t>
      </w:r>
      <w:r>
        <w:rPr>
          <w:rFonts w:ascii="Times New Roman" w:eastAsia="Times New Roman" w:hAnsi="Times New Roman" w:cs="Times New Roman"/>
        </w:rPr>
        <w:t>ética modular - estudaram-se alguns métodos de criptografia que a utilizam - de estruturas de dados consolidadas, da linguagem C e de programação em geral.</w:t>
      </w:r>
    </w:p>
    <w:p w:rsidR="000E7338" w:rsidRDefault="000E7338">
      <w:pPr>
        <w:jc w:val="both"/>
      </w:pPr>
    </w:p>
    <w:sectPr w:rsidR="000E7338" w:rsidSect="00242E16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7338"/>
    <w:rsid w:val="000E7338"/>
    <w:rsid w:val="00242E16"/>
    <w:rsid w:val="00366CEF"/>
    <w:rsid w:val="00F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42E16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2E16"/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42E16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2E16"/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23CC43EB474A03B3DD7138A09D8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D8805-A35E-4CE0-999A-84B4463192B7}"/>
      </w:docPartPr>
      <w:docPartBody>
        <w:p w:rsidR="00000000" w:rsidRDefault="00385985" w:rsidP="00385985">
          <w:pPr>
            <w:pStyle w:val="6323CC43EB474A03B3DD7138A09D8FF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2CA9A83E6614E0FA7C9DF4616BD5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21B0-F8BF-4802-B58F-31916E073FAB}"/>
      </w:docPartPr>
      <w:docPartBody>
        <w:p w:rsidR="00000000" w:rsidRDefault="00385985" w:rsidP="00385985">
          <w:pPr>
            <w:pStyle w:val="32CA9A83E6614E0FA7C9DF4616BD549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F1367F9327F4E75BD6F0E20EC5A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A1C6A-E3CD-445F-9DED-9D461B0A7BE7}"/>
      </w:docPartPr>
      <w:docPartBody>
        <w:p w:rsidR="00000000" w:rsidRDefault="00385985" w:rsidP="00385985">
          <w:pPr>
            <w:pStyle w:val="5F1367F9327F4E75BD6F0E20EC5AC22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5962ED736524C6BA7C925BD1B5A2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6CFB-2A27-4F9E-AFB8-D080705CBAD3}"/>
      </w:docPartPr>
      <w:docPartBody>
        <w:p w:rsidR="00000000" w:rsidRDefault="00385985" w:rsidP="00385985">
          <w:pPr>
            <w:pStyle w:val="F5962ED736524C6BA7C925BD1B5A27C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898AD7C1E744E5F912AD02CA473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5815B-5318-49DF-99FF-EB479FB9BA6E}"/>
      </w:docPartPr>
      <w:docPartBody>
        <w:p w:rsidR="00000000" w:rsidRDefault="00385985" w:rsidP="00385985">
          <w:pPr>
            <w:pStyle w:val="0898AD7C1E744E5F912AD02CA4734EC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85"/>
    <w:rsid w:val="00385985"/>
    <w:rsid w:val="0055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3CC43EB474A03B3DD7138A09D8FF0">
    <w:name w:val="6323CC43EB474A03B3DD7138A09D8FF0"/>
    <w:rsid w:val="00385985"/>
  </w:style>
  <w:style w:type="paragraph" w:customStyle="1" w:styleId="32CA9A83E6614E0FA7C9DF4616BD5495">
    <w:name w:val="32CA9A83E6614E0FA7C9DF4616BD5495"/>
    <w:rsid w:val="00385985"/>
  </w:style>
  <w:style w:type="paragraph" w:customStyle="1" w:styleId="5F1367F9327F4E75BD6F0E20EC5AC229">
    <w:name w:val="5F1367F9327F4E75BD6F0E20EC5AC229"/>
    <w:rsid w:val="00385985"/>
  </w:style>
  <w:style w:type="paragraph" w:customStyle="1" w:styleId="F5962ED736524C6BA7C925BD1B5A27CA">
    <w:name w:val="F5962ED736524C6BA7C925BD1B5A27CA"/>
    <w:rsid w:val="00385985"/>
  </w:style>
  <w:style w:type="paragraph" w:customStyle="1" w:styleId="01DD35CF3A3F472B8D964DF78B1A6565">
    <w:name w:val="01DD35CF3A3F472B8D964DF78B1A6565"/>
    <w:rsid w:val="00385985"/>
  </w:style>
  <w:style w:type="paragraph" w:customStyle="1" w:styleId="0898AD7C1E744E5F912AD02CA4734ECD">
    <w:name w:val="0898AD7C1E744E5F912AD02CA4734ECD"/>
    <w:rsid w:val="003859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3CC43EB474A03B3DD7138A09D8FF0">
    <w:name w:val="6323CC43EB474A03B3DD7138A09D8FF0"/>
    <w:rsid w:val="00385985"/>
  </w:style>
  <w:style w:type="paragraph" w:customStyle="1" w:styleId="32CA9A83E6614E0FA7C9DF4616BD5495">
    <w:name w:val="32CA9A83E6614E0FA7C9DF4616BD5495"/>
    <w:rsid w:val="00385985"/>
  </w:style>
  <w:style w:type="paragraph" w:customStyle="1" w:styleId="5F1367F9327F4E75BD6F0E20EC5AC229">
    <w:name w:val="5F1367F9327F4E75BD6F0E20EC5AC229"/>
    <w:rsid w:val="00385985"/>
  </w:style>
  <w:style w:type="paragraph" w:customStyle="1" w:styleId="F5962ED736524C6BA7C925BD1B5A27CA">
    <w:name w:val="F5962ED736524C6BA7C925BD1B5A27CA"/>
    <w:rsid w:val="00385985"/>
  </w:style>
  <w:style w:type="paragraph" w:customStyle="1" w:styleId="01DD35CF3A3F472B8D964DF78B1A6565">
    <w:name w:val="01DD35CF3A3F472B8D964DF78B1A6565"/>
    <w:rsid w:val="00385985"/>
  </w:style>
  <w:style w:type="paragraph" w:customStyle="1" w:styleId="0898AD7C1E744E5F912AD02CA4734ECD">
    <w:name w:val="0898AD7C1E744E5F912AD02CA4734ECD"/>
    <w:rsid w:val="00385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2015-06-07T00:00:00</PublishDate>
  <Abstract>Relatório do segundo trabalho prático da disciplina Redes de Computadores, da Universidade Federal de Minas Gerais, lecionada pelo professor Luiz Filipe Menezes Vieira. Prática destinada a exercitar o uso de sockets UDP.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Ferederal de Minas Gerais</Company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2</dc:title>
  <dc:subject>Redes de Computadores</dc:subject>
  <dc:creator>Elise Guimarães de Araújo</dc:creator>
  <cp:lastModifiedBy>Elise Guimarães</cp:lastModifiedBy>
  <cp:revision>4</cp:revision>
  <cp:lastPrinted>2015-06-07T15:31:00Z</cp:lastPrinted>
  <dcterms:created xsi:type="dcterms:W3CDTF">2015-06-07T15:20:00Z</dcterms:created>
  <dcterms:modified xsi:type="dcterms:W3CDTF">2015-06-07T15:36:00Z</dcterms:modified>
</cp:coreProperties>
</file>