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/>
        <w:jc w:val="center"/>
      </w:pPr>
      <w:r>
        <w:rPr>
          <w:rFonts w:ascii="Calibri" w:hAnsi="Calibri"/>
          <w:b/>
          <w:color w:val="B7791F"/>
          <w:sz w:val="24"/>
        </w:rPr>
        <w:t>MANUAL OPERATIVO</w:t>
      </w:r>
    </w:p>
    <w:p>
      <w:pPr>
        <w:pStyle w:val="Title"/>
        <w:spacing w:after="240"/>
        <w:jc w:val="center"/>
      </w:pPr>
      <w:r>
        <w:t>Del anteproyecto de egresos</w:t>
        <w:br/>
        <w:t>al cheque y la entrada de bienes</w:t>
      </w:r>
    </w:p>
    <w:p>
      <w:pPr>
        <w:pStyle w:val="Subtitle"/>
        <w:jc w:val="center"/>
      </w:pPr>
      <w:r>
        <w:t>Flujo completo de solicitud, autorización, adquisición, recepción y pago en eGestion360</w:t>
      </w:r>
    </w:p>
    <w:p>
      <w:pPr>
        <w:spacing w:before="560" w:after="160"/>
        <w:jc w:val="center"/>
      </w:pPr>
      <w:r>
        <w:rPr>
          <w:rFonts w:ascii="Calibri" w:hAnsi="Calibri"/>
          <w:color w:val="667085"/>
          <w:sz w:val="21"/>
        </w:rPr>
        <w:t>Presupuesto  ·  Adquisiciones  ·  Almacén  ·  Cuentas por pagar  ·  Tesorería</w:t>
      </w:r>
    </w:p>
    <w:p>
      <w:pPr>
        <w:spacing w:before="2100"/>
        <w:jc w:val="center"/>
      </w:pPr>
      <w:r>
        <w:rPr>
          <w:b/>
          <w:color w:val="17365D"/>
          <w:sz w:val="22"/>
        </w:rPr>
        <w:t>Versión 1.0  |  17 de julio de 2026</w:t>
      </w:r>
    </w:p>
    <w:p>
      <w:pPr>
        <w:jc w:val="center"/>
      </w:pPr>
      <w:r>
        <w:rPr>
          <w:i/>
          <w:color w:val="667085"/>
          <w:sz w:val="19"/>
        </w:rPr>
        <w:t>Documento elaborado con base en las rutas, validaciones y acciones disponibles en la solución actual.</w:t>
      </w:r>
    </w:p>
    <w:p>
      <w:r>
        <w:br w:type="page"/>
      </w:r>
    </w:p>
    <w:p>
      <w:pPr>
        <w:pStyle w:val="Heading1"/>
        <w:keepNext/>
      </w:pPr>
      <w:r>
        <w:t>Control del documento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Propósito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Guiar el ciclo completo desde la planeación del egreso hasta la recepción del bien y la emisión del cheque o transferencia.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Audiencia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Planeación, áreas solicitantes, Compras, Presupuesto, Almacén, Cuentas por pagar, Tesorería y Control interno.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Alcance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Flujo estándar de bienes y servicios; incluye solicitud y autorización de suficiencia, orden de compra, entrada, compromiso, factura, CLC y pago.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Sistema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eGestion360 / módulos GRP.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Vigencia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Validar nuevamente cuando cambien catálogos, permisos, rutas o reglas de negocio.</w:t>
            </w:r>
          </w:p>
        </w:tc>
      </w:tr>
    </w:tbl>
    <w:p>
      <w:pPr>
        <w:spacing w:after="40"/>
      </w:pPr>
    </w:p>
    <w:p>
      <w:pPr>
        <w:pStyle w:val="Callout"/>
        <w:spacing w:before="80" w:after="160"/>
        <w:ind w:left="144" w:right="86"/>
        <w:shd w:fill="E8EEF5"/>
        <w:pBdr>
          <w:left w:val="single" w:sz="22" w:space="7" w:color="2E74B5"/>
        </w:pBdr>
      </w:pPr>
      <w:r>
        <w:rPr>
          <w:b/>
          <w:color w:val="2E74B5"/>
        </w:rPr>
        <w:t xml:space="preserve">Regla de lectura: </w:t>
      </w:r>
      <w:r>
        <w:rPr>
          <w:color w:val="1F2937"/>
        </w:rPr>
        <w:t>La descripción del estatus que muestra la pantalla es la fuente operativa. Los nombres pueden depender del catálogo configurado por la empresa.</w:t>
      </w:r>
    </w:p>
    <w:p>
      <w:pPr>
        <w:pStyle w:val="Heading1"/>
        <w:keepNext/>
      </w:pPr>
      <w:r>
        <w:t>Contenido</w:t>
      </w:r>
    </w:p>
    <w:p>
      <w:pPr>
        <w:pStyle w:val="Step"/>
        <w:numPr>
          <w:ilvl w:val="0"/>
          <w:numId w:val="10"/>
        </w:numPr>
      </w:pPr>
      <w:r>
        <w:t>Objetivo, alcance y criterios comunes.</w:t>
      </w:r>
    </w:p>
    <w:p>
      <w:pPr>
        <w:pStyle w:val="Step"/>
        <w:numPr>
          <w:ilvl w:val="0"/>
          <w:numId w:val="10"/>
        </w:numPr>
      </w:pPr>
      <w:r>
        <w:t>Roles y segregación de funciones.</w:t>
      </w:r>
    </w:p>
    <w:p>
      <w:pPr>
        <w:pStyle w:val="Step"/>
        <w:numPr>
          <w:ilvl w:val="0"/>
          <w:numId w:val="10"/>
        </w:numPr>
      </w:pPr>
      <w:r>
        <w:t>Mapa del flujo integral.</w:t>
      </w:r>
    </w:p>
    <w:p>
      <w:pPr>
        <w:pStyle w:val="Step"/>
        <w:numPr>
          <w:ilvl w:val="0"/>
          <w:numId w:val="10"/>
        </w:numPr>
      </w:pPr>
      <w:r>
        <w:t>Planeación: anteproyecto y presupuesto autorizado.</w:t>
      </w:r>
    </w:p>
    <w:p>
      <w:pPr>
        <w:pStyle w:val="Step"/>
        <w:numPr>
          <w:ilvl w:val="0"/>
          <w:numId w:val="10"/>
        </w:numPr>
      </w:pPr>
      <w:r>
        <w:t>Adquisición: requisición, cotización, suficiencia y orden de compra.</w:t>
      </w:r>
    </w:p>
    <w:p>
      <w:pPr>
        <w:pStyle w:val="Step"/>
        <w:numPr>
          <w:ilvl w:val="0"/>
          <w:numId w:val="10"/>
        </w:numPr>
      </w:pPr>
      <w:r>
        <w:t>Recepción: entrada de almacén y control de cantidades.</w:t>
      </w:r>
    </w:p>
    <w:p>
      <w:pPr>
        <w:pStyle w:val="Step"/>
        <w:numPr>
          <w:ilvl w:val="0"/>
          <w:numId w:val="10"/>
        </w:numPr>
      </w:pPr>
      <w:r>
        <w:t>Compromiso y pago: contrato, factura, CLC y cheque/transferencia.</w:t>
      </w:r>
    </w:p>
    <w:p>
      <w:pPr>
        <w:pStyle w:val="Step"/>
        <w:numPr>
          <w:ilvl w:val="0"/>
          <w:numId w:val="10"/>
        </w:numPr>
      </w:pPr>
      <w:r>
        <w:t>Controles, trazabilidad, correcciones y cierre del expediente.</w:t>
      </w:r>
    </w:p>
    <w:p>
      <w:pPr>
        <w:pStyle w:val="Heading1"/>
        <w:keepNext/>
      </w:pPr>
      <w:r>
        <w:t>1. Objetivo y alcance</w:t>
      </w:r>
    </w:p>
    <w:p>
      <w:pPr/>
      <w:r>
        <w:t>Este manual explica el recorrido de un egreso planeado hasta su ejecución operativa y financiera. Presenta las entradas mínimas, responsables, acciones de pantalla, autorizaciones, validaciones y evidencias necesarias para conservar la trazabilidad de una compra.</w:t>
      </w:r>
    </w:p>
    <w:p>
      <w:pPr/>
      <w:r>
        <w:t>El flujo estándar comienza con una partida mensual del anteproyecto, continúa con presupuesto autorizado, requisición y cotización, reserva suficiencia, formaliza la orden de compra, registra la recepción física y concluye con compromiso, factura, CLC y cheque o transferencia.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Importante: </w:t>
      </w:r>
      <w:r>
        <w:rPr>
          <w:color w:val="1F2937"/>
        </w:rPr>
        <w:t>La orden de compra y la recepción física pertenecen a la rama operativa; el contrato, la factura, la CLC y el cheque forman la rama presupuestal-financiera. Ambas deben referirse a la misma empresa, requisición, partidas e importes.</w:t>
      </w:r>
    </w:p>
    <w:p>
      <w:pPr>
        <w:pStyle w:val="Heading1"/>
        <w:keepNext/>
      </w:pPr>
      <w:r>
        <w:t>2. Roles y segregación de funciones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500"/>
        <w:gridCol w:w="316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Rol</w:t>
            </w:r>
          </w:p>
        </w:tc>
        <w:tc>
          <w:tcPr>
            <w:tcW w:type="dxa" w:w="450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Responsabilidad principal</w:t>
            </w:r>
          </w:p>
        </w:tc>
        <w:tc>
          <w:tcPr>
            <w:tcW w:type="dxa" w:w="316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Acciones sensibles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Planeación / Presupuesto</w:t>
            </w:r>
          </w:p>
        </w:tc>
        <w:tc>
          <w:tcPr>
            <w:tcW w:type="dxa" w:w="45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Capturar el anteproyecto, revisar clasificación y convertirlo en presupuesto autorizado.</w:t>
            </w:r>
          </w:p>
        </w:tc>
        <w:tc>
          <w:tcPr>
            <w:tcW w:type="dxa" w:w="3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Autorizar o regresar a proyectado.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Área solicitante</w:t>
            </w:r>
          </w:p>
        </w:tc>
        <w:tc>
          <w:tcPr>
            <w:tcW w:type="dxa" w:w="45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Definir necesidad, fechas, cantidades, partidas y justificación.</w:t>
            </w:r>
          </w:p>
        </w:tc>
        <w:tc>
          <w:tcPr>
            <w:tcW w:type="dxa" w:w="3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Crear requisición y confirmar bienes/servicios.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Compras / Adquisiciones</w:t>
            </w:r>
          </w:p>
        </w:tc>
        <w:tc>
          <w:tcPr>
            <w:tcW w:type="dxa" w:w="45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Cotizar, seleccionar proveedor, solicitar suficiencia y preparar la orden.</w:t>
            </w:r>
          </w:p>
        </w:tc>
        <w:tc>
          <w:tcPr>
            <w:tcW w:type="dxa" w:w="3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Emitir y autorizar orden de compra.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Autorizador presupuestal</w:t>
            </w:r>
          </w:p>
        </w:tc>
        <w:tc>
          <w:tcPr>
            <w:tcW w:type="dxa" w:w="45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Verificar saldo, clasificación, detalle e importe solicitado.</w:t>
            </w:r>
          </w:p>
        </w:tc>
        <w:tc>
          <w:tcPr>
            <w:tcW w:type="dxa" w:w="3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Autorizar suficiencia y reservar presupuesto.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Almacén</w:t>
            </w:r>
          </w:p>
        </w:tc>
        <w:tc>
          <w:tcPr>
            <w:tcW w:type="dxa" w:w="45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Recibir contra orden, registrar cantidades, costo y documentos de entrega.</w:t>
            </w:r>
          </w:p>
        </w:tc>
        <w:tc>
          <w:tcPr>
            <w:tcW w:type="dxa" w:w="3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Registrar entradas y vigilar pendientes.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Cuentas por pagar</w:t>
            </w:r>
          </w:p>
        </w:tc>
        <w:tc>
          <w:tcPr>
            <w:tcW w:type="dxa" w:w="45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Registrar contrato/factura, integrar partidas y generar CLC.</w:t>
            </w:r>
          </w:p>
        </w:tc>
        <w:tc>
          <w:tcPr>
            <w:tcW w:type="dxa" w:w="3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Enviar factura a autorización.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Tesorería</w:t>
            </w:r>
          </w:p>
        </w:tc>
        <w:tc>
          <w:tcPr>
            <w:tcW w:type="dxa" w:w="45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Validar CLC, cuenta bancaria, póliza e importe.</w:t>
            </w:r>
          </w:p>
        </w:tc>
        <w:tc>
          <w:tcPr>
            <w:tcW w:type="dxa" w:w="3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Generar cheque o transferencia.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 interno</w:t>
            </w:r>
          </w:p>
        </w:tc>
        <w:tc>
          <w:tcPr>
            <w:tcW w:type="dxa" w:w="45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Revisar expediente y concordancia de importes.</w:t>
            </w:r>
          </w:p>
        </w:tc>
        <w:tc>
          <w:tcPr>
            <w:tcW w:type="dxa" w:w="3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Consultar soportes y reportes; no sustituye al autorizador.</w:t>
            </w:r>
          </w:p>
        </w:tc>
      </w:tr>
    </w:tbl>
    <w:p>
      <w:pPr>
        <w:spacing w:after="40"/>
      </w:pPr>
    </w:p>
    <w:p>
      <w:pPr>
        <w:pStyle w:val="Callout"/>
        <w:spacing w:before="80" w:after="160"/>
        <w:ind w:left="144" w:right="86"/>
        <w:shd w:fill="E8F4EE"/>
        <w:pBdr>
          <w:left w:val="single" w:sz="22" w:space="7" w:color="26734D"/>
        </w:pBdr>
      </w:pPr>
      <w:r>
        <w:rPr>
          <w:b/>
          <w:color w:val="26734D"/>
        </w:rPr>
        <w:t xml:space="preserve">Permisos: </w:t>
      </w:r>
      <w:r>
        <w:rPr>
          <w:color w:val="1F2937"/>
        </w:rPr>
        <w:t>Las acciones Crear, Editar, Eliminar y Autorizar se muestran según los permisos del usuario. Si falta una acción, solicite la asignación del permiso correspondiente; no duplique registros para evadir el control.</w:t>
      </w:r>
    </w:p>
    <w:p>
      <w:pPr>
        <w:pStyle w:val="Heading1"/>
        <w:keepNext/>
      </w:pPr>
      <w:r>
        <w:t>3. Mapa del flujo integral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45536"/>
            <wp:docPr id="1" name="Picture 1" descr="Diagrama del flujo integral desde anteproyecto de egresos hasta cheque o transferencia, con orden de compra y entrada de almacén." title="Flujo integral de egreso, adquisición, recepción y pa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integ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Figura 1. Dependencias mínimas del flujo estándar.</w:t>
      </w:r>
    </w:p>
    <w:p>
      <w:pPr>
        <w:pStyle w:val="Callout"/>
        <w:spacing w:before="80" w:after="160"/>
        <w:ind w:left="144" w:right="86"/>
        <w:shd w:fill="FDECEC"/>
        <w:pBdr>
          <w:left w:val="single" w:sz="22" w:space="7" w:color="9B1C1C"/>
        </w:pBdr>
      </w:pPr>
      <w:r>
        <w:rPr>
          <w:b/>
          <w:color w:val="9B1C1C"/>
        </w:rPr>
        <w:t xml:space="preserve">Punto de control central: </w:t>
      </w:r>
      <w:r>
        <w:rPr>
          <w:color w:val="1F2937"/>
        </w:rPr>
        <w:t>Sin suficiencia autorizada, la requisición no debe generar una orden de compra. La autorización verifica además que exista detalle, clasificación completa y saldo disponible.</w:t>
      </w:r>
    </w:p>
    <w:p>
      <w:pPr>
        <w:pStyle w:val="Heading1"/>
        <w:keepNext/>
      </w:pPr>
      <w:r>
        <w:t>4. Requisitos comunes antes de iniciar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"/>
        <w:gridCol w:w="8840"/>
      </w:tblGrid>
      <w:tr>
        <w:trPr>
          <w:tblHeader w:val="true"/>
        </w:trPr>
        <w:tc>
          <w:tcPr>
            <w:tcW w:type="dxa" w:w="520"/>
            <w:vAlign w:val="center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</w:r>
          </w:p>
        </w:tc>
        <w:tc>
          <w:tcPr>
            <w:tcW w:type="dxa" w:w="8840"/>
            <w:vAlign w:val="center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Verificación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Seleccionar la empresa o sucursal correcta y el año presupuestal vigente.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Confirmar que programa, partida, área, fuente de financiamiento, tipo de gasto (TG), dígito identificador (DI) y destino del gasto (DG) estén activos.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Verificar catálogos de bienes/servicios, unidades, proveedores, cuentas bancarias y pólizas.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Contar con permisos para crear, actualizar y, cuando corresponda, autorizar.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Preparar justificación, oficio, cotizaciones, orden, factura, remisión y demás soportes del expediente.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Definir quién solicita, quién revisa y quién autoriza; evitar que una sola persona concentre todo el ciclo.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Planeación y autorización del egreso</w:t>
      </w:r>
    </w:p>
    <w:p>
      <w:pPr>
        <w:pStyle w:val="Heading2"/>
        <w:keepNext/>
      </w:pPr>
      <w:r>
        <w:t>1. Capturar el anteproyecto de egresos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Presupuesto &gt; Egreso &gt; Planeación &gt; Anteproyecto de Egresos</w:t>
              <w:br/>
              <w:t>Ruta: /Presupuesto/Egreso/Planeacion/Anteproyecto_Egresos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Planeación presupuestal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Empresa y año presupuestal seleccionados; catálogos de programa, partida, área y clasificación activos.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Partida de egreso proyectado lista para autorización.</w:t>
            </w:r>
          </w:p>
        </w:tc>
      </w:tr>
    </w:tbl>
    <w:p>
      <w:pPr>
        <w:spacing w:after="40"/>
      </w:pPr>
    </w:p>
    <w:p>
      <w:pPr/>
      <w:r>
        <w:t>Registra la necesidad presupuestal por programa, partida, área y calendario mensual.</w:t>
      </w:r>
    </w:p>
    <w:p>
      <w:pPr/>
      <w:r>
        <w:t>Campos clave. Programa, partida, área, fecha, descripción, FF, TG, DI, DG, PY e importes de enero a diciembre.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11"/>
        </w:numPr>
      </w:pPr>
      <w:r>
        <w:t>Abrir Anteproyecto de Egresos y elegir Nueva partida o el alta desde Excel, según el permiso disponible.</w:t>
      </w:r>
    </w:p>
    <w:p>
      <w:pPr>
        <w:pStyle w:val="Step"/>
        <w:numPr>
          <w:ilvl w:val="0"/>
          <w:numId w:val="11"/>
        </w:numPr>
      </w:pPr>
      <w:r>
        <w:t>Capturar Programa, Partida, Área, Fecha y Descripción.</w:t>
      </w:r>
    </w:p>
    <w:p>
      <w:pPr>
        <w:pStyle w:val="Step"/>
        <w:numPr>
          <w:ilvl w:val="0"/>
          <w:numId w:val="11"/>
        </w:numPr>
      </w:pPr>
      <w:r>
        <w:t>Completar Fuente de financiamiento, Tipo de gasto, Dígito identificador, Destino de gasto y PY cuando aplique.</w:t>
      </w:r>
    </w:p>
    <w:p>
      <w:pPr>
        <w:pStyle w:val="Step"/>
        <w:numPr>
          <w:ilvl w:val="0"/>
          <w:numId w:val="11"/>
        </w:numPr>
      </w:pPr>
      <w:r>
        <w:t>Distribuir el importe en los meses permitidos; revisar que el total corresponda a la planeación aprobada.</w:t>
      </w:r>
    </w:p>
    <w:p>
      <w:pPr>
        <w:pStyle w:val="Step"/>
        <w:numPr>
          <w:ilvl w:val="0"/>
          <w:numId w:val="11"/>
        </w:numPr>
      </w:pPr>
      <w:r>
        <w:t>Guardar y revisar el registro en Partidas del anteproyecto.</w:t>
      </w:r>
    </w:p>
    <w:p>
      <w:pPr>
        <w:pStyle w:val="Step"/>
        <w:numPr>
          <w:ilvl w:val="0"/>
          <w:numId w:val="11"/>
        </w:numPr>
      </w:pPr>
      <w:r>
        <w:t>Adjuntar el soporte documental cuando el procedimiento interno lo requiera.</w:t>
      </w:r>
    </w:p>
    <w:p>
      <w:pPr>
        <w:pStyle w:val="Callout"/>
        <w:spacing w:before="80" w:after="160"/>
        <w:ind w:left="144" w:right="86"/>
        <w:shd w:fill="E8F4EE"/>
        <w:pBdr>
          <w:left w:val="single" w:sz="22" w:space="7" w:color="26734D"/>
        </w:pBdr>
      </w:pPr>
      <w:r>
        <w:rPr>
          <w:b/>
          <w:color w:val="26734D"/>
        </w:rPr>
        <w:t xml:space="preserve">Solicitud / autorización: </w:t>
      </w:r>
      <w:r>
        <w:rPr>
          <w:color w:val="1F2937"/>
        </w:rPr>
        <w:t>La solicitud se materializa con la acción Autorizar de la fila. El sistema pide confirmación y abre Autorizar Presupuesto de Egresos; la acción final es Firmar y guardar.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12"/>
        </w:numPr>
      </w:pPr>
      <w:r>
        <w:t>Programa, partida y área son obligatorios.</w:t>
      </w:r>
    </w:p>
    <w:p>
      <w:pPr>
        <w:pStyle w:val="Bullet"/>
        <w:numPr>
          <w:ilvl w:val="0"/>
          <w:numId w:val="12"/>
        </w:numPr>
      </w:pPr>
      <w:r>
        <w:t>No registrar importes negativos; la suma mensual debe representar el total planeado.</w:t>
      </w:r>
    </w:p>
    <w:p>
      <w:pPr>
        <w:pStyle w:val="Bullet"/>
        <w:numPr>
          <w:ilvl w:val="0"/>
          <w:numId w:val="12"/>
        </w:numPr>
      </w:pPr>
      <w:r>
        <w:t>Antes de autorizar, confirmar que la clasificación presupuestal sea coherente y esté activa.</w:t>
      </w:r>
    </w:p>
    <w:p>
      <w:pPr>
        <w:pStyle w:val="Bullet"/>
        <w:numPr>
          <w:ilvl w:val="0"/>
          <w:numId w:val="12"/>
        </w:numPr>
      </w:pPr>
      <w:r>
        <w:t>Un anteproyecto autorizado queda protegido contra edición ordinaria.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Mientras no esté autorizado, use Editar. Si ya fue autorizado, utilice Quitar autorización / Regresar a proyectado; el autorizado se conserva inactivo para trazabilidad.</w:t>
      </w:r>
    </w:p>
    <w:p>
      <w:pPr>
        <w:pStyle w:val="Heading2"/>
        <w:keepNext/>
      </w:pPr>
      <w:r>
        <w:t>2. Autorizar el anteproyecto y generar presupuesto autorizado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Desde Anteproyecto de Egresos, acción Autorizar; consulta posterior en /Presupuesto/Egreso/Presupuesto_Autorizado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Autorizador de presupuesto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Anteproyecto completo y revisado.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Presupuesto autorizado disponible para las etapas de suficiencia y compromiso.</w:t>
            </w:r>
          </w:p>
        </w:tc>
      </w:tr>
    </w:tbl>
    <w:p>
      <w:pPr>
        <w:spacing w:after="40"/>
      </w:pPr>
    </w:p>
    <w:p>
      <w:pPr/>
      <w:r>
        <w:t>Convierte el egreso proyectado en techo presupuestal autorizado y registra fecha/usuario de autorización.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13"/>
        </w:numPr>
      </w:pPr>
      <w:r>
        <w:t>Localizar la partida del anteproyecto y seleccionar el icono Autorizar.</w:t>
      </w:r>
    </w:p>
    <w:p>
      <w:pPr>
        <w:pStyle w:val="Step"/>
        <w:numPr>
          <w:ilvl w:val="0"/>
          <w:numId w:val="13"/>
        </w:numPr>
      </w:pPr>
      <w:r>
        <w:t>Confirmar el mensaje que indica que se generará el presupuesto autorizado.</w:t>
      </w:r>
    </w:p>
    <w:p>
      <w:pPr>
        <w:pStyle w:val="Step"/>
        <w:numPr>
          <w:ilvl w:val="0"/>
          <w:numId w:val="13"/>
        </w:numPr>
      </w:pPr>
      <w:r>
        <w:t>Revisar la información precargada, la distribución mensual y la clasificación.</w:t>
      </w:r>
    </w:p>
    <w:p>
      <w:pPr>
        <w:pStyle w:val="Step"/>
        <w:numPr>
          <w:ilvl w:val="0"/>
          <w:numId w:val="13"/>
        </w:numPr>
      </w:pPr>
      <w:r>
        <w:t>Seleccionar Firmar y guardar.</w:t>
      </w:r>
    </w:p>
    <w:p>
      <w:pPr>
        <w:pStyle w:val="Step"/>
        <w:numPr>
          <w:ilvl w:val="0"/>
          <w:numId w:val="13"/>
        </w:numPr>
      </w:pPr>
      <w:r>
        <w:t>Abrir Presupuesto Autorizado y comprobar que el registro aparezca vinculado al anteproyecto.</w:t>
      </w:r>
    </w:p>
    <w:p>
      <w:pPr>
        <w:pStyle w:val="Step"/>
        <w:numPr>
          <w:ilvl w:val="0"/>
          <w:numId w:val="13"/>
        </w:numPr>
      </w:pPr>
      <w:r>
        <w:t>Conservar la notificación y el soporte de autorización dentro del expediente.</w:t>
      </w:r>
    </w:p>
    <w:p>
      <w:pPr>
        <w:pStyle w:val="Callout"/>
        <w:spacing w:before="80" w:after="160"/>
        <w:ind w:left="144" w:right="86"/>
        <w:shd w:fill="E8F4EE"/>
        <w:pBdr>
          <w:left w:val="single" w:sz="22" w:space="7" w:color="26734D"/>
        </w:pBdr>
      </w:pPr>
      <w:r>
        <w:rPr>
          <w:b/>
          <w:color w:val="26734D"/>
        </w:rPr>
        <w:t xml:space="preserve">Solicitud / autorización: </w:t>
      </w:r>
      <w:r>
        <w:rPr>
          <w:color w:val="1F2937"/>
        </w:rPr>
        <w:t>La autorización crea un nuevo registro relacionado y bloquea la edición del anteproyecto. El usuario autorizador debe ser distinto del capturista cuando la política interna lo exija.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14"/>
        </w:numPr>
      </w:pPr>
      <w:r>
        <w:t>No autorizar partidas incompletas o clasificadas en una fuente/área incorrecta.</w:t>
      </w:r>
    </w:p>
    <w:p>
      <w:pPr>
        <w:pStyle w:val="Bullet"/>
        <w:numPr>
          <w:ilvl w:val="0"/>
          <w:numId w:val="14"/>
        </w:numPr>
      </w:pPr>
      <w:r>
        <w:t>El sistema identifica los autorizados provenientes de anteproyecto.</w:t>
      </w:r>
    </w:p>
    <w:p>
      <w:pPr>
        <w:pStyle w:val="Bullet"/>
        <w:numPr>
          <w:ilvl w:val="0"/>
          <w:numId w:val="14"/>
        </w:numPr>
      </w:pPr>
      <w:r>
        <w:t>Para corregir no se elimina el antecedente: se usa Regresar a proyectado.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Use Quitar autorización o Regresar a proyectado. Revise el efecto mostrado por el sistema antes de confirmar.</w:t>
      </w:r>
    </w:p>
    <w:p>
      <w:pPr>
        <w:pStyle w:val="Heading1"/>
        <w:keepNext/>
      </w:pPr>
      <w:r>
        <w:t>6. Adquisición: solicitud, mercado y suficiencia</w:t>
      </w:r>
    </w:p>
    <w:p>
      <w:pPr>
        <w:pStyle w:val="Heading2"/>
        <w:keepNext/>
      </w:pPr>
      <w:r>
        <w:t>3. Crear la requisición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Adquisiciones &gt; Requisiciones</w:t>
              <w:br/>
              <w:t>Ruta: /Adquisiciones/Requisicion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Área solicitante / Compras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Necesidad aprobada y clasificación presupuestal conocida.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Requisición con partidas y bienes lista para cotizar.</w:t>
            </w:r>
          </w:p>
        </w:tc>
      </w:tr>
    </w:tbl>
    <w:p>
      <w:pPr>
        <w:spacing w:after="40"/>
      </w:pPr>
    </w:p>
    <w:p>
      <w:pPr/>
      <w:r>
        <w:t>Formaliza la solicitud operativa de bienes o servicios y su vinculación presupuestal.</w:t>
      </w:r>
    </w:p>
    <w:p>
      <w:pPr/>
      <w:r>
        <w:t>Campos clave. Descripción, área, solicitante, fecha, importe, tipo, proyecto, programa, FF, TG, DI, DG, oficio y observaciones.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15"/>
        </w:numPr>
      </w:pPr>
      <w:r>
        <w:t>Crear una requisición y capturar descripción, área, solicitante, fecha, importe y tipo Bien/Servicio.</w:t>
      </w:r>
    </w:p>
    <w:p>
      <w:pPr>
        <w:pStyle w:val="Step"/>
        <w:numPr>
          <w:ilvl w:val="0"/>
          <w:numId w:val="15"/>
        </w:numPr>
      </w:pPr>
      <w:r>
        <w:t>Seleccionar proyecto y programa; completar FF, TG, DI y DG.</w:t>
      </w:r>
    </w:p>
    <w:p>
      <w:pPr>
        <w:pStyle w:val="Step"/>
        <w:numPr>
          <w:ilvl w:val="0"/>
          <w:numId w:val="15"/>
        </w:numPr>
      </w:pPr>
      <w:r>
        <w:t>Registrar oficio, fecha de oficio y observaciones cuando correspondan.</w:t>
      </w:r>
    </w:p>
    <w:p>
      <w:pPr>
        <w:pStyle w:val="Step"/>
        <w:numPr>
          <w:ilvl w:val="0"/>
          <w:numId w:val="15"/>
        </w:numPr>
      </w:pPr>
      <w:r>
        <w:t>Guardar, abrir Ver detalle y agregar al menos una partida presupuestal.</w:t>
      </w:r>
    </w:p>
    <w:p>
      <w:pPr>
        <w:pStyle w:val="Step"/>
        <w:numPr>
          <w:ilvl w:val="0"/>
          <w:numId w:val="15"/>
        </w:numPr>
      </w:pPr>
      <w:r>
        <w:t>Seleccionar la partida y agregar los bienes o servicios con cantidad, unidad y datos requeridos.</w:t>
      </w:r>
    </w:p>
    <w:p>
      <w:pPr>
        <w:pStyle w:val="Step"/>
        <w:numPr>
          <w:ilvl w:val="0"/>
          <w:numId w:val="15"/>
        </w:numPr>
      </w:pPr>
      <w:r>
        <w:t>Revisar que el importe de la cabecera sea mayor que cero y sea congruente con el detalle.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16"/>
        </w:numPr>
      </w:pPr>
      <w:r>
        <w:t>La clasificación completa es requisito para enviar a suficiencia.</w:t>
      </w:r>
    </w:p>
    <w:p>
      <w:pPr>
        <w:pStyle w:val="Bullet"/>
        <w:numPr>
          <w:ilvl w:val="0"/>
          <w:numId w:val="16"/>
        </w:numPr>
      </w:pPr>
      <w:r>
        <w:t>La requisición debe contener bienes/servicios y todos deben tener partida.</w:t>
      </w:r>
    </w:p>
    <w:p>
      <w:pPr>
        <w:pStyle w:val="Bullet"/>
        <w:numPr>
          <w:ilvl w:val="0"/>
          <w:numId w:val="16"/>
        </w:numPr>
      </w:pPr>
      <w:r>
        <w:t>Cuando ya existe una cotización activa, la requisición se muestra En cotización y queda bloqueada para editar o eliminar.</w:t>
      </w:r>
    </w:p>
    <w:p>
      <w:pPr>
        <w:pStyle w:val="Bullet"/>
        <w:numPr>
          <w:ilvl w:val="0"/>
          <w:numId w:val="16"/>
        </w:numPr>
      </w:pPr>
      <w:r>
        <w:t>No duplique la requisición para corregir una clasificación; libere o corrija el vínculo conforme al procedimiento autorizado.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Corrija antes de crear cotizaciones. Si ya está bloqueada, libere/cancele el vínculo activo con la cotización conforme a permisos y política.</w:t>
      </w:r>
    </w:p>
    <w:p>
      <w:pPr>
        <w:pStyle w:val="Heading2"/>
        <w:keepNext/>
      </w:pPr>
      <w:r>
        <w:t>4. Capturar y recibir cotizaciones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Adquisiciones &gt; Cotización</w:t>
              <w:br/>
              <w:t>Ruta: /Adquisiciones/Cotizacion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Compras / Adquisiciones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Requisición con al menos un bien o servicio.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Requisición totalmente cotizada y lista para solicitar suficiencia.</w:t>
            </w:r>
          </w:p>
        </w:tc>
      </w:tr>
    </w:tbl>
    <w:p>
      <w:pPr>
        <w:spacing w:after="40"/>
      </w:pPr>
    </w:p>
    <w:p>
      <w:pPr/>
      <w:r>
        <w:t>Integra precios de proveedor y permite calcular el monto base de la solicitud de suficiencia.</w:t>
      </w:r>
    </w:p>
    <w:p>
      <w:pPr/>
      <w:r>
        <w:t>Campos clave. Requisición, proveedor, fechas, entrega, vigencia, condiciones, comentarios y precio unitario por bien.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17"/>
        </w:numPr>
      </w:pPr>
      <w:r>
        <w:t>Desde Requisiciones seleccionar Generar cotización, o crearla desde Cotización.</w:t>
      </w:r>
    </w:p>
    <w:p>
      <w:pPr>
        <w:pStyle w:val="Step"/>
        <w:numPr>
          <w:ilvl w:val="0"/>
          <w:numId w:val="17"/>
        </w:numPr>
      </w:pPr>
      <w:r>
        <w:t>Elegir requisición y proveedor; registrar fechas de solicitud, cotización y compromiso.</w:t>
      </w:r>
    </w:p>
    <w:p>
      <w:pPr>
        <w:pStyle w:val="Step"/>
        <w:numPr>
          <w:ilvl w:val="0"/>
          <w:numId w:val="17"/>
        </w:numPr>
      </w:pPr>
      <w:r>
        <w:t>Capturar entrega, vigencia, condiciones y comentarios; decidir si se envía la solicitud por correo.</w:t>
      </w:r>
    </w:p>
    <w:p>
      <w:pPr>
        <w:pStyle w:val="Step"/>
        <w:numPr>
          <w:ilvl w:val="0"/>
          <w:numId w:val="17"/>
        </w:numPr>
      </w:pPr>
      <w:r>
        <w:t>Abrir la cotización y usar Captura rápida de bienes para incorporar los renglones requeridos.</w:t>
      </w:r>
    </w:p>
    <w:p>
      <w:pPr>
        <w:pStyle w:val="Step"/>
        <w:numPr>
          <w:ilvl w:val="0"/>
          <w:numId w:val="17"/>
        </w:numPr>
      </w:pPr>
      <w:r>
        <w:t>Registrar Precio unitario para cada bien; usar Recibir montos cotizados para completar la respuesta del proveedor.</w:t>
      </w:r>
    </w:p>
    <w:p>
      <w:pPr>
        <w:pStyle w:val="Step"/>
        <w:numPr>
          <w:ilvl w:val="0"/>
          <w:numId w:val="17"/>
        </w:numPr>
      </w:pPr>
      <w:r>
        <w:t>Comparar vigencia, condiciones e importe; conservar las evidencias de cada proveedor.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18"/>
        </w:numPr>
      </w:pPr>
      <w:r>
        <w:t>Todos los bienes de la requisición deben tener por lo menos un monto cotizado antes de solicitar suficiencia.</w:t>
      </w:r>
    </w:p>
    <w:p>
      <w:pPr>
        <w:pStyle w:val="Bullet"/>
        <w:numPr>
          <w:ilvl w:val="0"/>
          <w:numId w:val="18"/>
        </w:numPr>
      </w:pPr>
      <w:r>
        <w:t>El precio unitario debe ser mayor que cero.</w:t>
      </w:r>
    </w:p>
    <w:p>
      <w:pPr>
        <w:pStyle w:val="Bullet"/>
        <w:numPr>
          <w:ilvl w:val="0"/>
          <w:numId w:val="18"/>
        </w:numPr>
      </w:pPr>
      <w:r>
        <w:t>No mezclar bienes de otra requisición ni proveedores inactivos.</w:t>
      </w:r>
    </w:p>
    <w:p>
      <w:pPr>
        <w:pStyle w:val="Bullet"/>
        <w:numPr>
          <w:ilvl w:val="0"/>
          <w:numId w:val="18"/>
        </w:numPr>
      </w:pPr>
      <w:r>
        <w:t>La solicitud de suficiencia usa el promedio de las cotizaciones capturadas más el porcentaje de ajuste indicado.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Editar o eliminar el detalle cotizado mientras no haya avanzado el flujo; después documentar la corrección y regenerar la solicitud si procede.</w:t>
      </w:r>
    </w:p>
    <w:p>
      <w:pPr>
        <w:pStyle w:val="Heading2"/>
        <w:keepNext/>
      </w:pPr>
      <w:r>
        <w:t>5. Generar la solicitud de suficiencia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Desde Requisiciones, acción Enviar a suficiencia y autorización; seguimiento en /Adquisiciones/Solicitud_Suficiencia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Compras / Área solicitante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Requisición con clasificación completa, bienes con partida y todos los bienes cotizados.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Solicitud de suficiencia con detalle lista para autorización presupuestal.</w:t>
            </w:r>
          </w:p>
        </w:tc>
      </w:tr>
    </w:tbl>
    <w:p>
      <w:pPr>
        <w:spacing w:after="40"/>
      </w:pPr>
    </w:p>
    <w:p>
      <w:pPr/>
      <w:r>
        <w:t>Solicita la validación y reserva presupuestal por partida y mes.</w:t>
      </w:r>
    </w:p>
    <w:p>
      <w:pPr/>
      <w:r>
        <w:t>Campos clave. Requisición, fecha, porcentaje de ajuste, estatus, justificación y datos de gasto no programable.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19"/>
        </w:numPr>
      </w:pPr>
      <w:r>
        <w:t>En Requisiciones seleccionar Enviar a suficiencia y autorización.</w:t>
      </w:r>
    </w:p>
    <w:p>
      <w:pPr>
        <w:pStyle w:val="Step"/>
        <w:numPr>
          <w:ilvl w:val="0"/>
          <w:numId w:val="19"/>
        </w:numPr>
      </w:pPr>
      <w:r>
        <w:t>Confirmar la requisición y la fecha de solicitud.</w:t>
      </w:r>
    </w:p>
    <w:p>
      <w:pPr>
        <w:pStyle w:val="Step"/>
        <w:numPr>
          <w:ilvl w:val="0"/>
          <w:numId w:val="19"/>
        </w:numPr>
      </w:pPr>
      <w:r>
        <w:t>Indicar el porcentaje de ajuste cuando esté autorizado; nunca usar un valor negativo.</w:t>
      </w:r>
    </w:p>
    <w:p>
      <w:pPr>
        <w:pStyle w:val="Step"/>
        <w:numPr>
          <w:ilvl w:val="0"/>
          <w:numId w:val="19"/>
        </w:numPr>
      </w:pPr>
      <w:r>
        <w:t>Revisar el precálculo: bienes, cantidad, número de cotizaciones, promedio y monto ajustado.</w:t>
      </w:r>
    </w:p>
    <w:p>
      <w:pPr>
        <w:pStyle w:val="Step"/>
        <w:numPr>
          <w:ilvl w:val="0"/>
          <w:numId w:val="19"/>
        </w:numPr>
      </w:pPr>
      <w:r>
        <w:t>Capturar la justificación y, si aplica, los datos de gasto no programable o compromiso de nómina.</w:t>
      </w:r>
    </w:p>
    <w:p>
      <w:pPr>
        <w:pStyle w:val="Step"/>
        <w:numPr>
          <w:ilvl w:val="0"/>
          <w:numId w:val="19"/>
        </w:numPr>
      </w:pPr>
      <w:r>
        <w:t>Generar la solicitud y verificar su detalle por bien, partida, mes y total.</w:t>
      </w:r>
    </w:p>
    <w:p>
      <w:pPr>
        <w:pStyle w:val="Callout"/>
        <w:spacing w:before="80" w:after="160"/>
        <w:ind w:left="144" w:right="86"/>
        <w:shd w:fill="E8F4EE"/>
        <w:pBdr>
          <w:left w:val="single" w:sz="22" w:space="7" w:color="26734D"/>
        </w:pBdr>
      </w:pPr>
      <w:r>
        <w:rPr>
          <w:b/>
          <w:color w:val="26734D"/>
        </w:rPr>
        <w:t xml:space="preserve">Solicitud / autorización: </w:t>
      </w:r>
      <w:r>
        <w:rPr>
          <w:color w:val="1F2937"/>
        </w:rPr>
        <w:t>La acción crea la solicitud, pero no reserva presupuesto. La reserva ocurre únicamente al autorizarla en Presupuesto Comprometido.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20"/>
        </w:numPr>
      </w:pPr>
      <w:r>
        <w:t>No puede existir otra solicitud activa para la misma requisición, salvo que la anterior esté rechazada/inactiva según la regla del sistema.</w:t>
      </w:r>
    </w:p>
    <w:p>
      <w:pPr>
        <w:pStyle w:val="Bullet"/>
        <w:numPr>
          <w:ilvl w:val="0"/>
          <w:numId w:val="20"/>
        </w:numPr>
      </w:pPr>
      <w:r>
        <w:t>El sistema impide generar la solicitud si falta un bien, partida o monto cotizado.</w:t>
      </w:r>
    </w:p>
    <w:p>
      <w:pPr>
        <w:pStyle w:val="Bullet"/>
        <w:numPr>
          <w:ilvl w:val="0"/>
          <w:numId w:val="20"/>
        </w:numPr>
      </w:pPr>
      <w:r>
        <w:t>El mes aplicado se deriva de la fecha de la requisición.</w:t>
      </w:r>
    </w:p>
    <w:p>
      <w:pPr>
        <w:pStyle w:val="Bullet"/>
        <w:numPr>
          <w:ilvl w:val="0"/>
          <w:numId w:val="20"/>
        </w:numPr>
      </w:pPr>
      <w:r>
        <w:t>Revisar que el total solicitado sea congruente con el mercado y el presupuesto autorizado.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Mientras sea editable, ajuste la solicitud. Si fue rechazada, corrija la requisición/cotizaciones y genere o reactive el flujo conforme a la opción disponible.</w:t>
      </w:r>
    </w:p>
    <w:p>
      <w:pPr>
        <w:pStyle w:val="Heading2"/>
        <w:keepNext/>
      </w:pPr>
      <w:r>
        <w:t>6. Autorizar la suficiencia presupuestal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Presupuesto &gt; Egreso &gt; Presupuesto Comprometido &gt; Solicitud Suficiencia</w:t>
              <w:br/>
              <w:t>Ruta: /Presupuesto/Egreso/Presupuesto_Comprometido/Solicitud_Suficiencia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Autorizador presupuestal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Solicitud activa con detalle e importes mayores que cero; usuario relacionado con una persona autorizadora.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Suficiencia autorizada y presupuesto reservado; requisición habilitada para orden de compra.</w:t>
            </w:r>
          </w:p>
        </w:tc>
      </w:tr>
    </w:tbl>
    <w:p>
      <w:pPr>
        <w:spacing w:after="40"/>
      </w:pPr>
    </w:p>
    <w:p>
      <w:pPr/>
      <w:r>
        <w:t>Valida disponibilidad y crea la autorización con reserva presupuestal en una sola transacción.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21"/>
        </w:numPr>
      </w:pPr>
      <w:r>
        <w:t>Abrir Solicitud Suficiencia y localizar la solicitud pendiente.</w:t>
      </w:r>
    </w:p>
    <w:p>
      <w:pPr>
        <w:pStyle w:val="Step"/>
        <w:numPr>
          <w:ilvl w:val="0"/>
          <w:numId w:val="21"/>
        </w:numPr>
      </w:pPr>
      <w:r>
        <w:t>Abrir Ver detalle y revisar requisición, mes, bienes, partidas y total solicitado.</w:t>
      </w:r>
    </w:p>
    <w:p>
      <w:pPr>
        <w:pStyle w:val="Step"/>
        <w:numPr>
          <w:ilvl w:val="0"/>
          <w:numId w:val="21"/>
        </w:numPr>
      </w:pPr>
      <w:r>
        <w:t>Seleccionar Autorizar solicitud y confirmar el mensaje de generación de la autorización con detalle.</w:t>
      </w:r>
    </w:p>
    <w:p>
      <w:pPr>
        <w:pStyle w:val="Step"/>
        <w:numPr>
          <w:ilvl w:val="0"/>
          <w:numId w:val="21"/>
        </w:numPr>
      </w:pPr>
      <w:r>
        <w:t>Verificar Empresa, Solicitud suficiencia, Autorizado por, Fecha de autorización, Justificación y Observaciones.</w:t>
      </w:r>
    </w:p>
    <w:p>
      <w:pPr>
        <w:pStyle w:val="Step"/>
        <w:numPr>
          <w:ilvl w:val="0"/>
          <w:numId w:val="21"/>
        </w:numPr>
      </w:pPr>
      <w:r>
        <w:t>Confirmar la autorización. El sistema valida saldo por año, programa, partida, área, FF, TG, DI y DG.</w:t>
      </w:r>
    </w:p>
    <w:p>
      <w:pPr>
        <w:pStyle w:val="Step"/>
        <w:numPr>
          <w:ilvl w:val="0"/>
          <w:numId w:val="21"/>
        </w:numPr>
      </w:pPr>
      <w:r>
        <w:t>Comprobar que la solicitud cambie al estatus autorizado y que la autorización aparezca en Autorización Suficiencia.</w:t>
      </w:r>
    </w:p>
    <w:p>
      <w:pPr>
        <w:pStyle w:val="Callout"/>
        <w:spacing w:before="80" w:after="160"/>
        <w:ind w:left="144" w:right="86"/>
        <w:shd w:fill="E8F4EE"/>
        <w:pBdr>
          <w:left w:val="single" w:sz="22" w:space="7" w:color="26734D"/>
        </w:pBdr>
      </w:pPr>
      <w:r>
        <w:rPr>
          <w:b/>
          <w:color w:val="26734D"/>
        </w:rPr>
        <w:t xml:space="preserve">Solicitud / autorización: </w:t>
      </w:r>
      <w:r>
        <w:rPr>
          <w:color w:val="1F2937"/>
        </w:rPr>
        <w:t>Esta es la autorización presupuestal obligatoria. El sistema copia el detalle de la solicitud y valida el saldo antes de confirmar la reserva.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22"/>
        </w:numPr>
      </w:pPr>
      <w:r>
        <w:t>No se autoriza una solicitud rechazada ni una solicitud sin detalle.</w:t>
      </w:r>
    </w:p>
    <w:p>
      <w:pPr>
        <w:pStyle w:val="Bullet"/>
        <w:numPr>
          <w:ilvl w:val="0"/>
          <w:numId w:val="22"/>
        </w:numPr>
      </w:pPr>
      <w:r>
        <w:t>No se permite más de una autorización activa para la misma solicitud.</w:t>
      </w:r>
    </w:p>
    <w:p>
      <w:pPr>
        <w:pStyle w:val="Bullet"/>
        <w:numPr>
          <w:ilvl w:val="0"/>
          <w:numId w:val="22"/>
        </w:numPr>
      </w:pPr>
      <w:r>
        <w:t>Si el importe solicitado supera el saldo neto disponible, el sistema devuelve Saldo insuficiente y no reserva.</w:t>
      </w:r>
    </w:p>
    <w:p>
      <w:pPr>
        <w:pStyle w:val="Bullet"/>
        <w:numPr>
          <w:ilvl w:val="0"/>
          <w:numId w:val="22"/>
        </w:numPr>
      </w:pPr>
      <w:r>
        <w:t>La persona autorizadora debe existir y estar activa.</w:t>
      </w:r>
    </w:p>
    <w:p>
      <w:pPr>
        <w:pStyle w:val="Bullet"/>
        <w:numPr>
          <w:ilvl w:val="0"/>
          <w:numId w:val="22"/>
        </w:numPr>
      </w:pPr>
      <w:r>
        <w:t>La autorización y sus detalles quedan bloqueados cuando alcanzan el estatus autorizado.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No intente modificar la autorización bloqueada. Corrija el origen, cancele/rechace conforme al procedimiento y libere la reserva antes de emitir una nueva autorización.</w:t>
      </w:r>
    </w:p>
    <w:p>
      <w:pPr>
        <w:pStyle w:val="Heading1"/>
        <w:keepNext/>
      </w:pPr>
      <w:r>
        <w:t>7. Orden de compra y recepción</w:t>
      </w:r>
    </w:p>
    <w:p>
      <w:pPr>
        <w:pStyle w:val="Heading2"/>
        <w:keepNext/>
      </w:pPr>
      <w:r>
        <w:t>7. Crear y autorizar la orden de compra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Adquisiciones &gt; Órdenes de Compra</w:t>
              <w:br/>
              <w:t>Ruta: /Adquisiciones/Orden_Compra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Compras / Autorizador de adquisiciones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Requisición activa con suficiencia autorizada; proveedor seleccionado.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Orden autorizada en estatus POR SURTIR, disponible para recepción y registro de compromiso.</w:t>
            </w:r>
          </w:p>
        </w:tc>
      </w:tr>
    </w:tbl>
    <w:p>
      <w:pPr>
        <w:spacing w:after="40"/>
      </w:pPr>
    </w:p>
    <w:p>
      <w:pPr/>
      <w:r>
        <w:t>Emite la instrucción de compra por proveedor, bienes, partidas e importes.</w:t>
      </w:r>
    </w:p>
    <w:p>
      <w:pPr/>
      <w:r>
        <w:t>Campos clave. Número, estatus, descripción, requisición, proveedor, fechas, moneda, tipo de cambio, compra directa, renglones y partidas.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23"/>
        </w:numPr>
      </w:pPr>
      <w:r>
        <w:t>Crear la orden y seleccionar requisición y proveedor.</w:t>
      </w:r>
    </w:p>
    <w:p>
      <w:pPr>
        <w:pStyle w:val="Step"/>
        <w:numPr>
          <w:ilvl w:val="0"/>
          <w:numId w:val="23"/>
        </w:numPr>
      </w:pPr>
      <w:r>
        <w:t>Capturar número, descripción, fecha de OC, fechas requerida/entrega/vigencia, moneda, tipo de cambio y compra directa cuando aplique.</w:t>
      </w:r>
    </w:p>
    <w:p>
      <w:pPr>
        <w:pStyle w:val="Step"/>
        <w:numPr>
          <w:ilvl w:val="0"/>
          <w:numId w:val="23"/>
        </w:numPr>
      </w:pPr>
      <w:r>
        <w:t>Abrir Ver detalle y agregar los renglones desde bienes cotizados o bienes de requisición.</w:t>
      </w:r>
    </w:p>
    <w:p>
      <w:pPr>
        <w:pStyle w:val="Step"/>
        <w:numPr>
          <w:ilvl w:val="0"/>
          <w:numId w:val="23"/>
        </w:numPr>
      </w:pPr>
      <w:r>
        <w:t>Para cada renglón registrar cantidad, unidad, precio unitario, IVA y observaciones.</w:t>
      </w:r>
    </w:p>
    <w:p>
      <w:pPr>
        <w:pStyle w:val="Step"/>
        <w:numPr>
          <w:ilvl w:val="0"/>
          <w:numId w:val="23"/>
        </w:numPr>
      </w:pPr>
      <w:r>
        <w:t>Agregar las partidas presupuestales con fuente e importe.</w:t>
      </w:r>
    </w:p>
    <w:p>
      <w:pPr>
        <w:pStyle w:val="Step"/>
        <w:numPr>
          <w:ilvl w:val="0"/>
          <w:numId w:val="23"/>
        </w:numPr>
      </w:pPr>
      <w:r>
        <w:t>Verificar que exista al menos un detalle y una partida, y que el total de partidas coincida con el total de detalles.</w:t>
      </w:r>
    </w:p>
    <w:p>
      <w:pPr>
        <w:pStyle w:val="Step"/>
        <w:numPr>
          <w:ilvl w:val="0"/>
          <w:numId w:val="23"/>
        </w:numPr>
      </w:pPr>
      <w:r>
        <w:t>Seleccionar Autorizar y confirmar. La orden cambia de INICIAL a POR SURTIR y queda bloqueada para edición/eliminación.</w:t>
      </w:r>
    </w:p>
    <w:p>
      <w:pPr>
        <w:pStyle w:val="Callout"/>
        <w:spacing w:before="80" w:after="160"/>
        <w:ind w:left="144" w:right="86"/>
        <w:shd w:fill="E8F4EE"/>
        <w:pBdr>
          <w:left w:val="single" w:sz="22" w:space="7" w:color="26734D"/>
        </w:pBdr>
      </w:pPr>
      <w:r>
        <w:rPr>
          <w:b/>
          <w:color w:val="26734D"/>
        </w:rPr>
        <w:t xml:space="preserve">Solicitud / autorización: </w:t>
      </w:r>
      <w:r>
        <w:rPr>
          <w:color w:val="1F2937"/>
        </w:rPr>
        <w:t>La autorización de la orden es distinta de la suficiencia: la primera permite surtir; la segunda reservó el presupuesto.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24"/>
        </w:numPr>
      </w:pPr>
      <w:r>
        <w:t>La fecha de OC debe ser igual o posterior a la fecha de requisición.</w:t>
      </w:r>
    </w:p>
    <w:p>
      <w:pPr>
        <w:pStyle w:val="Bullet"/>
        <w:numPr>
          <w:ilvl w:val="0"/>
          <w:numId w:val="24"/>
        </w:numPr>
      </w:pPr>
      <w:r>
        <w:t>Cantidad y precio unitario deben ser mayores que cero.</w:t>
      </w:r>
    </w:p>
    <w:p>
      <w:pPr>
        <w:pStyle w:val="Bullet"/>
        <w:numPr>
          <w:ilvl w:val="0"/>
          <w:numId w:val="24"/>
        </w:numPr>
      </w:pPr>
      <w:r>
        <w:t>El proveedor debe estar activo y pertenecer a la empresa del proceso.</w:t>
      </w:r>
    </w:p>
    <w:p>
      <w:pPr>
        <w:pStyle w:val="Bullet"/>
        <w:numPr>
          <w:ilvl w:val="0"/>
          <w:numId w:val="24"/>
        </w:numPr>
      </w:pPr>
      <w:r>
        <w:t>La requisición debe tener una solicitud autorizada y una autorización activa.</w:t>
      </w:r>
    </w:p>
    <w:p>
      <w:pPr>
        <w:pStyle w:val="Bullet"/>
        <w:numPr>
          <w:ilvl w:val="0"/>
          <w:numId w:val="24"/>
        </w:numPr>
      </w:pPr>
      <w:r>
        <w:t>No autorizar si el total de partidas no coincide con el total de los renglones.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Antes de autorizar, edite detalles/partidas. Después de autorizar, la orden queda bloqueada; cualquier cambio requiere el procedimiento formal de cancelación o reversa.</w:t>
      </w:r>
    </w:p>
    <w:p>
      <w:pPr>
        <w:pStyle w:val="Heading2"/>
        <w:keepNext/>
      </w:pPr>
      <w:r>
        <w:t>8. Registrar recepción y entrada de bienes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Almacén &gt; Recepción de pedidos</w:t>
              <w:br/>
              <w:t>Ruta: /Almacen/Recepcion_Pedidos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Almacén / Recepción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Orden de compra autorizada y bienes entregados por el proveedor.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Movimiento de almacén ligado al detalle de la orden; cantidades recibidas y pendientes actualizadas.</w:t>
            </w:r>
          </w:p>
        </w:tc>
      </w:tr>
    </w:tbl>
    <w:p>
      <w:pPr>
        <w:spacing w:after="40"/>
      </w:pPr>
    </w:p>
    <w:p>
      <w:pPr/>
      <w:r>
        <w:t>Registra entradas trazables contra cada renglón de la orden y controla cantidades recibidas/pendientes.</w:t>
      </w:r>
    </w:p>
    <w:p>
      <w:pPr/>
      <w:r>
        <w:t>Campos clave. Bien/servicio, ubicación, cantidad, costo, fecha, unidad, motivo, caducidad, clave, factura, remisión y lote.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25"/>
        </w:numPr>
      </w:pPr>
      <w:r>
        <w:t>Abrir Recepción de pedidos y seleccionar la orden de compra.</w:t>
      </w:r>
    </w:p>
    <w:p>
      <w:pPr>
        <w:pStyle w:val="Step"/>
        <w:numPr>
          <w:ilvl w:val="0"/>
          <w:numId w:val="25"/>
        </w:numPr>
      </w:pPr>
      <w:r>
        <w:t>En Renglones por recibir revisar bien, cantidad solicitada, recibida, pendiente y precio.</w:t>
      </w:r>
    </w:p>
    <w:p>
      <w:pPr>
        <w:pStyle w:val="Step"/>
        <w:numPr>
          <w:ilvl w:val="0"/>
          <w:numId w:val="25"/>
        </w:numPr>
      </w:pPr>
      <w:r>
        <w:t>Seleccionar Registrar entrada en el renglón correspondiente.</w:t>
      </w:r>
    </w:p>
    <w:p>
      <w:pPr>
        <w:pStyle w:val="Step"/>
        <w:numPr>
          <w:ilvl w:val="0"/>
          <w:numId w:val="25"/>
        </w:numPr>
      </w:pPr>
      <w:r>
        <w:t>Confirmar Bien o servicio, Área/ubicación, Cantidad, Costo unitario, Fecha de entrada y Unidad.</w:t>
      </w:r>
    </w:p>
    <w:p>
      <w:pPr>
        <w:pStyle w:val="Step"/>
        <w:numPr>
          <w:ilvl w:val="0"/>
          <w:numId w:val="25"/>
        </w:numPr>
      </w:pPr>
      <w:r>
        <w:t>Capturar Motivo, Caducidad, Clave, Factura, Remisión y Lote cuando correspondan.</w:t>
      </w:r>
    </w:p>
    <w:p>
      <w:pPr>
        <w:pStyle w:val="Step"/>
        <w:numPr>
          <w:ilvl w:val="0"/>
          <w:numId w:val="25"/>
        </w:numPr>
      </w:pPr>
      <w:r>
        <w:t>Guardar y abrir Ver entradas para comprobar la clave, cantidad, costo, fecha y documento.</w:t>
      </w:r>
    </w:p>
    <w:p>
      <w:pPr>
        <w:pStyle w:val="Step"/>
        <w:numPr>
          <w:ilvl w:val="0"/>
          <w:numId w:val="25"/>
        </w:numPr>
      </w:pPr>
      <w:r>
        <w:t>Repetir para entregas parciales hasta que la cantidad pendiente llegue a cero.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26"/>
        </w:numPr>
      </w:pPr>
      <w:r>
        <w:t>La cantidad de entrada debe ser mayor que cero y no debe rebasar la pendiente de la orden.</w:t>
      </w:r>
    </w:p>
    <w:p>
      <w:pPr>
        <w:pStyle w:val="Bullet"/>
        <w:numPr>
          <w:ilvl w:val="0"/>
          <w:numId w:val="26"/>
        </w:numPr>
      </w:pPr>
      <w:r>
        <w:t>El costo sugerido proviene del precio unitario; valide el documento del proveedor antes de guardar.</w:t>
      </w:r>
    </w:p>
    <w:p>
      <w:pPr>
        <w:pStyle w:val="Bullet"/>
        <w:numPr>
          <w:ilvl w:val="0"/>
          <w:numId w:val="26"/>
        </w:numPr>
      </w:pPr>
      <w:r>
        <w:t>No mezclar lotes, remisiones o facturas cuando deban conservarse por separado.</w:t>
      </w:r>
    </w:p>
    <w:p>
      <w:pPr>
        <w:pStyle w:val="Bullet"/>
        <w:numPr>
          <w:ilvl w:val="0"/>
          <w:numId w:val="26"/>
        </w:numPr>
      </w:pPr>
      <w:r>
        <w:t>El botón Registrar entrada se deshabilita cuando no hay cantidad pendiente.</w:t>
      </w:r>
    </w:p>
    <w:p>
      <w:pPr>
        <w:pStyle w:val="Bullet"/>
        <w:numPr>
          <w:ilvl w:val="0"/>
          <w:numId w:val="26"/>
        </w:numPr>
      </w:pPr>
      <w:r>
        <w:t>La entrada es un movimiento de almacén; la alta patrimonial puede requerir un paso adicional para bienes capitalizables.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No sobrescriba una entrada cerrada/contabilizada. Use el ajuste contrario autorizado y conserve la referencia al movimiento original.</w:t>
      </w:r>
    </w:p>
    <w:p>
      <w:pPr>
        <w:pStyle w:val="Callout"/>
        <w:spacing w:before="80" w:after="160"/>
        <w:ind w:left="144" w:right="86"/>
        <w:shd w:fill="E8EEF5"/>
        <w:pBdr>
          <w:left w:val="single" w:sz="22" w:space="7" w:color="2E74B5"/>
        </w:pBdr>
      </w:pPr>
      <w:r>
        <w:rPr>
          <w:b/>
          <w:color w:val="2E74B5"/>
        </w:rPr>
        <w:t xml:space="preserve">Bienes patrimoniales: </w:t>
      </w:r>
      <w:r>
        <w:rPr>
          <w:color w:val="1F2937"/>
        </w:rPr>
        <w:t>Si el bien debe controlarse como activo fijo, complete el alta en Patrimonio &gt; Bienes conforme a la política de capitalización. El sistema dispone de una relación con el detalle de la orden; valide clave, factura, valor, ubicación y resguardo.</w:t>
      </w:r>
    </w:p>
    <w:p>
      <w:pPr>
        <w:pStyle w:val="Heading1"/>
        <w:keepNext/>
      </w:pPr>
      <w:r>
        <w:t>8. Compromiso, factura, CLC y pago</w:t>
      </w:r>
    </w:p>
    <w:p>
      <w:pPr/>
      <w:r>
        <w:t>Después de la suficiencia y la orden autorizada, el expediente continúa por la ruta financiera. Dependiendo de la configuración institucional puede usarse el Registro Comprometido derivado de la autorización de suficiencia y/o el Registro de Compromiso contractual vinculado a la orden autorizada. No duplique compromisos para el mismo objeto.</w:t>
      </w:r>
    </w:p>
    <w:p>
      <w:pPr>
        <w:pStyle w:val="Heading2"/>
        <w:keepNext/>
      </w:pPr>
      <w:r>
        <w:t>9. Registrar compromiso o contrato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Presupuesto &gt; Egreso &gt; Presupuesto Comprometido &gt; Registro Comprometido</w:t>
              <w:br/>
              <w:t>Ruta: /Presupuesto/Egreso/Presupuesto_Comprometido/Registro_Comprometido</w:t>
              <w:br/>
              <w:t>Alterna contractual: /Adquisiciones/Contratos/Registro_Compromiso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Presupuesto / Contratos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Autorización de suficiencia activa y, para el registro ORCO, orden de compra autorizada.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Contrato/compromiso activo con calendario por partida, listo para factura.</w:t>
            </w:r>
          </w:p>
        </w:tc>
      </w:tr>
    </w:tbl>
    <w:p>
      <w:pPr>
        <w:spacing w:after="40"/>
      </w:pPr>
    </w:p>
    <w:p>
      <w:pPr/>
      <w:r>
        <w:t>Formaliza el compromiso presupuestal/contractual y prepara la recepción de factura.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27"/>
        </w:numPr>
      </w:pPr>
      <w:r>
        <w:t>Desde Autorización Suficiencia revisar el detalle autorizado y usar Generar registro comprometido cuando corresponda.</w:t>
      </w:r>
    </w:p>
    <w:p>
      <w:pPr>
        <w:pStyle w:val="Step"/>
        <w:numPr>
          <w:ilvl w:val="0"/>
          <w:numId w:val="27"/>
        </w:numPr>
      </w:pPr>
      <w:r>
        <w:t>Confirmar número, descripción, fechas, monto total y calendario por partida.</w:t>
      </w:r>
    </w:p>
    <w:p>
      <w:pPr>
        <w:pStyle w:val="Step"/>
        <w:numPr>
          <w:ilvl w:val="0"/>
          <w:numId w:val="27"/>
        </w:numPr>
      </w:pPr>
      <w:r>
        <w:t>Si se utiliza Registro de Compromiso de Adquisiciones, seleccionar la orden autorizada, proveedor, vigencia y montos mínimo/máximo.</w:t>
      </w:r>
    </w:p>
    <w:p>
      <w:pPr>
        <w:pStyle w:val="Step"/>
        <w:numPr>
          <w:ilvl w:val="0"/>
          <w:numId w:val="27"/>
        </w:numPr>
      </w:pPr>
      <w:r>
        <w:t>Adjuntar contrato, convenio, orden autorizada y soporte de suficiencia.</w:t>
      </w:r>
    </w:p>
    <w:p>
      <w:pPr>
        <w:pStyle w:val="Step"/>
        <w:numPr>
          <w:ilvl w:val="0"/>
          <w:numId w:val="27"/>
        </w:numPr>
      </w:pPr>
      <w:r>
        <w:t>Autorizar el registro contractual cuando esté completo; el sistema lo bloquea para edición operativa.</w:t>
      </w:r>
    </w:p>
    <w:p>
      <w:pPr>
        <w:pStyle w:val="Step"/>
        <w:numPr>
          <w:ilvl w:val="0"/>
          <w:numId w:val="27"/>
        </w:numPr>
      </w:pPr>
      <w:r>
        <w:t>Verificar que el monto del compromiso no exceda la suficiencia ni la orden.</w:t>
      </w:r>
    </w:p>
    <w:p>
      <w:pPr>
        <w:pStyle w:val="Callout"/>
        <w:spacing w:before="80" w:after="160"/>
        <w:ind w:left="144" w:right="86"/>
        <w:shd w:fill="E8F4EE"/>
        <w:pBdr>
          <w:left w:val="single" w:sz="22" w:space="7" w:color="26734D"/>
        </w:pBdr>
      </w:pPr>
      <w:r>
        <w:rPr>
          <w:b/>
          <w:color w:val="26734D"/>
        </w:rPr>
        <w:t xml:space="preserve">Solicitud / autorización: </w:t>
      </w:r>
      <w:r>
        <w:rPr>
          <w:color w:val="1F2937"/>
        </w:rPr>
        <w:t>La autorización contractual bloquea el registro. La autorización presupuestal previa continúa siendo la fuente de la reserva.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28"/>
        </w:numPr>
      </w:pPr>
      <w:r>
        <w:t>La autorización de suficiencia debe estar autorizada y tener detalle.</w:t>
      </w:r>
    </w:p>
    <w:p>
      <w:pPr>
        <w:pStyle w:val="Bullet"/>
        <w:numPr>
          <w:ilvl w:val="0"/>
          <w:numId w:val="28"/>
        </w:numPr>
      </w:pPr>
      <w:r>
        <w:t>La orden debe estar autorizada antes del compromiso contractual.</w:t>
      </w:r>
    </w:p>
    <w:p>
      <w:pPr>
        <w:pStyle w:val="Bullet"/>
        <w:numPr>
          <w:ilvl w:val="0"/>
          <w:numId w:val="28"/>
        </w:numPr>
      </w:pPr>
      <w:r>
        <w:t>No generar un segundo contrato activo para la misma autorización cuando el sistema ya reporta uno.</w:t>
      </w:r>
    </w:p>
    <w:p>
      <w:pPr>
        <w:pStyle w:val="Bullet"/>
        <w:numPr>
          <w:ilvl w:val="0"/>
          <w:numId w:val="28"/>
        </w:numPr>
      </w:pPr>
      <w:r>
        <w:t>La fecha final de vigencia no puede ser anterior a la inicial.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Corrija mientras esté en borrador/inicial. Una vez autorizado, aplique convenio, cancelación o proceso formal; no edite el registro bloqueado.</w:t>
      </w:r>
    </w:p>
    <w:p>
      <w:pPr>
        <w:pStyle w:val="Heading2"/>
        <w:keepNext/>
      </w:pPr>
      <w:r>
        <w:t>10. Registrar factura y enviarla a autorización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Tesorería &gt; Cuentas por pagar &gt; Recepción de Facturas y Comprobantes de Pago</w:t>
              <w:br/>
              <w:t>Ruta: /Presupuesto/Tesoreria/CuentasXPagar/Factura_Pago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Cuentas por pagar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Contrato/compromiso, póliza y factura válida del proveedor.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Factura vinculada a contrato y póliza; CLC preparada para autorización/provisión.</w:t>
            </w:r>
          </w:p>
        </w:tc>
      </w:tr>
    </w:tbl>
    <w:p>
      <w:pPr>
        <w:spacing w:after="40"/>
      </w:pPr>
    </w:p>
    <w:p>
      <w:pPr/>
      <w:r>
        <w:t>Registra el documento fiscal y sus partidas para generar la CLC.</w:t>
      </w:r>
    </w:p>
    <w:p>
      <w:pPr/>
      <w:r>
        <w:t>Campos clave. Contrato, póliza, número/serie, fechas, subtotal, IVA, retención, total, UUID, estatus y observaciones.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29"/>
        </w:numPr>
      </w:pPr>
      <w:r>
        <w:t>Crear o generar la factura desde Registro Comprometido mediante Recepción de factura.</w:t>
      </w:r>
    </w:p>
    <w:p>
      <w:pPr>
        <w:pStyle w:val="Step"/>
        <w:numPr>
          <w:ilvl w:val="0"/>
          <w:numId w:val="29"/>
        </w:numPr>
      </w:pPr>
      <w:r>
        <w:t>Seleccionar Empresa, Contrato y Póliza.</w:t>
      </w:r>
    </w:p>
    <w:p>
      <w:pPr>
        <w:pStyle w:val="Step"/>
        <w:numPr>
          <w:ilvl w:val="0"/>
          <w:numId w:val="29"/>
        </w:numPr>
      </w:pPr>
      <w:r>
        <w:t>Capturar número y serie de factura, fechas de emisión/recepción, subtotal, IVA, retención, total y UUID.</w:t>
      </w:r>
    </w:p>
    <w:p>
      <w:pPr>
        <w:pStyle w:val="Step"/>
        <w:numPr>
          <w:ilvl w:val="0"/>
          <w:numId w:val="29"/>
        </w:numPr>
      </w:pPr>
      <w:r>
        <w:t>Agregar o revisar las partidas de factura y el monto aplicado a cada una.</w:t>
      </w:r>
    </w:p>
    <w:p>
      <w:pPr>
        <w:pStyle w:val="Step"/>
        <w:numPr>
          <w:ilvl w:val="0"/>
          <w:numId w:val="29"/>
        </w:numPr>
      </w:pPr>
      <w:r>
        <w:t>Validar que subtotal, impuestos, retenciones y total coincidan con el CFDI/documento recibido.</w:t>
      </w:r>
    </w:p>
    <w:p>
      <w:pPr>
        <w:pStyle w:val="Step"/>
        <w:numPr>
          <w:ilvl w:val="0"/>
          <w:numId w:val="29"/>
        </w:numPr>
      </w:pPr>
      <w:r>
        <w:t>Seleccionar Enviar a autorización. El sistema prepara la CLC y sus detalles a partir de la factura.</w:t>
      </w:r>
    </w:p>
    <w:p>
      <w:pPr>
        <w:pStyle w:val="Callout"/>
        <w:spacing w:before="80" w:after="160"/>
        <w:ind w:left="144" w:right="86"/>
        <w:shd w:fill="E8F4EE"/>
        <w:pBdr>
          <w:left w:val="single" w:sz="22" w:space="7" w:color="26734D"/>
        </w:pBdr>
      </w:pPr>
      <w:r>
        <w:rPr>
          <w:b/>
          <w:color w:val="26734D"/>
        </w:rPr>
        <w:t xml:space="preserve">Solicitud / autorización: </w:t>
      </w:r>
      <w:r>
        <w:rPr>
          <w:color w:val="1F2937"/>
        </w:rPr>
        <w:t>La acción Enviar a autorización genera la CLC con el detalle presupuestal y las facturas asociadas; no equivale todavía a la salida bancaria.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30"/>
        </w:numPr>
      </w:pPr>
      <w:r>
        <w:t>La factura debe tener detalle antes de generar CLC.</w:t>
      </w:r>
    </w:p>
    <w:p>
      <w:pPr>
        <w:pStyle w:val="Bullet"/>
        <w:numPr>
          <w:ilvl w:val="0"/>
          <w:numId w:val="30"/>
        </w:numPr>
      </w:pPr>
      <w:r>
        <w:t>Contrato y póliza son obligatorios en la pantalla actual.</w:t>
      </w:r>
    </w:p>
    <w:p>
      <w:pPr>
        <w:pStyle w:val="Bullet"/>
        <w:numPr>
          <w:ilvl w:val="0"/>
          <w:numId w:val="30"/>
        </w:numPr>
      </w:pPr>
      <w:r>
        <w:t>No aplicar una misma partida por encima del monto facturado/comprometido.</w:t>
      </w:r>
    </w:p>
    <w:p>
      <w:pPr>
        <w:pStyle w:val="Bullet"/>
        <w:numPr>
          <w:ilvl w:val="0"/>
          <w:numId w:val="30"/>
        </w:numPr>
      </w:pPr>
      <w:r>
        <w:t>Después de enviar a autorización, la factura queda bloqueada para edición ordinaria.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Antes de enviar, edite o elimine la partida incorrecta. Después, corrija mediante cancelación/reversa de CLC y documente el motivo.</w:t>
      </w:r>
    </w:p>
    <w:p>
      <w:pPr>
        <w:pStyle w:val="Heading2"/>
        <w:keepNext/>
      </w:pPr>
      <w:r>
        <w:t>11. Revisar CLC y provisionar el pago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Tesorería &gt; Cuentas por pagar &gt; Provisión del Pago</w:t>
              <w:br/>
              <w:t>Ruta: /Presupuesto/Tesoreria/CuentasXPagar/Provision_Pago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Cuentas por pagar / Tesorería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CLC generada desde factura con contrato, póliza y detalle presupuestal.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CLC provisionada y cheque/transferencia en preparación.</w:t>
            </w:r>
          </w:p>
        </w:tc>
      </w:tr>
    </w:tbl>
    <w:p>
      <w:pPr>
        <w:spacing w:after="40"/>
      </w:pPr>
    </w:p>
    <w:p>
      <w:pPr/>
      <w:r>
        <w:t>Concentra el calendario, partidas y facturas autorizadas que serán pagadas.</w:t>
      </w:r>
    </w:p>
    <w:p>
      <w:pPr/>
      <w:r>
        <w:t>Campos clave. Empresa, contrato, póliza, número CLC, fechas, importe total, estatus, observaciones, detalle y facturas.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31"/>
        </w:numPr>
      </w:pPr>
      <w:r>
        <w:t>Abrir Provisión del Pago y localizar la CLC.</w:t>
      </w:r>
    </w:p>
    <w:p>
      <w:pPr>
        <w:pStyle w:val="Step"/>
        <w:numPr>
          <w:ilvl w:val="0"/>
          <w:numId w:val="31"/>
        </w:numPr>
      </w:pPr>
      <w:r>
        <w:t>Revisar número CLC, contrato, proveedor, fecha de solicitud, importe y estatus.</w:t>
      </w:r>
    </w:p>
    <w:p>
      <w:pPr>
        <w:pStyle w:val="Step"/>
        <w:numPr>
          <w:ilvl w:val="0"/>
          <w:numId w:val="31"/>
        </w:numPr>
      </w:pPr>
      <w:r>
        <w:t>Abrir el detalle y validar partidas, total por partida y facturas asociadas.</w:t>
      </w:r>
    </w:p>
    <w:p>
      <w:pPr>
        <w:pStyle w:val="Step"/>
        <w:numPr>
          <w:ilvl w:val="0"/>
          <w:numId w:val="31"/>
        </w:numPr>
      </w:pPr>
      <w:r>
        <w:t>Confirmar fechas de solicitud/autorización, póliza e importe total.</w:t>
      </w:r>
    </w:p>
    <w:p>
      <w:pPr>
        <w:pStyle w:val="Step"/>
        <w:numPr>
          <w:ilvl w:val="0"/>
          <w:numId w:val="31"/>
        </w:numPr>
      </w:pPr>
      <w:r>
        <w:t>Seleccionar Elaborar cheque o transferencia (icono de pagos).</w:t>
      </w:r>
    </w:p>
    <w:p>
      <w:pPr>
        <w:pStyle w:val="Step"/>
        <w:numPr>
          <w:ilvl w:val="0"/>
          <w:numId w:val="31"/>
        </w:numPr>
      </w:pPr>
      <w:r>
        <w:t>Revisar la información precargada del cheque y sus partidas antes de guardar.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32"/>
        </w:numPr>
      </w:pPr>
      <w:r>
        <w:t>La CLC debe contener por lo menos un detalle.</w:t>
      </w:r>
    </w:p>
    <w:p>
      <w:pPr>
        <w:pStyle w:val="Bullet"/>
        <w:numPr>
          <w:ilvl w:val="0"/>
          <w:numId w:val="32"/>
        </w:numPr>
      </w:pPr>
      <w:r>
        <w:t>El total de la CLC debe coincidir con la suma de sus detalles y facturas aplicadas.</w:t>
      </w:r>
    </w:p>
    <w:p>
      <w:pPr>
        <w:pStyle w:val="Bullet"/>
        <w:numPr>
          <w:ilvl w:val="0"/>
          <w:numId w:val="32"/>
        </w:numPr>
      </w:pPr>
      <w:r>
        <w:t>No pagar una CLC cancelada, rechazada o ya provisionada.</w:t>
      </w:r>
    </w:p>
    <w:p>
      <w:pPr>
        <w:pStyle w:val="Bullet"/>
        <w:numPr>
          <w:ilvl w:val="0"/>
          <w:numId w:val="32"/>
        </w:numPr>
      </w:pPr>
      <w:r>
        <w:t>Al generar el cheque/transferencia, la CLC avanza a un estatus bloqueado para edición.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Si detecta diferencia antes de generar el pago, corrija detalle/factura. Después de generarlo, cancele o reverse conforme al proceso de Tesorería.</w:t>
      </w:r>
    </w:p>
    <w:p>
      <w:pPr>
        <w:pStyle w:val="Heading2"/>
        <w:keepNext/>
      </w:pPr>
      <w:r>
        <w:t>12. Emitir cheque o transferencia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Referencia</w:t>
            </w:r>
          </w:p>
        </w:tc>
        <w:tc>
          <w:tcPr>
            <w:tcW w:type="dxa" w:w="7260"/>
            <w:vAlign w:val="center"/>
            <w:shd w:fill="E8EEF5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Detalle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Ruta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Tesorería &gt; Cuentas por pagar &gt; Elaboración de Cheques o Transferencias</w:t>
              <w:br/>
              <w:t>Ruta: /Presupuesto/Tesoreria/CuentasXPagar/Cheque_Transferencia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Responsable principal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Tesorería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Entrada mínima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CLC provisionada, cuenta bancaria disponible, póliza y autorización de pago.</w:t>
            </w:r>
          </w:p>
        </w:tc>
      </w:tr>
      <w:tr>
        <w:trPr/>
        <w:tc>
          <w:tcPr>
            <w:tcW w:type="dxa" w:w="2100"/>
            <w:vAlign w:val="center"/>
            <w:shd w:fill="F2F4F7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Resultado</w:t>
            </w:r>
          </w:p>
        </w:tc>
        <w:tc>
          <w:tcPr>
            <w:tcW w:type="dxa" w:w="7260"/>
            <w:vAlign w:val="center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  <w:insideH w:val="single" w:sz="5" w:color="D8DEE8"/>
              <w:insideV w:val="single" w:sz="5" w:color="D8DEE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Cheque o transferencia registrado con partidas pagadas y expediente de soporte.</w:t>
            </w:r>
          </w:p>
        </w:tc>
      </w:tr>
    </w:tbl>
    <w:p>
      <w:pPr>
        <w:spacing w:after="40"/>
      </w:pPr>
    </w:p>
    <w:p>
      <w:pPr/>
      <w:r>
        <w:t>Registra el medio de pago, su importe y las partidas pagadas.</w:t>
      </w:r>
    </w:p>
    <w:p>
      <w:pPr/>
      <w:r>
        <w:t>Campos clave. CLC, cuenta bancaria, póliza, fecha, número, concepto, importe, estatus, observaciones y partidas.</w:t>
      </w:r>
    </w:p>
    <w:p>
      <w:pPr>
        <w:pStyle w:val="Heading3"/>
        <w:keepNext/>
      </w:pPr>
      <w:r>
        <w:t>Procedimiento</w:t>
      </w:r>
    </w:p>
    <w:p>
      <w:pPr>
        <w:pStyle w:val="Step"/>
        <w:numPr>
          <w:ilvl w:val="0"/>
          <w:numId w:val="33"/>
        </w:numPr>
      </w:pPr>
      <w:r>
        <w:t>Desde la CLC abrir Provisión de pago o crear el registro en Elaboración de Cheques o Transferencias.</w:t>
      </w:r>
    </w:p>
    <w:p>
      <w:pPr>
        <w:pStyle w:val="Step"/>
        <w:numPr>
          <w:ilvl w:val="0"/>
          <w:numId w:val="33"/>
        </w:numPr>
      </w:pPr>
      <w:r>
        <w:t>Seleccionar Empresa, CLC, Cuenta bancaria y Póliza.</w:t>
      </w:r>
    </w:p>
    <w:p>
      <w:pPr>
        <w:pStyle w:val="Step"/>
        <w:numPr>
          <w:ilvl w:val="0"/>
          <w:numId w:val="33"/>
        </w:numPr>
      </w:pPr>
      <w:r>
        <w:t>Capturar Fecha de emisión, número de Cheque/transferencia, Concepto, Importe total y Observaciones.</w:t>
      </w:r>
    </w:p>
    <w:p>
      <w:pPr>
        <w:pStyle w:val="Step"/>
        <w:numPr>
          <w:ilvl w:val="0"/>
          <w:numId w:val="33"/>
        </w:numPr>
      </w:pPr>
      <w:r>
        <w:t>Revisar las partidas precargadas y sus montos pagados.</w:t>
      </w:r>
    </w:p>
    <w:p>
      <w:pPr>
        <w:pStyle w:val="Step"/>
        <w:numPr>
          <w:ilvl w:val="0"/>
          <w:numId w:val="33"/>
        </w:numPr>
      </w:pPr>
      <w:r>
        <w:t>Guardar el registro y comprobar número, CLC, contrato, fecha, importe y estatus en el listado.</w:t>
      </w:r>
    </w:p>
    <w:p>
      <w:pPr>
        <w:pStyle w:val="Step"/>
        <w:numPr>
          <w:ilvl w:val="0"/>
          <w:numId w:val="33"/>
        </w:numPr>
      </w:pPr>
      <w:r>
        <w:t>Adjuntar comprobante bancario, póliza y evidencia de entrega/aplicación.</w:t>
      </w:r>
    </w:p>
    <w:p>
      <w:pPr>
        <w:pStyle w:val="Callout"/>
        <w:spacing w:before="80" w:after="160"/>
        <w:ind w:left="144" w:right="86"/>
        <w:shd w:fill="E8F4EE"/>
        <w:pBdr>
          <w:left w:val="single" w:sz="22" w:space="7" w:color="26734D"/>
        </w:pBdr>
      </w:pPr>
      <w:r>
        <w:rPr>
          <w:b/>
          <w:color w:val="26734D"/>
        </w:rPr>
        <w:t xml:space="preserve">Solicitud / autorización: </w:t>
      </w:r>
      <w:r>
        <w:rPr>
          <w:color w:val="1F2937"/>
        </w:rPr>
        <w:t>La salida bancaria sólo debe ejecutarse por un usuario autorizado y con evidencia de revisión de la CLC, la cuenta y el beneficiario.</w:t>
      </w:r>
    </w:p>
    <w:p>
      <w:pPr>
        <w:pStyle w:val="Heading3"/>
        <w:keepNext/>
      </w:pPr>
      <w:r>
        <w:t>Controles antes de avanzar</w:t>
      </w:r>
    </w:p>
    <w:p>
      <w:pPr>
        <w:pStyle w:val="Bullet"/>
        <w:numPr>
          <w:ilvl w:val="0"/>
          <w:numId w:val="34"/>
        </w:numPr>
      </w:pPr>
      <w:r>
        <w:t>La cuenta bancaria y la póliza son obligatorias.</w:t>
      </w:r>
    </w:p>
    <w:p>
      <w:pPr>
        <w:pStyle w:val="Bullet"/>
        <w:numPr>
          <w:ilvl w:val="0"/>
          <w:numId w:val="34"/>
        </w:numPr>
      </w:pPr>
      <w:r>
        <w:t>El importe del pago debe coincidir con la suma de partidas y no exceder el saldo autorizado de la CLC.</w:t>
      </w:r>
    </w:p>
    <w:p>
      <w:pPr>
        <w:pStyle w:val="Bullet"/>
        <w:numPr>
          <w:ilvl w:val="0"/>
          <w:numId w:val="34"/>
        </w:numPr>
      </w:pPr>
      <w:r>
        <w:t>Una provisión/pago autorizado queda bloqueado para modificar o eliminar.</w:t>
      </w:r>
    </w:p>
    <w:p>
      <w:pPr>
        <w:pStyle w:val="Bullet"/>
        <w:numPr>
          <w:ilvl w:val="0"/>
          <w:numId w:val="34"/>
        </w:numPr>
      </w:pPr>
      <w:r>
        <w:t>Conciliar número de cheque/transferencia, fecha y movimiento bancario.</w:t>
      </w:r>
    </w:p>
    <w:p>
      <w:pPr>
        <w:pStyle w:val="Callout"/>
        <w:spacing w:before="80" w:after="160"/>
        <w:ind w:left="144" w:right="86"/>
        <w:shd w:fill="FFF4D6"/>
        <w:pBdr>
          <w:left w:val="single" w:sz="22" w:space="7" w:color="B7791F"/>
        </w:pBdr>
      </w:pPr>
      <w:r>
        <w:rPr>
          <w:b/>
          <w:color w:val="B7791F"/>
        </w:rPr>
        <w:t xml:space="preserve">Si requiere corrección: </w:t>
      </w:r>
      <w:r>
        <w:rPr>
          <w:color w:val="1F2937"/>
        </w:rPr>
        <w:t>Antes de autorizar/conciliar, edite. Después, use cancelación o reversa autorizada y conserve la relación con el pago original.</w:t>
      </w:r>
    </w:p>
    <w:p>
      <w:pPr>
        <w:pStyle w:val="Heading1"/>
        <w:keepNext/>
      </w:pPr>
      <w:r>
        <w:t>9. Matriz de autorización y bloqueo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1600"/>
        <w:gridCol w:w="1700"/>
        <w:gridCol w:w="2580"/>
        <w:gridCol w:w="1930"/>
      </w:tblGrid>
      <w:tr>
        <w:trPr>
          <w:tblHeader w:val="true"/>
        </w:trPr>
        <w:tc>
          <w:tcPr>
            <w:tcW w:type="dxa" w:w="155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Registro</w:t>
            </w:r>
          </w:p>
        </w:tc>
        <w:tc>
          <w:tcPr>
            <w:tcW w:type="dxa" w:w="160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Solicita / prepara</w:t>
            </w:r>
          </w:p>
        </w:tc>
        <w:tc>
          <w:tcPr>
            <w:tcW w:type="dxa" w:w="170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Autoriza</w:t>
            </w:r>
          </w:p>
        </w:tc>
        <w:tc>
          <w:tcPr>
            <w:tcW w:type="dxa" w:w="258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Efecto</w:t>
            </w:r>
          </w:p>
        </w:tc>
        <w:tc>
          <w:tcPr>
            <w:tcW w:type="dxa" w:w="193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Cómo corregir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Anteproyecto</w:t>
            </w:r>
          </w:p>
        </w:tc>
        <w:tc>
          <w:tcPr>
            <w:tcW w:type="dxa" w:w="16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Planeación</w:t>
            </w:r>
          </w:p>
        </w:tc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Autorizador de presupuesto</w:t>
            </w:r>
          </w:p>
        </w:tc>
        <w:tc>
          <w:tcPr>
            <w:tcW w:type="dxa" w:w="258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Crea presupuesto autorizado; protege el proyectado.</w:t>
            </w:r>
          </w:p>
        </w:tc>
        <w:tc>
          <w:tcPr>
            <w:tcW w:type="dxa" w:w="193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Regresar a proyectado.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Solicitud suficiencia</w:t>
            </w:r>
          </w:p>
        </w:tc>
        <w:tc>
          <w:tcPr>
            <w:tcW w:type="dxa" w:w="16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Compras / solicitante</w:t>
            </w:r>
          </w:p>
        </w:tc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Autorizador presupuestal</w:t>
            </w:r>
          </w:p>
        </w:tc>
        <w:tc>
          <w:tcPr>
            <w:tcW w:type="dxa" w:w="258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Reserva saldo y copia el detalle autorizado.</w:t>
            </w:r>
          </w:p>
        </w:tc>
        <w:tc>
          <w:tcPr>
            <w:tcW w:type="dxa" w:w="193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Rechazo/cancelación y nueva solicitud.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Orden de compra</w:t>
            </w:r>
          </w:p>
        </w:tc>
        <w:tc>
          <w:tcPr>
            <w:tcW w:type="dxa" w:w="16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Compras</w:t>
            </w:r>
          </w:p>
        </w:tc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Autorizador de adquisiciones</w:t>
            </w:r>
          </w:p>
        </w:tc>
        <w:tc>
          <w:tcPr>
            <w:tcW w:type="dxa" w:w="258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Pasa de INICIAL a POR SURTIR; bloquea edición.</w:t>
            </w:r>
          </w:p>
        </w:tc>
        <w:tc>
          <w:tcPr>
            <w:tcW w:type="dxa" w:w="193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Cancelación/reversa formal.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Contrato/compromiso</w:t>
            </w:r>
          </w:p>
        </w:tc>
        <w:tc>
          <w:tcPr>
            <w:tcW w:type="dxa" w:w="16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Contratos / Presupuesto</w:t>
            </w:r>
          </w:p>
        </w:tc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Autorizador contractual</w:t>
            </w:r>
          </w:p>
        </w:tc>
        <w:tc>
          <w:tcPr>
            <w:tcW w:type="dxa" w:w="258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Bloquea el compromiso operativo.</w:t>
            </w:r>
          </w:p>
        </w:tc>
        <w:tc>
          <w:tcPr>
            <w:tcW w:type="dxa" w:w="193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Convenio, cancelación o reversa.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Factura a CLC</w:t>
            </w:r>
          </w:p>
        </w:tc>
        <w:tc>
          <w:tcPr>
            <w:tcW w:type="dxa" w:w="16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Cuentas por pagar</w:t>
            </w:r>
          </w:p>
        </w:tc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Revisor/autorizador de CLC</w:t>
            </w:r>
          </w:p>
        </w:tc>
        <w:tc>
          <w:tcPr>
            <w:tcW w:type="dxa" w:w="258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Genera CLC y bloquea factura según estatus.</w:t>
            </w:r>
          </w:p>
        </w:tc>
        <w:tc>
          <w:tcPr>
            <w:tcW w:type="dxa" w:w="193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Cancelar/revertir CLC.</w:t>
            </w:r>
          </w:p>
        </w:tc>
      </w:tr>
      <w:tr>
        <w:trPr>
          <w:trHeight w:hRule="atLeast"/>
        </w:trPr>
        <w:tc>
          <w:tcPr>
            <w:tcW w:type="dxa" w:w="155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CLC a pago</w:t>
            </w:r>
          </w:p>
        </w:tc>
        <w:tc>
          <w:tcPr>
            <w:tcW w:type="dxa" w:w="16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Cuentas por pagar</w:t>
            </w:r>
          </w:p>
        </w:tc>
        <w:tc>
          <w:tcPr>
            <w:tcW w:type="dxa" w:w="17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Tesorería</w:t>
            </w:r>
          </w:p>
        </w:tc>
        <w:tc>
          <w:tcPr>
            <w:tcW w:type="dxa" w:w="258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Genera cheque/transferencia y bloquea CLC.</w:t>
            </w:r>
          </w:p>
        </w:tc>
        <w:tc>
          <w:tcPr>
            <w:tcW w:type="dxa" w:w="193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Cancelar/revertir pago.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Conciliación de importes y documentos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4200"/>
        <w:gridCol w:w="29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Comparación</w:t>
            </w:r>
          </w:p>
        </w:tc>
        <w:tc>
          <w:tcPr>
            <w:tcW w:type="dxa" w:w="420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Debe cumplirse</w:t>
            </w:r>
          </w:p>
        </w:tc>
        <w:tc>
          <w:tcPr>
            <w:tcW w:type="dxa" w:w="296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Anteproyecto vs. autorizado</w:t>
            </w:r>
          </w:p>
        </w:tc>
        <w:tc>
          <w:tcPr>
            <w:tcW w:type="dxa" w:w="4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Misma clasificación y calendario salvo ajuste autorizado.</w:t>
            </w:r>
          </w:p>
        </w:tc>
        <w:tc>
          <w:tcPr>
            <w:tcW w:type="dxa" w:w="29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Detalle mensual y registro de autorización.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Requisición vs. cotización</w:t>
            </w:r>
          </w:p>
        </w:tc>
        <w:tc>
          <w:tcPr>
            <w:tcW w:type="dxa" w:w="4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Todos los bienes cotizados; cantidades y unidades comparables.</w:t>
            </w:r>
          </w:p>
        </w:tc>
        <w:tc>
          <w:tcPr>
            <w:tcW w:type="dxa" w:w="29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Cotizaciones y respuestas de proveedor.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Solicitud vs. autorización</w:t>
            </w:r>
          </w:p>
        </w:tc>
        <w:tc>
          <w:tcPr>
            <w:tcW w:type="dxa" w:w="4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Mismo detalle; total autorizado no mayor al disponible.</w:t>
            </w:r>
          </w:p>
        </w:tc>
        <w:tc>
          <w:tcPr>
            <w:tcW w:type="dxa" w:w="29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Solicitud, autorización y saldo.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Orden: detalles vs. partidas</w:t>
            </w:r>
          </w:p>
        </w:tc>
        <w:tc>
          <w:tcPr>
            <w:tcW w:type="dxa" w:w="4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La suma de partidas coincide con el total de detalles.</w:t>
            </w:r>
          </w:p>
        </w:tc>
        <w:tc>
          <w:tcPr>
            <w:tcW w:type="dxa" w:w="29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Orden autorizada.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Orden vs. entradas</w:t>
            </w:r>
          </w:p>
        </w:tc>
        <w:tc>
          <w:tcPr>
            <w:tcW w:type="dxa" w:w="4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Recibido acumulado no mayor a solicitado; pendiente correcto.</w:t>
            </w:r>
          </w:p>
        </w:tc>
        <w:tc>
          <w:tcPr>
            <w:tcW w:type="dxa" w:w="29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Remisión, factura, lote y movimientos de almacén.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Contrato vs. factura</w:t>
            </w:r>
          </w:p>
        </w:tc>
        <w:tc>
          <w:tcPr>
            <w:tcW w:type="dxa" w:w="4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Factura dentro de vigencia y saldo comprometido.</w:t>
            </w:r>
          </w:p>
        </w:tc>
        <w:tc>
          <w:tcPr>
            <w:tcW w:type="dxa" w:w="29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Contrato, CFDI/UUID y póliza.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Factura/CLC/cheque</w:t>
            </w:r>
          </w:p>
        </w:tc>
        <w:tc>
          <w:tcPr>
            <w:tcW w:type="dxa" w:w="4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Totales y partidas coinciden; pago no excede CLC.</w:t>
            </w:r>
          </w:p>
        </w:tc>
        <w:tc>
          <w:tcPr>
            <w:tcW w:type="dxa" w:w="29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CLC, cheque/transferencia y comprobante bancario.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Expediente documental mínimo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"/>
        <w:gridCol w:w="8840"/>
      </w:tblGrid>
      <w:tr>
        <w:trPr>
          <w:tblHeader w:val="true"/>
        </w:trPr>
        <w:tc>
          <w:tcPr>
            <w:tcW w:type="dxa" w:w="520"/>
            <w:vAlign w:val="center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</w:r>
          </w:p>
        </w:tc>
        <w:tc>
          <w:tcPr>
            <w:tcW w:type="dxa" w:w="8840"/>
            <w:vAlign w:val="center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Verificación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Justificación y anteproyecto de egresos.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Evidencia de presupuesto autorizado.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Requisición con partidas y detalle de bienes/servicios.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Cotizaciones, comparativo y selección de proveedor.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Solicitud y autorización de suficiencia.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Orden de compra autorizada.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Contrato/compromiso y anexos, cuando aplique.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Remisión, recepción y entradas de almacén.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Factura/CFDI, UUID y póliza.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CLC autorizada/provisionada.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Cheque o transferencia y comprobante bancario.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Acta, resguardo o alta patrimonial para bienes capitalizables.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Correcciones, rechazos y cancelaciones</w:t>
      </w:r>
    </w:p>
    <w:p>
      <w:pPr>
        <w:pStyle w:val="Bullet"/>
        <w:numPr>
          <w:ilvl w:val="0"/>
          <w:numId w:val="35"/>
        </w:numPr>
      </w:pPr>
      <w:r>
        <w:t>Corregir en el registro origen mientras siga editable; no crear duplicados para ocultar un error.</w:t>
      </w:r>
    </w:p>
    <w:p>
      <w:pPr>
        <w:pStyle w:val="Bullet"/>
        <w:numPr>
          <w:ilvl w:val="0"/>
          <w:numId w:val="35"/>
        </w:numPr>
      </w:pPr>
      <w:r>
        <w:t>Si existe un vínculo activo (cotización, suficiencia, orden, CLC o pago), revertir primero el documento posterior conforme a permisos.</w:t>
      </w:r>
    </w:p>
    <w:p>
      <w:pPr>
        <w:pStyle w:val="Bullet"/>
        <w:numPr>
          <w:ilvl w:val="0"/>
          <w:numId w:val="35"/>
        </w:numPr>
      </w:pPr>
      <w:r>
        <w:t>Registrar motivo, usuario, fecha y documento afectado en observaciones y soporte documental.</w:t>
      </w:r>
    </w:p>
    <w:p>
      <w:pPr>
        <w:pStyle w:val="Bullet"/>
        <w:numPr>
          <w:ilvl w:val="0"/>
          <w:numId w:val="35"/>
        </w:numPr>
      </w:pPr>
      <w:r>
        <w:t>Cuando el sistema conserva un registro inactivo para trazabilidad, no eliminarlo de la evidencia del expediente.</w:t>
      </w:r>
    </w:p>
    <w:p>
      <w:pPr>
        <w:pStyle w:val="Bullet"/>
        <w:numPr>
          <w:ilvl w:val="0"/>
          <w:numId w:val="35"/>
        </w:numPr>
      </w:pPr>
      <w:r>
        <w:t>Las entradas de almacén cerradas o contabilizadas se corrigen con un movimiento contrario, no sobrescribiendo el original.</w:t>
      </w:r>
    </w:p>
    <w:p>
      <w:pPr>
        <w:pStyle w:val="Bullet"/>
        <w:numPr>
          <w:ilvl w:val="0"/>
          <w:numId w:val="35"/>
        </w:numPr>
      </w:pPr>
      <w:r>
        <w:t>Después de una cancelación, verificar que el saldo presupuestal, pendiente de orden, saldo de contrato y saldo bancario queden consistentes.</w:t>
      </w:r>
    </w:p>
    <w:p>
      <w:pPr>
        <w:pStyle w:val="Callout"/>
        <w:spacing w:before="80" w:after="160"/>
        <w:ind w:left="144" w:right="86"/>
        <w:shd w:fill="FDECEC"/>
        <w:pBdr>
          <w:left w:val="single" w:sz="22" w:space="7" w:color="9B1C1C"/>
        </w:pBdr>
      </w:pPr>
      <w:r>
        <w:rPr>
          <w:b/>
          <w:color w:val="9B1C1C"/>
        </w:rPr>
        <w:t xml:space="preserve">Escalamiento: </w:t>
      </w:r>
      <w:r>
        <w:rPr>
          <w:color w:val="1F2937"/>
        </w:rPr>
        <w:t>Si la pantalla está bloqueada y no existe una acción de reversa permitida, detenga el flujo y solicite intervención al responsable funcional. No modifique datos directamente en base de datos como sustituto del proceso.</w:t>
      </w:r>
    </w:p>
    <w:p>
      <w:pPr>
        <w:pStyle w:val="Heading1"/>
        <w:keepNext/>
      </w:pPr>
      <w:r>
        <w:t>13. Lista de cierre del proceso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"/>
        <w:gridCol w:w="8840"/>
      </w:tblGrid>
      <w:tr>
        <w:trPr>
          <w:tblHeader w:val="true"/>
        </w:trPr>
        <w:tc>
          <w:tcPr>
            <w:tcW w:type="dxa" w:w="520"/>
            <w:vAlign w:val="center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</w:r>
          </w:p>
        </w:tc>
        <w:tc>
          <w:tcPr>
            <w:tcW w:type="dxa" w:w="8840"/>
            <w:vAlign w:val="center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Verificación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El presupuesto autorizado conserva vínculo con el anteproyecto.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 requisición tiene clasificación completa y detalle correcto.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Todos los bienes cuentan con cotización y soporte de proveedor.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 suficiencia está autorizada y el saldo fue reservado.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 orden está autorizada y sus detalles cuadran con partidas.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Las entradas de almacén no exceden las cantidades solicitadas.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El compromiso/contrato corresponde a la orden y suficiencia.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 factura y sus partidas coinciden con lo recibido y contratado.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 CLC incluye las facturas y partidas correctas.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El cheque/transferencia coincide con la CLC y la cuenta bancaria.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El expediente documental está completo y consultable.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884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Los bienes capitalizables quedaron dados de alta y, si aplica, resguardados.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Glosario breve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Término</w:t>
            </w:r>
          </w:p>
        </w:tc>
        <w:tc>
          <w:tcPr>
            <w:tcW w:type="dxa" w:w="7160"/>
            <w:vAlign w:val="center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Definición operativa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Anteproyecto de egresos</w:t>
            </w:r>
          </w:p>
        </w:tc>
        <w:tc>
          <w:tcPr>
            <w:tcW w:type="dxa" w:w="7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Planeación mensual del gasto por programa, partida, área y clasificación.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Suficiencia</w:t>
            </w:r>
          </w:p>
        </w:tc>
        <w:tc>
          <w:tcPr>
            <w:tcW w:type="dxa" w:w="7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Validación de que existe saldo disponible para atender una requisición.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Reserva</w:t>
            </w:r>
          </w:p>
        </w:tc>
        <w:tc>
          <w:tcPr>
            <w:tcW w:type="dxa" w:w="7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Afectación que aparta presupuesto para una autorización de suficiencia.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Compromiso</w:t>
            </w:r>
          </w:p>
        </w:tc>
        <w:tc>
          <w:tcPr>
            <w:tcW w:type="dxa" w:w="7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Obligación presupuestal/contractual derivada de una autorización y una compra.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Orden de compra</w:t>
            </w:r>
          </w:p>
        </w:tc>
        <w:tc>
          <w:tcPr>
            <w:tcW w:type="dxa" w:w="7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Instrucción autorizada al proveedor con bienes, cantidades, precios y partidas.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Entrada de almacén</w:t>
            </w:r>
          </w:p>
        </w:tc>
        <w:tc>
          <w:tcPr>
            <w:tcW w:type="dxa" w:w="7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Movimiento que reconoce la recepción física contra un renglón de orden.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CLC</w:t>
            </w:r>
          </w:p>
        </w:tc>
        <w:tc>
          <w:tcPr>
            <w:tcW w:type="dxa" w:w="7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Cuenta por Liquidar Certificada que concentra factura, partidas, póliza e importe a pagar.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Cheque/transferencia</w:t>
            </w:r>
          </w:p>
        </w:tc>
        <w:tc>
          <w:tcPr>
            <w:tcW w:type="dxa" w:w="7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Registro del medio de pago vinculado a una CLC y sus partidas.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FF / TG / DI / DG</w:t>
            </w:r>
          </w:p>
        </w:tc>
        <w:tc>
          <w:tcPr>
            <w:tcW w:type="dxa" w:w="7160"/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Fuente de financiamiento / Tipo de gasto / Dígito identificador / Destino del gasto.</w:t>
            </w:r>
          </w:p>
        </w:tc>
      </w:tr>
    </w:tbl>
    <w:p>
      <w:pPr>
        <w:spacing w:after="40"/>
      </w:pPr>
    </w:p>
    <w:p>
      <w:pPr>
        <w:pStyle w:val="Callout"/>
        <w:spacing w:before="80" w:after="160"/>
        <w:ind w:left="144" w:right="86"/>
        <w:shd w:fill="E8EEF5"/>
        <w:pBdr>
          <w:left w:val="single" w:sz="22" w:space="7" w:color="2E74B5"/>
        </w:pBdr>
      </w:pPr>
      <w:r>
        <w:rPr>
          <w:b/>
          <w:color w:val="2E74B5"/>
        </w:rPr>
        <w:t xml:space="preserve">Fin del manual: </w:t>
      </w:r>
      <w:r>
        <w:rPr>
          <w:color w:val="1F2937"/>
        </w:rPr>
        <w:t>Use este documento como guía operativa y compleméntelo con las políticas de autorización, montos, firmas y archivo vigentes en la organización.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085"/>
        <w:sz w:val="17"/>
      </w:rPr>
      <w:t xml:space="preserve">eGestion360  |  Manual operativo  |  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667085"/>
        <w:sz w:val="17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6"/>
      </w:rPr>
      <w:t>GESTIÓN EMPRESARIAL 360  /  EGRESO · COMPRA · RECEPCIÓN · PAGO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7365D"/>
      </w:r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F4D78"/>
      </w:rPr>
    </w:lvl>
  </w:abstract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">
    <w:name w:val="Step"/>
    <w:basedOn w:val="Normal"/>
    <w:pPr>
      <w:spacing w:before="0" w:after="80" w:line="300" w:lineRule="auto"/>
    </w:pPr>
    <w:rPr>
      <w:rFonts w:ascii="Calibri" w:hAnsi="Calibri"/>
      <w:color w:val="1F2937"/>
      <w:sz w:val="21"/>
    </w:rPr>
  </w:style>
  <w:style w:type="paragraph" w:customStyle="1" w:styleId="Bullet">
    <w:name w:val="Bullet"/>
    <w:basedOn w:val="Normal"/>
    <w:pPr>
      <w:spacing w:before="0" w:after="80" w:line="300" w:lineRule="auto"/>
    </w:pPr>
    <w:rPr>
      <w:rFonts w:ascii="Calibri" w:hAnsi="Calibri"/>
      <w:color w:val="1F2937"/>
      <w:sz w:val="21"/>
    </w:rPr>
  </w:style>
  <w:style w:type="paragraph" w:customStyle="1" w:styleId="Callout">
    <w:name w:val="Callout"/>
    <w:basedOn w:val="Normal"/>
    <w:pPr>
      <w:spacing w:before="0" w:after="120" w:line="300" w:lineRule="auto"/>
    </w:pPr>
    <w:rPr>
      <w:rFonts w:ascii="Calibri" w:hAnsi="Calibri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flujo de anteproyecto de egresos a cheque y entrada de bienes</dc:title>
  <dc:subject>Solicitud, autorización, adquisición, recepción y pago en eGestion360</dc:subject>
  <dc:creator>Gestión Empresarial 360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