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10.png" ContentType="image/jpeg"/>
  <Override PartName="/word/media/image1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visual de prueba integral</w:t>
      </w:r>
    </w:p>
    <w:p>
      <w:pPr>
        <w:jc w:val="center"/>
      </w:pPr>
      <w:r>
        <w:t>Presupuesto → compra → factura → almacén → pólizas | Validaciones para usuarios inexpertos | 10 de agosto de 2026</w:t>
      </w:r>
    </w:p>
    <w:p/>
    <w:p>
      <w:pPr>
        <w:pStyle w:val="Heading1"/>
      </w:pPr>
      <w:r>
        <w:t>Resultado ejecutivo</w:t>
      </w:r>
    </w:p>
    <w:p>
      <w:r>
        <w:t>Se limpió el flujo transaccional conservando catálogos, usuarios y bienes patrimoniales. Se repitió la captura presupuestal y se probaron errores de usuario. Los rechazos de mutaciones HTTP quedan en SIS.SystemLog con usuario, ruta, estado, duración y TraceId, sin almacenar contraseñas, tokens ni cuerpos de petición.</w:t>
      </w:r>
    </w:p>
    <w:p>
      <w:pPr>
        <w:pStyle w:val="ListBullet"/>
      </w:pPr>
      <w:r>
        <w:t>Corregido: un anteproyecto ya no puede guardarse con total cero ni con meses negativos, ni por pantalla ni por API.</w:t>
      </w:r>
    </w:p>
    <w:p>
      <w:pPr>
        <w:pStyle w:val="ListBullet"/>
      </w:pPr>
      <w:r>
        <w:t>Corregido: los importes mensuales recalculan el total en tiempo real.</w:t>
      </w:r>
    </w:p>
    <w:p>
      <w:pPr>
        <w:pStyle w:val="ListBullet"/>
      </w:pPr>
      <w:r>
        <w:t>Corregido: el selector de anteproyecto usa una altura estable; evitaba una rejilla visualmente vacía.</w:t>
      </w:r>
    </w:p>
    <w:p>
      <w:pPr>
        <w:pStyle w:val="ListBullet"/>
      </w:pPr>
      <w:r>
        <w:t>Añadido: una recepción parcial genera notificación interna al creador de la orden con recibido y pendiente.</w:t>
      </w:r>
    </w:p>
    <w:p>
      <w:pPr>
        <w:pStyle w:val="ListBullet"/>
      </w:pPr>
      <w:r>
        <w:t>Detectado durante la repetición: la autorización presupuestal del servidor actual rechaza el alta porque el procedimiento desplegado intenta insertar FKIdEmpresa_SIS nulo. El intento quedó en bitácora; no se insertó un registro inconsistente.</w:t>
      </w:r>
    </w:p>
    <w:p>
      <w:pPr>
        <w:pStyle w:val="Heading1"/>
      </w:pPr>
      <w:r>
        <w:t>1. Preparación y limpieza segura</w:t>
      </w:r>
    </w:p>
    <w:p>
      <w:r>
        <w:t>Ejecutar Scripts/20260810_LimpiarFlujoPruebaIntegral.sql únicamente después de confirmar respaldo. El script valida el nombre de la base, usa transacción y elimina sólo tablas transaccionales del flujo; conserva catálogos maestros.</w:t>
      </w:r>
    </w:p>
    <w:p>
      <w:pPr>
        <w:pStyle w:val="Heading1"/>
      </w:pPr>
      <w:r>
        <w:t>2. Validaciones iniciales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nteproyecto_campos_obligator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Campos obligatorios: el sistema indica qué debe completar el usuario.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nteproyecto_total_cero_bloque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Total $0.00 bloqueado con instrucción concreta.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nteproyecto_valido_120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Captura válida: $12,000 en agosto y clasificación presupuestal completa.</w:t>
      </w:r>
    </w:p>
    <w:p>
      <w:pPr>
        <w:pStyle w:val="Heading1"/>
      </w:pPr>
      <w:r>
        <w:t>3. Camino operativo completo</w:t>
      </w:r>
    </w:p>
    <w:p>
      <w:r>
        <w:t>Las siguientes evidencias visuales corresponden al recorrido funcional completo ejecutado en el mismo entorno antes de la limpieza. Sirven como guía de operación; la repetición actual se detuvo de forma segura en autorización por el defecto de base descrito en la sección 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1227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quisicion_cread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22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1. Crear requisición.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1227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quisicion_comple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22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2. Completar partidas y bienes; la suma debe coincidir con el importe.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1227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tres_cotizacion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22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3. Registrar y comparar cotizaciones de proveedores.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1227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uficiencia_autorizad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22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4. Solicitar y autorizar suficiencia presupuestal.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1227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orden_compra_autorizad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22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5. Autorizar la orden de compra.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1227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factura_devengad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22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6. Registrar factura y devengado.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6078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entrada_almacen_comple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07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7. Recibir en almacén.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60783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polizas_presupuesto_compromiso_devengad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07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8. Confirmar pólizas de autorizado, comprometido y devengado.</w:t>
      </w:r>
    </w:p>
    <w:p>
      <w:pPr>
        <w:pStyle w:val="Heading1"/>
      </w:pPr>
      <w:r>
        <w:t>4. Matriz de errores que debe enfrentar el sistema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</w:tcPr>
          <w:p>
            <w:r>
              <w:t>Caso</w:t>
            </w:r>
          </w:p>
        </w:tc>
        <w:tc>
          <w:tcPr>
            <w:tcW w:type="dxa" w:w="2613"/>
          </w:tcPr>
          <w:p>
            <w:r>
              <w:t>Respuesta esperada</w:t>
            </w:r>
          </w:p>
        </w:tc>
        <w:tc>
          <w:tcPr>
            <w:tcW w:type="dxa" w:w="2613"/>
          </w:tcPr>
          <w:p>
            <w:r>
              <w:t>Persistencia</w:t>
            </w:r>
          </w:p>
        </w:tc>
        <w:tc>
          <w:tcPr>
            <w:tcW w:type="dxa" w:w="2613"/>
          </w:tcPr>
          <w:p>
            <w:r>
              <w:t>Aviso</w:t>
            </w:r>
          </w:p>
        </w:tc>
      </w:tr>
      <w:tr>
        <w:tc>
          <w:tcPr>
            <w:tcW w:type="dxa" w:w="2613"/>
          </w:tcPr>
          <w:p>
            <w:r>
              <w:t>Fecha final anterior a inicial</w:t>
            </w:r>
          </w:p>
        </w:tc>
        <w:tc>
          <w:tcPr>
            <w:tcW w:type="dxa" w:w="2613"/>
          </w:tcPr>
          <w:p>
            <w:r>
              <w:t>Bloquear y explicar el orden correcto</w:t>
            </w:r>
          </w:p>
        </w:tc>
        <w:tc>
          <w:tcPr>
            <w:tcW w:type="dxa" w:w="2613"/>
          </w:tcPr>
          <w:p>
            <w:r>
              <w:t>Bitácora WARN del rechazo</w:t>
            </w:r>
          </w:p>
        </w:tc>
        <w:tc>
          <w:tcPr>
            <w:tcW w:type="dxa" w:w="2613"/>
          </w:tcPr>
          <w:p>
            <w:r>
              <w:t>Snackbar; sin correo</w:t>
            </w:r>
          </w:p>
        </w:tc>
      </w:tr>
      <w:tr>
        <w:tc>
          <w:tcPr>
            <w:tcW w:type="dxa" w:w="2613"/>
          </w:tcPr>
          <w:p>
            <w:r>
              <w:t>Importe cero o negativo</w:t>
            </w:r>
          </w:p>
        </w:tc>
        <w:tc>
          <w:tcPr>
            <w:tcW w:type="dxa" w:w="2613"/>
          </w:tcPr>
          <w:p>
            <w:r>
              <w:t>Bloquear antes de guardar</w:t>
            </w:r>
          </w:p>
        </w:tc>
        <w:tc>
          <w:tcPr>
            <w:tcW w:type="dxa" w:w="2613"/>
          </w:tcPr>
          <w:p>
            <w:r>
              <w:t>Bitácora si llega a API</w:t>
            </w:r>
          </w:p>
        </w:tc>
        <w:tc>
          <w:tcPr>
            <w:tcW w:type="dxa" w:w="2613"/>
          </w:tcPr>
          <w:p>
            <w:r>
              <w:t>Snackbar</w:t>
            </w:r>
          </w:p>
        </w:tc>
      </w:tr>
      <w:tr>
        <w:tc>
          <w:tcPr>
            <w:tcW w:type="dxa" w:w="2613"/>
          </w:tcPr>
          <w:p>
            <w:r>
              <w:t>Importe superior al saldo</w:t>
            </w:r>
          </w:p>
        </w:tc>
        <w:tc>
          <w:tcPr>
            <w:tcW w:type="dxa" w:w="2613"/>
          </w:tcPr>
          <w:p>
            <w:r>
              <w:t>Bloquear y mostrar saldo disponible</w:t>
            </w:r>
          </w:p>
        </w:tc>
        <w:tc>
          <w:tcPr>
            <w:tcW w:type="dxa" w:w="2613"/>
          </w:tcPr>
          <w:p>
            <w:r>
              <w:t>Bitácora WARN</w:t>
            </w:r>
          </w:p>
        </w:tc>
        <w:tc>
          <w:tcPr>
            <w:tcW w:type="dxa" w:w="2613"/>
          </w:tcPr>
          <w:p>
            <w:r>
              <w:t>Notificación a Presupuesto si requiere ampliación</w:t>
            </w:r>
          </w:p>
        </w:tc>
      </w:tr>
      <w:tr>
        <w:tc>
          <w:tcPr>
            <w:tcW w:type="dxa" w:w="2613"/>
          </w:tcPr>
          <w:p>
            <w:r>
              <w:t>Factura con fecha previa al contrato</w:t>
            </w:r>
          </w:p>
        </w:tc>
        <w:tc>
          <w:tcPr>
            <w:tcW w:type="dxa" w:w="2613"/>
          </w:tcPr>
          <w:p>
            <w:r>
              <w:t>Bloquear</w:t>
            </w:r>
          </w:p>
        </w:tc>
        <w:tc>
          <w:tcPr>
            <w:tcW w:type="dxa" w:w="2613"/>
          </w:tcPr>
          <w:p>
            <w:r>
              <w:t>Bitácora WARN</w:t>
            </w:r>
          </w:p>
        </w:tc>
        <w:tc>
          <w:tcPr>
            <w:tcW w:type="dxa" w:w="2613"/>
          </w:tcPr>
          <w:p>
            <w:r>
              <w:t>Mensaje en formulario</w:t>
            </w:r>
          </w:p>
        </w:tc>
      </w:tr>
      <w:tr>
        <w:tc>
          <w:tcPr>
            <w:tcW w:type="dxa" w:w="2613"/>
          </w:tcPr>
          <w:p>
            <w:r>
              <w:t>Factura cuyo detalle no suma el total</w:t>
            </w:r>
          </w:p>
        </w:tc>
        <w:tc>
          <w:tcPr>
            <w:tcW w:type="dxa" w:w="2613"/>
          </w:tcPr>
          <w:p>
            <w:r>
              <w:t>Bloquear y mostrar diferencia</w:t>
            </w:r>
          </w:p>
        </w:tc>
        <w:tc>
          <w:tcPr>
            <w:tcW w:type="dxa" w:w="2613"/>
          </w:tcPr>
          <w:p>
            <w:r>
              <w:t>Bitácora WARN</w:t>
            </w:r>
          </w:p>
        </w:tc>
        <w:tc>
          <w:tcPr>
            <w:tcW w:type="dxa" w:w="2613"/>
          </w:tcPr>
          <w:p>
            <w:r>
              <w:t>Mensaje en formulario</w:t>
            </w:r>
          </w:p>
        </w:tc>
      </w:tr>
      <w:tr>
        <w:tc>
          <w:tcPr>
            <w:tcW w:type="dxa" w:w="2613"/>
          </w:tcPr>
          <w:p>
            <w:r>
              <w:t>Entrega mayor al pendiente</w:t>
            </w:r>
          </w:p>
        </w:tc>
        <w:tc>
          <w:tcPr>
            <w:tcW w:type="dxa" w:w="2613"/>
          </w:tcPr>
          <w:p>
            <w:r>
              <w:t>Bloquear OVER_RECEIPT</w:t>
            </w:r>
          </w:p>
        </w:tc>
        <w:tc>
          <w:tcPr>
            <w:tcW w:type="dxa" w:w="2613"/>
          </w:tcPr>
          <w:p>
            <w:r>
              <w:t>Bitácora WARN</w:t>
            </w:r>
          </w:p>
        </w:tc>
        <w:tc>
          <w:tcPr>
            <w:tcW w:type="dxa" w:w="2613"/>
          </w:tcPr>
          <w:p>
            <w:r>
              <w:t>Mensaje a Almacén</w:t>
            </w:r>
          </w:p>
        </w:tc>
      </w:tr>
      <w:tr>
        <w:tc>
          <w:tcPr>
            <w:tcW w:type="dxa" w:w="2613"/>
          </w:tcPr>
          <w:p>
            <w:r>
              <w:t>Entrega parcial</w:t>
            </w:r>
          </w:p>
        </w:tc>
        <w:tc>
          <w:tcPr>
            <w:tcW w:type="dxa" w:w="2613"/>
          </w:tcPr>
          <w:p>
            <w:r>
              <w:t>Aceptar; conservar saldo pendiente</w:t>
            </w:r>
          </w:p>
        </w:tc>
        <w:tc>
          <w:tcPr>
            <w:tcW w:type="dxa" w:w="2613"/>
          </w:tcPr>
          <w:p>
            <w:r>
              <w:t>Movimiento + auditoría normal</w:t>
            </w:r>
          </w:p>
        </w:tc>
        <w:tc>
          <w:tcPr>
            <w:tcW w:type="dxa" w:w="2613"/>
          </w:tcPr>
          <w:p>
            <w:r>
              <w:t>Notificación interna al comprador</w:t>
            </w:r>
          </w:p>
        </w:tc>
      </w:tr>
      <w:tr>
        <w:tc>
          <w:tcPr>
            <w:tcW w:type="dxa" w:w="2613"/>
          </w:tcPr>
          <w:p>
            <w:r>
              <w:t>Entrega completa</w:t>
            </w:r>
          </w:p>
        </w:tc>
        <w:tc>
          <w:tcPr>
            <w:tcW w:type="dxa" w:w="2613"/>
          </w:tcPr>
          <w:p>
            <w:r>
              <w:t>Aceptar y cerrar pendiente</w:t>
            </w:r>
          </w:p>
        </w:tc>
        <w:tc>
          <w:tcPr>
            <w:tcW w:type="dxa" w:w="2613"/>
          </w:tcPr>
          <w:p>
            <w:r>
              <w:t>Movimiento de almacén</w:t>
            </w:r>
          </w:p>
        </w:tc>
        <w:tc>
          <w:tcPr>
            <w:tcW w:type="dxa" w:w="2613"/>
          </w:tcPr>
          <w:p>
            <w:r>
              <w:t>Notificación opcional de cumplimiento</w:t>
            </w:r>
          </w:p>
        </w:tc>
      </w:tr>
    </w:tbl>
    <w:p>
      <w:pPr>
        <w:pStyle w:val="Heading1"/>
      </w:pPr>
      <w:r>
        <w:t>5. Política recomendada de mensajes y correo</w:t>
      </w:r>
    </w:p>
    <w:p>
      <w:pPr>
        <w:pStyle w:val="ListBullet"/>
      </w:pPr>
      <w:r>
        <w:t>No enviar correo por errores de captura corregibles; usar mensaje inmediato y bitácora.</w:t>
      </w:r>
    </w:p>
    <w:p>
      <w:pPr>
        <w:pStyle w:val="ListBullet"/>
      </w:pPr>
      <w:r>
        <w:t>Enviar notificación interna por recepción parcial, exceso rechazado, suficiencia detenida y factura incompleta.</w:t>
      </w:r>
    </w:p>
    <w:p>
      <w:pPr>
        <w:pStyle w:val="ListBullet"/>
      </w:pPr>
      <w:r>
        <w:t>Usar correo sólo para pendientes que requieren a otra área o exceden un SLA; incluir liga al expediente, responsable y acción esperada.</w:t>
      </w:r>
    </w:p>
    <w:p>
      <w:pPr>
        <w:pStyle w:val="ListBullet"/>
      </w:pPr>
      <w:r>
        <w:t>Nunca enviar contraseñas, tokens, cuerpos completos ni datos fiscales sensibles en la bitácora o correo.</w:t>
      </w:r>
    </w:p>
    <w:p>
      <w:pPr>
        <w:pStyle w:val="ListBullet"/>
      </w:pPr>
      <w:r>
        <w:t>No aceptar entregas de más automáticamente: bloquear, levantar incidencia y exigir ampliación/modificación de orden o devolución documentada.</w:t>
      </w:r>
    </w:p>
    <w:p>
      <w:pPr>
        <w:pStyle w:val="Heading1"/>
      </w:pPr>
      <w:r>
        <w:t>6. Qué hacer ante entregas incompletas o excedentes</w:t>
      </w:r>
    </w:p>
    <w:p>
      <w:r>
        <w:t>Entrega incompleta: registrar únicamente lo físicamente recibido, mantener la orden con saldo pendiente y notificar al comprador. La factura debe devengarse sólo por lo aceptado conforme a la política institucional. Entrega excedente: no aumentar existencias; separar físicamente el excedente y decidir devolución o modificación formal de la orden antes de registrar.</w:t>
      </w:r>
    </w:p>
    <w:p>
      <w:pPr>
        <w:pStyle w:val="Heading1"/>
      </w:pPr>
      <w:r>
        <w:t>7. Hallazgo bloqueante de la repetición</w:t>
      </w:r>
    </w:p>
    <w:p>
      <w:r>
        <w:t>La API POST /api/EgresoAutorizado/autorizar-proyectado/1 devolvió HTTP 400: el procedimiento desplegado intentó insertar NULL en PRES.EgresoAutorizado.FKIdEmpresa_SIS. La bitácora registró usuario, ruta y TraceId. La transacción evitó presupuesto autorizado y póliza huérfanos. Antes de continuar con datos nuevos debe corregirse y desplegarse el procedimiento, repetir la autorización y verificar que se generen EgresoAutorizado y la póliza balanceada en una sola transacción.</w:t>
      </w:r>
    </w:p>
    <w:p>
      <w:pPr>
        <w:pStyle w:val="Heading1"/>
      </w:pPr>
      <w:r>
        <w:t>8. Lista de verificación final</w:t>
      </w:r>
    </w:p>
    <w:p>
      <w:pPr>
        <w:pStyle w:val="ListBullet"/>
      </w:pPr>
      <w:r>
        <w:t>Anteproyecto total &gt; 0 y clasificación completa.</w:t>
      </w:r>
    </w:p>
    <w:p>
      <w:pPr>
        <w:pStyle w:val="ListBullet"/>
      </w:pPr>
      <w:r>
        <w:t>Presupuesto autorizado y póliza balanceada.</w:t>
      </w:r>
    </w:p>
    <w:p>
      <w:pPr>
        <w:pStyle w:val="ListBullet"/>
      </w:pPr>
      <w:r>
        <w:t>Requisición dentro del saldo; partidas = importe.</w:t>
      </w:r>
    </w:p>
    <w:p>
      <w:pPr>
        <w:pStyle w:val="ListBullet"/>
      </w:pPr>
      <w:r>
        <w:t>Cotizaciones con fechas coherentes y proveedor activo.</w:t>
      </w:r>
    </w:p>
    <w:p>
      <w:pPr>
        <w:pStyle w:val="ListBullet"/>
      </w:pPr>
      <w:r>
        <w:t>Suficiencia autorizada antes de la orden.</w:t>
      </w:r>
    </w:p>
    <w:p>
      <w:pPr>
        <w:pStyle w:val="ListBullet"/>
      </w:pPr>
      <w:r>
        <w:t>Orden autorizada; contrato cuando aplique.</w:t>
      </w:r>
    </w:p>
    <w:p>
      <w:pPr>
        <w:pStyle w:val="ListBullet"/>
      </w:pPr>
      <w:r>
        <w:t>Factura: fecha válida y detalles = total.</w:t>
      </w:r>
    </w:p>
    <w:p>
      <w:pPr>
        <w:pStyle w:val="ListBullet"/>
      </w:pPr>
      <w:r>
        <w:t>Recepción: nunca mayor al pendiente; parcial notificada.</w:t>
      </w:r>
    </w:p>
    <w:p>
      <w:pPr>
        <w:pStyle w:val="ListBullet"/>
      </w:pPr>
      <w:r>
        <w:t>Pólizas de autorizado, comprometido y devengado visibles y balanceadas.</w:t>
      </w:r>
    </w:p>
    <w:p>
      <w:pPr>
        <w:pStyle w:val="ListBullet"/>
      </w:pPr>
      <w:r>
        <w:t>SIS.SystemLog contiene rechazos sin datos sensibles.</w:t>
      </w:r>
    </w:p>
    <w:sectPr w:rsidR="00FC693F" w:rsidRPr="0006063C" w:rsidSect="00034616">
      <w:footerReference w:type="default" r:id="rId2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EGestion360 · Prueba integral y validaciones ·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47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47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477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